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ptos Display" w:cs="Aptos Display" w:eastAsia="Aptos Display" w:hAnsi="Aptos Display"/>
          <w:b/>
          <w:bCs/>
          <w:color w:val="1B2A4A"/>
          <w:sz w:val="72"/>
          <w:szCs w:val="72"/>
        </w:rPr>
        <w:t xml:space="preserve">ABBA</w:t>
      </w:r>
    </w:p>
    <w:p>
      <w:pPr>
        <w:spacing w:after="600"/>
      </w:pPr>
      <w:r>
        <w:rPr>
          <w:rFonts w:ascii="Aptos" w:cs="Aptos" w:eastAsia="Aptos" w:hAnsi="Aptos"/>
          <w:color w:val="C2A35B"/>
          <w:sz w:val="24"/>
          <w:szCs w:val="24"/>
        </w:rPr>
        <w:t xml:space="preserve">Consultoria de IA</w:t>
      </w:r>
    </w:p>
    <w:p>
      <w:pPr>
        <w:spacing w:after="100"/>
      </w:pPr>
      <w:r>
        <w:rPr>
          <w:rFonts w:ascii="Aptos Display" w:cs="Aptos Display" w:eastAsia="Aptos Display" w:hAnsi="Aptos Display"/>
          <w:b/>
          <w:bCs/>
          <w:color w:val="1B2A4A"/>
          <w:sz w:val="48"/>
          <w:szCs w:val="48"/>
        </w:rPr>
        <w:t xml:space="preserve">Relatório de Protótipo</w:t>
      </w:r>
    </w:p>
    <w:p>
      <w:pPr>
        <w:spacing w:after="420"/>
      </w:pPr>
      <w:r>
        <w:rPr>
          <w:rFonts w:ascii="Aptos" w:cs="Aptos" w:eastAsia="Aptos" w:hAnsi="Aptos"/>
          <w:color w:val="5A6472"/>
          <w:sz w:val="26"/>
          <w:szCs w:val="26"/>
        </w:rPr>
        <w:t xml:space="preserve">Caso de uso validado com dados reais — a decisão de escalar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Cliente: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{{NOME_DO_CLIENTE}}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Engajamento: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{{NOME_DO_PROJETO}}   |   Ref: ABBA-{{ANO}}-{{NUM}}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Data: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{{DATA}}   ·   Responsável ABBA: {{SOCIO}}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1.  Sumário executivo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{{O que foi construído, o que os números mostraram, e a recomendação GO / NO-GO / AJUSTAR}}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2.  O caso de uso</w:t>
      </w:r>
    </w:p>
    <w:p>
      <w:pPr>
        <w:spacing w:after="8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Processo-alvo: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 }}</w:t>
      </w:r>
    </w:p>
    <w:p>
      <w:pPr>
        <w:spacing w:after="8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O que o agente faz: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{{entrada → processamento → saída → revisão humana → resultado}}</w:t>
      </w:r>
    </w:p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Critérios de sucesso acordados (kickoff):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 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3.  Resultados medidos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1700"/>
        <w:gridCol w:w="1900"/>
        <w:gridCol w:w="1300"/>
        <w:gridCol w:w="1800"/>
      </w:tblGrid>
      <w:tr>
        <w:trPr>
          <w:tblHeader/>
        </w:trPr>
        <w:tc>
          <w:tcPr>
            <w:tcW w:type="dxa" w:w="26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7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Baseline (antes)</w:t>
            </w:r>
          </w:p>
        </w:tc>
        <w:tc>
          <w:tcPr>
            <w:tcW w:type="dxa" w:w="19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Protótipo (medido)</w:t>
            </w:r>
          </w:p>
        </w:tc>
        <w:tc>
          <w:tcPr>
            <w:tcW w:type="dxa" w:w="13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Atingido?</w:t>
            </w:r>
          </w:p>
        </w:tc>
      </w:tr>
      <w:tr>
        <w:tc>
          <w:tcPr>
            <w:tcW w:type="dxa" w:w="26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{{ex.: tempo por item}}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{{Sim/Não}}</w:t>
            </w:r>
          </w:p>
        </w:tc>
      </w:tr>
      <w:tr>
        <w:tc>
          <w:tcPr>
            <w:tcW w:type="dxa" w:w="26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{{ex.: taxa de aprovação humana}}</w:t>
            </w:r>
          </w:p>
        </w:tc>
        <w:tc>
          <w:tcPr>
            <w:tcW w:type="dxa" w:w="17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9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3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8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  <w:tr>
        <w:tc>
          <w:tcPr>
            <w:tcW w:type="dxa" w:w="26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{{ex.: custo por execução}}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</w:tbl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/>
          <w:iCs/>
          <w:color w:val="5A6472"/>
          <w:sz w:val="22"/>
          <w:szCs w:val="22"/>
        </w:rPr>
        <w:t xml:space="preserve">Números medidos em {{N}} execuções reais entre {{DATA}} e {{DATA}} — não projeções.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4.  O que aprendemos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{{aprendizado técnico}}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{{aprendizado de processo/pessoas}}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{{ajuste feito durante o protótipo}}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5.  Recomendação e decisão</w:t>
      </w:r>
    </w:p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Recomendação ABBA: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{{GO para deployment / AJUSTAR e re-testar / NO-GO com o porquê honesto}}</w:t>
      </w:r>
    </w:p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Decisão do cliente: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{{registrada na sessão de alinhamento — data}}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6.  Plano de deployment (se GO)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{{Escopo da expansão, prazo, treinamento necessário, modalidade (cloud gerenciada / on-premise) — vira o Anexo I da fase seguinte, com Termo de Aceite fechando esta}}</w:t>
      </w:r>
    </w:p>
    <w:sectPr>
      <w:headerReference w:type="default" r:id="rId7"/>
      <w:footerReference w:type="default" r:id="rId8"/>
      <w:pgSz w:w="11906" w:h="16838" w:orient="portrait"/>
      <w:pgMar w:top="125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rFonts w:ascii="Aptos" w:cs="Aptos" w:eastAsia="Aptos" w:hAnsi="Aptos"/>
        <w:color w:val="5A6472"/>
        <w:sz w:val="18"/>
        <w:szCs w:val="18"/>
      </w:rPr>
      <w:t xml:space="preserve">ABBA · Consultoria de IA</w:t>
    </w:r>
    <w:r>
      <w:rPr>
        <w:rFonts w:ascii="Aptos" w:cs="Aptos" w:eastAsia="Aptos" w:hAnsi="Aptos"/>
        <w:color w:val="C2A35B"/>
        <w:sz w:val="18"/>
        <w:szCs w:val="18"/>
      </w:rPr>
      <w:t xml:space="preserve">	abbaservices.com.br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A6472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2026-07-23T13:08:03.825Z</dcterms:created>
  <dcterms:modified xsi:type="dcterms:W3CDTF">2026-07-23T13:08:03.825Z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