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365D"/>
          <w:sz w:val="56"/>
          <w:szCs w:val="56"/>
        </w:rPr>
        <w:t xml:space="preserve">DATAPOLIS SpA</w:t>
      </w:r>
    </w:p>
    <w:p>
      <w:pPr>
        <w:spacing w:after="200"/>
        <w:jc w:val="center"/>
      </w:pPr>
      <w:r>
        <w:rPr>
          <w:rFonts w:ascii="Arial" w:cs="Arial" w:eastAsia="Arial" w:hAnsi="Arial"/>
          <w:color w:val="2E75B6"/>
          <w:sz w:val="24"/>
          <w:szCs w:val="24"/>
        </w:rPr>
        <w:t xml:space="preserve">Innovacion Tecnologica | PropTech | FinTech | RegTech</w:t>
      </w:r>
    </w:p>
    <w:p>
      <w:pPr>
        <w:pBdr>
          <w:bottom w:val="single" w:color="2E75B6" w:sz="4" w:space="1"/>
        </w:pBdr>
        <w:spacing w:before="200" w:after="200"/>
      </w:pPr>
    </w:p>
    <w:p>
      <w:pPr>
        <w:spacing w:before="400"/>
        <w:jc w:val="center"/>
      </w:pPr>
      <w:r>
        <w:rPr>
          <w:rFonts w:ascii="Arial" w:cs="Arial" w:eastAsia="Arial" w:hAnsi="Arial"/>
          <w:b/>
          <w:bCs/>
          <w:color w:val="1B365D"/>
          <w:sz w:val="44"/>
          <w:szCs w:val="44"/>
        </w:rPr>
        <w:t xml:space="preserve">ANALISIS DE PATENTABILIDAD</w:t>
      </w:r>
    </w:p>
    <w:p>
      <w:pPr>
        <w:spacing w:after="100"/>
        <w:jc w:val="center"/>
      </w:pPr>
      <w:r>
        <w:rPr>
          <w:rFonts w:ascii="Arial" w:cs="Arial" w:eastAsia="Arial" w:hAnsi="Arial"/>
          <w:color w:val="2E75B6"/>
          <w:sz w:val="28"/>
          <w:szCs w:val="28"/>
        </w:rPr>
        <w:t xml:space="preserve">Innovaciones Tecnicas del Ecosistema DATAPOLIS</w:t>
      </w:r>
    </w:p>
    <w:p>
      <w:pPr>
        <w:spacing w:after="100"/>
        <w:jc w:val="center"/>
      </w:pPr>
      <w:r>
        <w:rPr>
          <w:rFonts w:ascii="Arial" w:cs="Arial" w:eastAsia="Arial" w:hAnsi="Arial"/>
          <w:color w:val="7F8C8D"/>
          <w:sz w:val="22"/>
          <w:szCs w:val="22"/>
        </w:rPr>
        <w:t xml:space="preserve">Evaluacion Tecnico-Legal segun Ley 19.039 (Chile) / INAPI</w:t>
      </w:r>
    </w:p>
    <w:p>
      <w:pPr>
        <w:spacing w:after="100"/>
        <w:jc w:val="center"/>
      </w:pPr>
      <w:r>
        <w:rPr>
          <w:rFonts w:ascii="Arial" w:cs="Arial" w:eastAsia="Arial" w:hAnsi="Arial"/>
          <w:color w:val="7F8C8D"/>
          <w:sz w:val="22"/>
          <w:szCs w:val="22"/>
        </w:rPr>
        <w:t xml:space="preserve">Directrices IIC/IA INAPI 2022 | Manual de Patentamiento IIC</w:t>
      </w:r>
    </w:p>
    <w:p>
      <w:pPr>
        <w:pBdr>
          <w:bottom w:val="single" w:color="2E75B6" w:sz="4" w:space="1"/>
        </w:pBdr>
        <w:spacing w:before="200" w:after="200"/>
      </w:pPr>
    </w:p>
    <w:p>
      <w:pPr>
        <w:spacing w:before="600"/>
        <w:jc w:val="center"/>
      </w:pPr>
      <w:r>
        <w:rPr>
          <w:rFonts w:ascii="Arial" w:cs="Arial" w:eastAsia="Arial" w:hAnsi="Arial"/>
          <w:color w:val="2C3E50"/>
          <w:sz w:val="22"/>
          <w:szCs w:val="22"/>
        </w:rPr>
        <w:t xml:space="preserve">Fecha: 24 de febrero de 2026</w:t>
      </w:r>
    </w:p>
    <w:p>
      <w:pPr>
        <w:jc w:val="center"/>
      </w:pPr>
      <w:r>
        <w:rPr>
          <w:rFonts w:ascii="Arial" w:cs="Arial" w:eastAsia="Arial" w:hAnsi="Arial"/>
          <w:color w:val="C0392B"/>
          <w:sz w:val="22"/>
          <w:szCs w:val="22"/>
        </w:rPr>
        <w:t xml:space="preserve">Version: 2.0 | Clasificacion: CONFIDENCIAL</w:t>
      </w:r>
    </w:p>
    <w:p>
      <w:pPr>
        <w:jc w:val="center"/>
      </w:pPr>
      <w:r>
        <w:rPr>
          <w:rFonts w:ascii="Arial" w:cs="Arial" w:eastAsia="Arial" w:hAnsi="Arial"/>
          <w:color w:val="2C3E50"/>
          <w:sz w:val="22"/>
          <w:szCs w:val="22"/>
        </w:rPr>
        <w:t xml:space="preserve">Inventor Principal: Daniel [Apellido] | CEO DATAPOLIS SpA</w:t>
      </w:r>
    </w:p>
    <w:p>
      <w:r>
        <w:br w:type="page"/>
      </w:r>
    </w:p>
    <w:p>
      <w:pPr>
        <w:pStyle w:val="Heading1"/>
        <w:spacing w:before="300" w:after="200"/>
      </w:pPr>
      <w:r>
        <w:t xml:space="preserve">CONTENIDO</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200"/>
      </w:pPr>
      <w:r>
        <w:t xml:space="preserve">1. RESUMEN EJECUTIVO</w:t>
      </w:r>
    </w:p>
    <w:p>
      <w:pPr>
        <w:spacing w:after="160" w:before="0" w:line="276"/>
        <w:jc w:val="both"/>
      </w:pPr>
      <w:r>
        <w:rPr>
          <w:rFonts w:ascii="Arial" w:cs="Arial" w:eastAsia="Arial" w:hAnsi="Arial"/>
          <w:b w:val="false"/>
          <w:bCs w:val="false"/>
          <w:i w:val="false"/>
          <w:iCs w:val="false"/>
          <w:color w:val="2C3E50"/>
          <w:sz w:val="22"/>
          <w:szCs w:val="22"/>
        </w:rPr>
        <w:t xml:space="preserve">El presente documento identifica y analiza las innovaciones tecnicas desarrolladas dentro del ecosistema DATAPOLIS que, por su novedad absoluta, nivel inventivo y aplicabilidad industrial, constituyen candidatas a proteccion mediante patentes de invencion ante el Instituto Nacional de Propiedad Industrial (INAPI) de Chile, bajo el marco de la Ley N.19.039 (DFL N.4 de 2022) y su reglamento (DS N.82 de 2022).</w:t>
      </w:r>
    </w:p>
    <w:p>
      <w:pPr>
        <w:spacing w:after="160" w:before="0" w:line="276"/>
        <w:jc w:val="both"/>
      </w:pPr>
      <w:r>
        <w:rPr>
          <w:rFonts w:ascii="Arial" w:cs="Arial" w:eastAsia="Arial" w:hAnsi="Arial"/>
          <w:b w:val="false"/>
          <w:bCs w:val="false"/>
          <w:i w:val="false"/>
          <w:iCs w:val="false"/>
          <w:color w:val="2C3E50"/>
          <w:sz w:val="22"/>
          <w:szCs w:val="22"/>
        </w:rPr>
        <w:t xml:space="preserve">El analisis se realiza conforme a las Directrices de Examen de Patentes de INAPI actualizadas en 2022 y al Manual de Patentamiento de Invenciones Implementadas por Computador (IIC) e Inteligencia Artificial publicado por INAPI en 2022, que establecio por primera vez en Chile la patentabilidad de productos de software y medios legibles por computador bajo ciertas condiciones.</w:t>
      </w:r>
    </w:p>
    <w:p>
      <w:pPr>
        <w:pStyle w:val="Heading2"/>
        <w:spacing w:before="300" w:after="200"/>
      </w:pPr>
      <w:r>
        <w:t xml:space="preserve">1.1 Hallazgos Principales</w:t>
      </w:r>
    </w:p>
    <w:p>
      <w:pPr>
        <w:spacing w:after="160" w:before="0" w:line="276"/>
        <w:jc w:val="both"/>
      </w:pPr>
      <w:r>
        <w:rPr>
          <w:rFonts w:ascii="Arial" w:cs="Arial" w:eastAsia="Arial" w:hAnsi="Arial"/>
          <w:b/>
          <w:bCs/>
          <w:color w:val="2C3E50"/>
          <w:sz w:val="22"/>
          <w:szCs w:val="22"/>
        </w:rPr>
        <w:t xml:space="preserve">Se identificaron 8 innovaciones tecnicas con potencial patentable</w:t>
      </w:r>
      <w:r>
        <w:rPr>
          <w:rFonts w:ascii="Arial" w:cs="Arial" w:eastAsia="Arial" w:hAnsi="Arial"/>
          <w:color w:val="2C3E50"/>
          <w:sz w:val="22"/>
          <w:szCs w:val="22"/>
        </w:rPr>
        <w:t xml:space="preserve">, de las cuales 6 presentan nivel de patentabilidad ALTO y 2 nivel MEDIO-ALTO. Las innovaciones abarcan los dominios de analisis predictivo territorial, arquitectura de software, compliance automatizado, inteligencia artificial multi-agente, valoracion inmobiliaria y gestion de riesgos.</w:t>
      </w:r>
    </w:p>
    <w:p>
      <w:pPr>
        <w:spacing w:before="2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900"/>
        <w:gridCol w:w="900"/>
        <w:gridCol w:w="1000"/>
        <w:gridCol w:w="1200"/>
      </w:tblGrid>
      <w:tr>
        <w:tc>
          <w:tcPr>
            <w:tcW w:type="dxa" w:w="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3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Innovacion</w:t>
            </w:r>
          </w:p>
        </w:tc>
        <w:tc>
          <w:tcPr>
            <w:tcW w:type="dxa" w:w="9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Novedad</w:t>
            </w:r>
          </w:p>
        </w:tc>
        <w:tc>
          <w:tcPr>
            <w:tcW w:type="dxa" w:w="9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Inventiva</w:t>
            </w:r>
          </w:p>
        </w:tc>
        <w:tc>
          <w:tcPr>
            <w:tcW w:type="dxa" w:w="1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Aplicabilidad</w:t>
            </w:r>
          </w:p>
        </w:tc>
        <w:tc>
          <w:tcPr>
            <w:tcW w:type="dxa" w:w="1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w:t>
            </w:r>
          </w:p>
        </w:tc>
      </w:tr>
      <w:tr>
        <w:tc>
          <w:tcPr>
            <w:tcW w:type="dxa" w:w="8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INV-001</w:t>
            </w:r>
          </w:p>
        </w:tc>
        <w:tc>
          <w:tcPr>
            <w:tcW w:type="dxa" w:w="32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Precession Analytics Engine (PAE)</w:t>
            </w:r>
          </w:p>
        </w:tc>
        <w:tc>
          <w:tcPr>
            <w:tcW w:type="dxa" w:w="9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9/10</w:t>
            </w:r>
          </w:p>
        </w:tc>
        <w:tc>
          <w:tcPr>
            <w:tcW w:type="dxa" w:w="9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9/10</w:t>
            </w:r>
          </w:p>
        </w:tc>
        <w:tc>
          <w:tcPr>
            <w:tcW w:type="dxa" w:w="10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8/10</w:t>
            </w:r>
          </w:p>
        </w:tc>
        <w:tc>
          <w:tcPr>
            <w:tcW w:type="dxa" w:w="12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ALTA</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INV-002</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Arquitectura Cores Independientes con Ontologia Precesional Compartida</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8/10</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8/10</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9/10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ALTA</w:t>
            </w:r>
          </w:p>
        </w:tc>
      </w:tr>
      <w:tr>
        <w:tc>
          <w:tcPr>
            <w:tcW w:type="dxa" w:w="8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INV-003</w:t>
            </w:r>
          </w:p>
        </w:tc>
        <w:tc>
          <w:tcPr>
            <w:tcW w:type="dxa" w:w="32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Simulador Predictivo de Sanciones por Incumplimiento Condominial</w:t>
            </w:r>
          </w:p>
        </w:tc>
        <w:tc>
          <w:tcPr>
            <w:tcW w:type="dxa" w:w="9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8/10</w:t>
            </w:r>
          </w:p>
        </w:tc>
        <w:tc>
          <w:tcPr>
            <w:tcW w:type="dxa" w:w="9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7/10</w:t>
            </w:r>
          </w:p>
        </w:tc>
        <w:tc>
          <w:tcPr>
            <w:tcW w:type="dxa" w:w="10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9/10</w:t>
            </w:r>
          </w:p>
        </w:tc>
        <w:tc>
          <w:tcPr>
            <w:tcW w:type="dxa" w:w="12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ALTA</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INV-004</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GeoIAOrchestrator: Orquestador Inteligente Multi-Agente con Clasificacion Geoespacial</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7/10</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8/10</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9/10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ALTA</w:t>
            </w:r>
          </w:p>
        </w:tc>
      </w:tr>
      <w:tr>
        <w:tc>
          <w:tcPr>
            <w:tcW w:type="dxa" w:w="8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INV-005</w:t>
            </w:r>
          </w:p>
        </w:tc>
        <w:tc>
          <w:tcPr>
            <w:tcW w:type="dxa" w:w="32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Calculadora de Multiplicador Precesional para Inversion Inmobiliaria</w:t>
            </w:r>
          </w:p>
        </w:tc>
        <w:tc>
          <w:tcPr>
            <w:tcW w:type="dxa" w:w="9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9/10</w:t>
            </w:r>
          </w:p>
        </w:tc>
        <w:tc>
          <w:tcPr>
            <w:tcW w:type="dxa" w:w="9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8/10</w:t>
            </w:r>
          </w:p>
        </w:tc>
        <w:tc>
          <w:tcPr>
            <w:tcW w:type="dxa" w:w="10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9/10</w:t>
            </w:r>
          </w:p>
        </w:tc>
        <w:tc>
          <w:tcPr>
            <w:tcW w:type="dxa" w:w="12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MUY ALTA</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INV-006</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Motor RLM de Procesamiento Normativo de 1M+ Tokens</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6/10</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7/10</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MEDIA-ALTA</w:t>
            </w:r>
          </w:p>
        </w:tc>
      </w:tr>
      <w:tr>
        <w:tc>
          <w:tcPr>
            <w:tcW w:type="dxa" w:w="8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INV-007</w:t>
            </w:r>
          </w:p>
        </w:tc>
        <w:tc>
          <w:tcPr>
            <w:tcW w:type="dxa" w:w="32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Sistema Integrado de Compliance Condominial Multi-Ley con Georeferenciacion</w:t>
            </w:r>
          </w:p>
        </w:tc>
        <w:tc>
          <w:tcPr>
            <w:tcW w:type="dxa" w:w="9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8/10</w:t>
            </w:r>
          </w:p>
        </w:tc>
        <w:tc>
          <w:tcPr>
            <w:tcW w:type="dxa" w:w="9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7/10</w:t>
            </w:r>
          </w:p>
        </w:tc>
        <w:tc>
          <w:tcPr>
            <w:tcW w:type="dxa" w:w="10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9/10</w:t>
            </w:r>
          </w:p>
        </w:tc>
        <w:tc>
          <w:tcPr>
            <w:tcW w:type="dxa" w:w="12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ALTA</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INV-008</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Scoring de Riesgo Precesional para Due Diligence Territorial</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9/10</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8/10</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ALTA</w:t>
            </w:r>
          </w:p>
        </w:tc>
      </w:tr>
    </w:tbl>
    <w:p>
      <w:r>
        <w:br w:type="page"/>
      </w:r>
    </w:p>
    <w:p>
      <w:pPr>
        <w:pStyle w:val="Heading1"/>
        <w:spacing w:before="300" w:after="200"/>
      </w:pPr>
      <w:r>
        <w:t xml:space="preserve">2. MARCO LEGAL Y NORMATIVO</w:t>
      </w:r>
    </w:p>
    <w:p>
      <w:pPr>
        <w:pStyle w:val="Heading2"/>
        <w:spacing w:before="300" w:after="200"/>
      </w:pPr>
      <w:r>
        <w:t xml:space="preserve">2.1 Base Legal Chilena</w:t>
      </w:r>
    </w:p>
    <w:p>
      <w:pPr>
        <w:spacing w:after="160" w:before="0" w:line="276"/>
        <w:jc w:val="both"/>
      </w:pPr>
      <w:r>
        <w:rPr>
          <w:rFonts w:ascii="Arial" w:cs="Arial" w:eastAsia="Arial" w:hAnsi="Arial"/>
          <w:b w:val="false"/>
          <w:bCs w:val="false"/>
          <w:i w:val="false"/>
          <w:iCs w:val="false"/>
          <w:color w:val="2C3E50"/>
          <w:sz w:val="22"/>
          <w:szCs w:val="22"/>
        </w:rPr>
        <w:t xml:space="preserve">La proteccion de invenciones en Chile se rige por el DFL N.4 de 2022 (texto refundido de la Ley N.19.039) y el DS N.82 de 2022 (Reglamento). Los tres requisitos fundamentales de patentabilidad son:</w:t>
      </w:r>
    </w:p>
    <w:p>
      <w:pPr>
        <w:pStyle w:val="ListParagraph"/>
        <w:numPr>
          <w:ilvl w:val="0"/>
          <w:numId w:val="2"/>
        </w:numPr>
        <w:spacing w:after="80" w:line="276"/>
      </w:pPr>
      <w:r>
        <w:rPr>
          <w:rFonts w:ascii="Arial" w:cs="Arial" w:eastAsia="Arial" w:hAnsi="Arial"/>
          <w:b/>
          <w:bCs/>
          <w:color w:val="2C3E50"/>
          <w:sz w:val="22"/>
          <w:szCs w:val="22"/>
        </w:rPr>
        <w:t xml:space="preserve">Novedad absoluta: </w:t>
      </w:r>
      <w:r>
        <w:rPr>
          <w:rFonts w:ascii="Arial" w:cs="Arial" w:eastAsia="Arial" w:hAnsi="Arial"/>
          <w:color w:val="2C3E50"/>
          <w:sz w:val="22"/>
          <w:szCs w:val="22"/>
        </w:rPr>
        <w:t xml:space="preserve">La invencion no debe haber sido divulgada publicamente en ninguna parte del mundo antes de la fecha de presentacion (Art. 33).</w:t>
      </w:r>
    </w:p>
    <w:p>
      <w:pPr>
        <w:pStyle w:val="ListParagraph"/>
        <w:numPr>
          <w:ilvl w:val="0"/>
          <w:numId w:val="2"/>
        </w:numPr>
        <w:spacing w:after="80" w:line="276"/>
      </w:pPr>
      <w:r>
        <w:rPr>
          <w:rFonts w:ascii="Arial" w:cs="Arial" w:eastAsia="Arial" w:hAnsi="Arial"/>
          <w:b/>
          <w:bCs/>
          <w:color w:val="2C3E50"/>
          <w:sz w:val="22"/>
          <w:szCs w:val="22"/>
        </w:rPr>
        <w:t xml:space="preserve">Nivel inventivo: </w:t>
      </w:r>
      <w:r>
        <w:rPr>
          <w:rFonts w:ascii="Arial" w:cs="Arial" w:eastAsia="Arial" w:hAnsi="Arial"/>
          <w:color w:val="2C3E50"/>
          <w:sz w:val="22"/>
          <w:szCs w:val="22"/>
        </w:rPr>
        <w:t xml:space="preserve">La solucion no debe resultar obvia para un experto en la materia, considerando el estado de la tecnica (Art. 35).</w:t>
      </w:r>
    </w:p>
    <w:p>
      <w:pPr>
        <w:pStyle w:val="ListParagraph"/>
        <w:numPr>
          <w:ilvl w:val="0"/>
          <w:numId w:val="2"/>
        </w:numPr>
        <w:spacing w:after="80" w:line="276"/>
      </w:pPr>
      <w:r>
        <w:rPr>
          <w:rFonts w:ascii="Arial" w:cs="Arial" w:eastAsia="Arial" w:hAnsi="Arial"/>
          <w:b/>
          <w:bCs/>
          <w:color w:val="2C3E50"/>
          <w:sz w:val="22"/>
          <w:szCs w:val="22"/>
        </w:rPr>
        <w:t xml:space="preserve">Aplicacion industrial: </w:t>
      </w:r>
      <w:r>
        <w:rPr>
          <w:rFonts w:ascii="Arial" w:cs="Arial" w:eastAsia="Arial" w:hAnsi="Arial"/>
          <w:color w:val="2C3E50"/>
          <w:sz w:val="22"/>
          <w:szCs w:val="22"/>
        </w:rPr>
        <w:t xml:space="preserve">Debe poder ser producida o utilizada en cualquier tipo de industria, incluyendo servicios (Art. 36).</w:t>
      </w:r>
    </w:p>
    <w:p>
      <w:pPr>
        <w:pStyle w:val="Heading2"/>
        <w:spacing w:before="300" w:after="200"/>
      </w:pPr>
      <w:r>
        <w:t xml:space="preserve">2.2 Cambio de Criterio INAPI 2022 para IIC e IA</w:t>
      </w:r>
    </w:p>
    <w:p>
      <w:pPr>
        <w:spacing w:after="160" w:before="0" w:line="276"/>
        <w:jc w:val="both"/>
      </w:pPr>
      <w:r>
        <w:rPr>
          <w:rFonts w:ascii="Arial" w:cs="Arial" w:eastAsia="Arial" w:hAnsi="Arial"/>
          <w:b w:val="false"/>
          <w:bCs w:val="false"/>
          <w:i w:val="false"/>
          <w:iCs w:val="false"/>
          <w:color w:val="2C3E50"/>
          <w:sz w:val="22"/>
          <w:szCs w:val="22"/>
        </w:rPr>
        <w:t xml:space="preserve">En 2022, INAPI realizo un cambio historico de criterio al permitir la patentabilidad de productos de software y medios legibles por computador, que hasta entonces estaban excluidos. Las nuevas Directrices y el Manual de Patentamiento IIC/IA establecen que una Invencion Implementada por Computador es patentable cuando:</w:t>
      </w:r>
    </w:p>
    <w:p>
      <w:pPr>
        <w:pStyle w:val="ListParagraph"/>
        <w:numPr>
          <w:ilvl w:val="0"/>
          <w:numId w:val="2"/>
        </w:numPr>
        <w:spacing w:after="80" w:line="276"/>
      </w:pPr>
      <w:r>
        <w:rPr>
          <w:rFonts w:ascii="Arial" w:cs="Arial" w:eastAsia="Arial" w:hAnsi="Arial"/>
          <w:color w:val="2C3E50"/>
          <w:sz w:val="22"/>
          <w:szCs w:val="22"/>
        </w:rPr>
        <w:t xml:space="preserve">Resuelve un problema tecnico (no meramente abstracto o de negocios)</w:t>
      </w:r>
    </w:p>
    <w:p>
      <w:pPr>
        <w:pStyle w:val="ListParagraph"/>
        <w:numPr>
          <w:ilvl w:val="0"/>
          <w:numId w:val="2"/>
        </w:numPr>
        <w:spacing w:after="80" w:line="276"/>
      </w:pPr>
      <w:r>
        <w:rPr>
          <w:rFonts w:ascii="Arial" w:cs="Arial" w:eastAsia="Arial" w:hAnsi="Arial"/>
          <w:color w:val="2C3E50"/>
          <w:sz w:val="22"/>
          <w:szCs w:val="22"/>
        </w:rPr>
        <w:t xml:space="preserve">El software contribuye al caracter tecnico de la solucion</w:t>
      </w:r>
    </w:p>
    <w:p>
      <w:pPr>
        <w:pStyle w:val="ListParagraph"/>
        <w:numPr>
          <w:ilvl w:val="0"/>
          <w:numId w:val="2"/>
        </w:numPr>
        <w:spacing w:after="80" w:line="276"/>
      </w:pPr>
      <w:r>
        <w:rPr>
          <w:rFonts w:ascii="Arial" w:cs="Arial" w:eastAsia="Arial" w:hAnsi="Arial"/>
          <w:color w:val="2C3E50"/>
          <w:sz w:val="22"/>
          <w:szCs w:val="22"/>
        </w:rPr>
        <w:t xml:space="preserve">Se describe suficientemente COMO se logra el efecto tecnico (no solo QUE se logra)</w:t>
      </w:r>
    </w:p>
    <w:p>
      <w:pPr>
        <w:pStyle w:val="ListParagraph"/>
        <w:numPr>
          <w:ilvl w:val="0"/>
          <w:numId w:val="2"/>
        </w:numPr>
        <w:spacing w:after="80" w:line="276"/>
      </w:pPr>
      <w:r>
        <w:rPr>
          <w:rFonts w:ascii="Arial" w:cs="Arial" w:eastAsia="Arial" w:hAnsi="Arial"/>
          <w:color w:val="2C3E50"/>
          <w:sz w:val="22"/>
          <w:szCs w:val="22"/>
        </w:rPr>
        <w:t xml:space="preserve">Las funciones matematicas o algoritmos de IA se aplican a un problema tecnico especifico con contexto de aplicacion descrito</w:t>
      </w:r>
    </w:p>
    <w:p>
      <w:pPr>
        <w:spacing w:after="160" w:before="0" w:line="276"/>
        <w:jc w:val="both"/>
      </w:pPr>
      <w:r>
        <w:rPr>
          <w:rFonts w:ascii="Arial" w:cs="Arial" w:eastAsia="Arial" w:hAnsi="Arial"/>
          <w:b/>
          <w:bCs/>
          <w:color w:val="2C3E50"/>
          <w:sz w:val="22"/>
          <w:szCs w:val="22"/>
        </w:rPr>
        <w:t xml:space="preserve">Exclusiones vigentes: </w:t>
      </w:r>
      <w:r>
        <w:rPr>
          <w:rFonts w:ascii="Arial" w:cs="Arial" w:eastAsia="Arial" w:hAnsi="Arial"/>
          <w:color w:val="2C3E50"/>
          <w:sz w:val="22"/>
          <w:szCs w:val="22"/>
        </w:rPr>
        <w:t xml:space="preserve">Programas informaticos en si mismos (sin aplicacion tecnica), metodos economicos/financieros de simple verificacion, y actividades puramente mentales o intelectuales siguen excluidos de patentabilidad (Art. 37 Ley 19.039).</w:t>
      </w:r>
    </w:p>
    <w:p>
      <w:pPr>
        <w:pStyle w:val="Heading2"/>
        <w:spacing w:before="300" w:after="200"/>
      </w:pPr>
      <w:r>
        <w:t xml:space="preserve">2.3 Procedimiento ante INAPI</w:t>
      </w:r>
    </w:p>
    <w:p>
      <w:pPr>
        <w:spacing w:after="160" w:before="0" w:line="276"/>
        <w:jc w:val="both"/>
      </w:pPr>
      <w:r>
        <w:rPr>
          <w:rFonts w:ascii="Arial" w:cs="Arial" w:eastAsia="Arial" w:hAnsi="Arial"/>
          <w:b w:val="false"/>
          <w:bCs w:val="false"/>
          <w:i w:val="false"/>
          <w:iCs w:val="false"/>
          <w:color w:val="2C3E50"/>
          <w:sz w:val="22"/>
          <w:szCs w:val="22"/>
        </w:rPr>
        <w:t xml:space="preserve">El proceso de patentamiento comprende: presentacion de solicitud (Hoja Solicitud + Hoja Tecnica + Memoria Descriptiva + Reivindicaciones + Dibujos), examen preliminar formal, publicacion en Diario Oficial, periodo de oposicion de 45 dias habiles, pago de arancel pericial, examen de fondo por perito, y resolucion del Director Nacional de INAPI. El plazo promedio de tramitacion es de 2.6 anos. La patente de invencion otorga 20 anos de proteccion exclusiva.</w:t>
      </w:r>
    </w:p>
    <w:p>
      <w:r>
        <w:br w:type="page"/>
      </w:r>
    </w:p>
    <w:p>
      <w:pPr>
        <w:pStyle w:val="Heading1"/>
        <w:spacing w:before="300" w:after="200"/>
      </w:pPr>
      <w:r>
        <w:t xml:space="preserve">3. ESTADO DEL ARTE Y BUSQUEDA DE ANTERIORIDADES</w:t>
      </w:r>
    </w:p>
    <w:p>
      <w:pPr>
        <w:spacing w:after="160" w:before="0" w:line="276"/>
        <w:jc w:val="both"/>
      </w:pPr>
      <w:r>
        <w:rPr>
          <w:rFonts w:ascii="Arial" w:cs="Arial" w:eastAsia="Arial" w:hAnsi="Arial"/>
          <w:b w:val="false"/>
          <w:bCs w:val="false"/>
          <w:i w:val="false"/>
          <w:iCs w:val="false"/>
          <w:color w:val="2C3E50"/>
          <w:sz w:val="22"/>
          <w:szCs w:val="22"/>
        </w:rPr>
        <w:t xml:space="preserve">Se realizo busqueda exhaustiva del estado de la tecnica en las siguientes fuentes:</w:t>
      </w:r>
    </w:p>
    <w:p>
      <w:pPr>
        <w:pStyle w:val="ListParagraph"/>
        <w:numPr>
          <w:ilvl w:val="0"/>
          <w:numId w:val="2"/>
        </w:numPr>
        <w:spacing w:after="80" w:line="276"/>
      </w:pPr>
      <w:r>
        <w:rPr>
          <w:rFonts w:ascii="Arial" w:cs="Arial" w:eastAsia="Arial" w:hAnsi="Arial"/>
          <w:color w:val="2C3E50"/>
          <w:sz w:val="22"/>
          <w:szCs w:val="22"/>
        </w:rPr>
        <w:t xml:space="preserve">Google Patents / USPTO / WIPO PatentScope: Busqueda por keywords en ingles y espanol</w:t>
      </w:r>
    </w:p>
    <w:p>
      <w:pPr>
        <w:pStyle w:val="ListParagraph"/>
        <w:numPr>
          <w:ilvl w:val="0"/>
          <w:numId w:val="2"/>
        </w:numPr>
        <w:spacing w:after="80" w:line="276"/>
      </w:pPr>
      <w:r>
        <w:rPr>
          <w:rFonts w:ascii="Arial" w:cs="Arial" w:eastAsia="Arial" w:hAnsi="Arial"/>
          <w:color w:val="2C3E50"/>
          <w:sz w:val="22"/>
          <w:szCs w:val="22"/>
        </w:rPr>
        <w:t xml:space="preserve">INAPI Chile: Base de datos de patentes nacionales</w:t>
      </w:r>
    </w:p>
    <w:p>
      <w:pPr>
        <w:pStyle w:val="ListParagraph"/>
        <w:numPr>
          <w:ilvl w:val="0"/>
          <w:numId w:val="2"/>
        </w:numPr>
        <w:spacing w:after="80" w:line="276"/>
      </w:pPr>
      <w:r>
        <w:rPr>
          <w:rFonts w:ascii="Arial" w:cs="Arial" w:eastAsia="Arial" w:hAnsi="Arial"/>
          <w:color w:val="2C3E50"/>
          <w:sz w:val="22"/>
          <w:szCs w:val="22"/>
        </w:rPr>
        <w:t xml:space="preserve">Scopus / Web of Science: Publicaciones academicas</w:t>
      </w:r>
    </w:p>
    <w:p>
      <w:pPr>
        <w:pStyle w:val="ListParagraph"/>
        <w:numPr>
          <w:ilvl w:val="0"/>
          <w:numId w:val="2"/>
        </w:numPr>
        <w:spacing w:after="80" w:line="276"/>
      </w:pPr>
      <w:r>
        <w:rPr>
          <w:rFonts w:ascii="Arial" w:cs="Arial" w:eastAsia="Arial" w:hAnsi="Arial"/>
          <w:color w:val="2C3E50"/>
          <w:sz w:val="22"/>
          <w:szCs w:val="22"/>
        </w:rPr>
        <w:t xml:space="preserve">Mercado PropTech global: Analisis de 200+ plataformas (Zillow, CoStar, CBRE EA, Yardi, AppFolio, Buildium, etc.)</w:t>
      </w:r>
    </w:p>
    <w:p>
      <w:pPr>
        <w:pStyle w:val="ListParagraph"/>
        <w:numPr>
          <w:ilvl w:val="0"/>
          <w:numId w:val="2"/>
        </w:numPr>
        <w:spacing w:after="80" w:line="276"/>
      </w:pPr>
      <w:r>
        <w:rPr>
          <w:rFonts w:ascii="Arial" w:cs="Arial" w:eastAsia="Arial" w:hAnsi="Arial"/>
          <w:color w:val="2C3E50"/>
          <w:sz w:val="22"/>
          <w:szCs w:val="22"/>
        </w:rPr>
        <w:t xml:space="preserve">Mercado RegTech: ComplyAdvantage, LogicGate, Compliance.ai, OneTrust, etc.</w:t>
      </w:r>
    </w:p>
    <w:p>
      <w:pPr>
        <w:pStyle w:val="ListParagraph"/>
        <w:numPr>
          <w:ilvl w:val="0"/>
          <w:numId w:val="2"/>
        </w:numPr>
        <w:spacing w:after="80" w:line="276"/>
      </w:pPr>
      <w:r>
        <w:rPr>
          <w:rFonts w:ascii="Arial" w:cs="Arial" w:eastAsia="Arial" w:hAnsi="Arial"/>
          <w:color w:val="2C3E50"/>
          <w:sz w:val="22"/>
          <w:szCs w:val="22"/>
        </w:rPr>
        <w:t xml:space="preserve">Bases de patentes especializadas: Espacenet (EPO), J-PlatPat (JPO), CNIPA (China)</w:t>
      </w:r>
    </w:p>
    <w:p>
      <w:pPr>
        <w:pStyle w:val="Heading2"/>
        <w:spacing w:before="300" w:after="200"/>
      </w:pPr>
      <w:r>
        <w:t xml:space="preserve">3.1 Hallazgos del Estado del Arte</w:t>
      </w:r>
    </w:p>
    <w:p>
      <w:pPr>
        <w:spacing w:after="160" w:before="0" w:line="276"/>
        <w:jc w:val="both"/>
      </w:pPr>
      <w:r>
        <w:rPr>
          <w:rFonts w:ascii="Arial" w:cs="Arial" w:eastAsia="Arial" w:hAnsi="Arial"/>
          <w:b/>
          <w:bCs/>
          <w:color w:val="2C3E50"/>
          <w:sz w:val="22"/>
          <w:szCs w:val="22"/>
        </w:rPr>
        <w:t xml:space="preserve">Analisis predictivo inmobiliario: </w:t>
      </w:r>
      <w:r>
        <w:rPr>
          <w:rFonts w:ascii="Arial" w:cs="Arial" w:eastAsia="Arial" w:hAnsi="Arial"/>
          <w:color w:val="2C3E50"/>
          <w:sz w:val="22"/>
          <w:szCs w:val="22"/>
        </w:rPr>
        <w:t xml:space="preserve">Existen patentes de valoracion automatizada (US5361201A - Real estate appraisal using predictive modeling, 1993; multiples patentes de Zillow, CoreLogic). Sin embargo, todas operan sobre el activo individual y sus caracteristicas intrinsecas. Ninguna incorpora analisis de efectos indirectos territoriales ni conceptos precesionales.</w:t>
      </w:r>
    </w:p>
    <w:p>
      <w:pPr>
        <w:spacing w:after="160" w:before="0" w:line="276"/>
        <w:jc w:val="both"/>
      </w:pPr>
      <w:r>
        <w:rPr>
          <w:rFonts w:ascii="Arial" w:cs="Arial" w:eastAsia="Arial" w:hAnsi="Arial"/>
          <w:b/>
          <w:bCs/>
          <w:color w:val="2C3E50"/>
          <w:sz w:val="22"/>
          <w:szCs w:val="22"/>
        </w:rPr>
        <w:t xml:space="preserve">Multi-Agent Systems: </w:t>
      </w:r>
      <w:r>
        <w:rPr>
          <w:rFonts w:ascii="Arial" w:cs="Arial" w:eastAsia="Arial" w:hAnsi="Arial"/>
          <w:color w:val="2C3E50"/>
          <w:sz w:val="22"/>
          <w:szCs w:val="22"/>
        </w:rPr>
        <w:t xml:space="preserve">Frameworks existentes (AutoGPT, CrewAI, LangGraph, Microsoft Semantic Kernel) proporcionan infraestructura generica de orquestacion. Ninguno integra clasificacion geoespacial-normativa como criterio de enrutamiento.</w:t>
      </w:r>
    </w:p>
    <w:p>
      <w:pPr>
        <w:spacing w:after="160" w:before="0" w:line="276"/>
        <w:jc w:val="both"/>
      </w:pPr>
      <w:r>
        <w:rPr>
          <w:rFonts w:ascii="Arial" w:cs="Arial" w:eastAsia="Arial" w:hAnsi="Arial"/>
          <w:b/>
          <w:bCs/>
          <w:color w:val="2C3E50"/>
          <w:sz w:val="22"/>
          <w:szCs w:val="22"/>
        </w:rPr>
        <w:t xml:space="preserve">Compliance PropTech: </w:t>
      </w:r>
      <w:r>
        <w:rPr>
          <w:rFonts w:ascii="Arial" w:cs="Arial" w:eastAsia="Arial" w:hAnsi="Arial"/>
          <w:color w:val="2C3E50"/>
          <w:sz w:val="22"/>
          <w:szCs w:val="22"/>
        </w:rPr>
        <w:t xml:space="preserve">Plataformas como TenantEvaluation, AppFolio y Buildium ofrecen compliance para HOA/condominios en EE.UU. Ninguna integra normativa latinoamericana ni utiliza grafos normativos con georeferenciacion municipal.</w:t>
      </w:r>
    </w:p>
    <w:p>
      <w:pPr>
        <w:spacing w:after="160" w:before="0" w:line="276"/>
        <w:jc w:val="both"/>
      </w:pPr>
      <w:r>
        <w:rPr>
          <w:rFonts w:ascii="Arial" w:cs="Arial" w:eastAsia="Arial" w:hAnsi="Arial"/>
          <w:b/>
          <w:bCs/>
          <w:color w:val="2C3E50"/>
          <w:sz w:val="22"/>
          <w:szCs w:val="22"/>
        </w:rPr>
        <w:t xml:space="preserve">Urban Analytics AI: </w:t>
      </w:r>
      <w:r>
        <w:rPr>
          <w:rFonts w:ascii="Arial" w:cs="Arial" w:eastAsia="Arial" w:hAnsi="Arial"/>
          <w:color w:val="2C3E50"/>
          <w:sz w:val="22"/>
          <w:szCs w:val="22"/>
        </w:rPr>
        <w:t xml:space="preserve">Plataformas como Orbital Insight, Descartes Labs y UrbanFootprint aplican ML a datos geoespaciales, pero para analisis descriptivo-diagnostico, no predictivo-precesional.</w:t>
      </w:r>
    </w:p>
    <w:p>
      <w:pPr>
        <w:spacing w:after="160" w:before="0" w:line="276"/>
        <w:jc w:val="both"/>
      </w:pPr>
      <w:r>
        <w:rPr>
          <w:rFonts w:ascii="Arial" w:cs="Arial" w:eastAsia="Arial" w:hAnsi="Arial"/>
          <w:b/>
          <w:bCs/>
          <w:color w:val="27AE60"/>
          <w:sz w:val="22"/>
          <w:szCs w:val="22"/>
        </w:rPr>
        <w:t xml:space="preserve">Conclusion del analisis de anterioridades: </w:t>
      </w:r>
      <w:r>
        <w:rPr>
          <w:rFonts w:ascii="Arial" w:cs="Arial" w:eastAsia="Arial" w:hAnsi="Arial"/>
          <w:color w:val="27AE60"/>
          <w:sz w:val="22"/>
          <w:szCs w:val="22"/>
        </w:rPr>
        <w:t xml:space="preserve">No se encontraron patentes ni publicaciones que anticipen las innovaciones especificas descritas en este documento, particularmente el concepto de analisis precesional territorial y su implementacion computacional.</w:t>
      </w:r>
    </w:p>
    <w:p>
      <w:r>
        <w:br w:type="page"/>
      </w:r>
    </w:p>
    <w:p>
      <w:pPr>
        <w:pStyle w:val="Heading1"/>
        <w:spacing w:before="300" w:after="200"/>
      </w:pPr>
      <w:r>
        <w:t xml:space="preserve">4. ANALISIS DETALLADO DE INNOVACIONES PATENTABLES</w:t>
      </w:r>
    </w:p>
    <w:p>
      <w:pPr>
        <w:pStyle w:val="Heading2"/>
        <w:spacing w:before="300" w:after="200"/>
      </w:pPr>
      <w:r>
        <w:t xml:space="preserve">4.1 INV-001: Precession Analytics Engine (PAE)</w:t>
      </w:r>
    </w:p>
    <w:p>
      <w:pPr>
        <w:spacing w:after="160" w:before="0" w:line="276"/>
        <w:jc w:val="both"/>
      </w:pPr>
      <w:r>
        <w:rPr>
          <w:rFonts w:ascii="Arial" w:cs="Arial" w:eastAsia="Arial" w:hAnsi="Arial"/>
          <w:b/>
          <w:bCs/>
          <w:color w:val="2C3E50"/>
          <w:sz w:val="22"/>
          <w:szCs w:val="22"/>
        </w:rPr>
        <w:t xml:space="preserve">Categoria: </w:t>
      </w:r>
      <w:r>
        <w:rPr>
          <w:rFonts w:ascii="Arial" w:cs="Arial" w:eastAsia="Arial" w:hAnsi="Arial"/>
          <w:color w:val="2E75B6"/>
          <w:sz w:val="22"/>
          <w:szCs w:val="22"/>
        </w:rPr>
        <w:t xml:space="preserve">Motor de Analisis Predictivo Territorial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Novedad</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 Inventivo</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Aplicacion Industrial</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Patentabilidad</w:t>
            </w:r>
          </w:p>
        </w:tc>
      </w:tr>
      <w:tr>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9/10</w:t>
            </w:r>
          </w:p>
        </w:tc>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9/10</w:t>
            </w:r>
          </w:p>
        </w:tc>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8/10</w:t>
            </w:r>
          </w:p>
        </w:tc>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ALTA</w:t>
            </w:r>
          </w:p>
        </w:tc>
      </w:tr>
    </w:tbl>
    <w:p>
      <w:pPr>
        <w:spacing w:before="200"/>
      </w:pPr>
    </w:p>
    <w:p>
      <w:pPr>
        <w:pStyle w:val="Heading3"/>
        <w:spacing w:before="300" w:after="200"/>
      </w:pPr>
      <w:r>
        <w:t xml:space="preserve">Problema tecnico</w:t>
      </w:r>
    </w:p>
    <w:p>
      <w:pPr>
        <w:spacing w:after="160" w:before="0" w:line="276"/>
        <w:jc w:val="both"/>
      </w:pPr>
      <w:r>
        <w:rPr>
          <w:rFonts w:ascii="Arial" w:cs="Arial" w:eastAsia="Arial" w:hAnsi="Arial"/>
          <w:b w:val="false"/>
          <w:bCs w:val="false"/>
          <w:i w:val="false"/>
          <w:iCs w:val="false"/>
          <w:color w:val="2C3E50"/>
          <w:sz w:val="22"/>
          <w:szCs w:val="22"/>
        </w:rPr>
        <w:t xml:space="preserve">Los sistemas existentes de analisis urbano/inmobiliario solo evaluan efectos directos (lineales) de intervenciones territoriales. No existe en el estado del arte ningun sistema que detecte, cuantifique y prediga sistematicamente los efectos indirectos (precesionales, a +90 grados) de proyectos urbanos sobre variables economicas, sociales, normativas y ambientales en horizontes de 5-20 anos.</w:t>
      </w:r>
    </w:p>
    <w:p>
      <w:pPr>
        <w:pStyle w:val="Heading3"/>
        <w:spacing w:before="300" w:after="200"/>
      </w:pPr>
      <w:r>
        <w:t xml:space="preserve">Solucion tecnica</w:t>
      </w:r>
    </w:p>
    <w:p>
      <w:pPr>
        <w:spacing w:after="160" w:before="0" w:line="276"/>
        <w:jc w:val="both"/>
      </w:pPr>
      <w:r>
        <w:rPr>
          <w:rFonts w:ascii="Arial" w:cs="Arial" w:eastAsia="Arial" w:hAnsi="Arial"/>
          <w:b w:val="false"/>
          <w:bCs w:val="false"/>
          <w:i w:val="false"/>
          <w:iCs w:val="false"/>
          <w:color w:val="2C3E50"/>
          <w:sz w:val="22"/>
          <w:szCs w:val="22"/>
        </w:rPr>
        <w:t xml:space="preserve">Motor computacional basado en la teoria de precesion de R. Buckminster Fuller que implementa un Precession Graph Engine (PGE) como grafo dirigido ponderado donde los nodos representan variables urbanas y las aristas codifican relaciones precesionales con atributos de peso, angulo (0/45/90/135/180 grados) y horizonte temporal. Integra 5 modelos ML especializados (XGBoost+Prophet para valorizacion, LSTM para morosidad, Random Forest para densificacion, Gradient Boosting para demanda equipamiento, NLP para riesgo normativo) y un Spatial Analysis Engine con PostGIS para zonas de influencia concentricas (300m-5000m).</w:t>
      </w:r>
    </w:p>
    <w:p>
      <w:pPr>
        <w:pStyle w:val="Heading3"/>
        <w:spacing w:before="300" w:after="200"/>
      </w:pPr>
      <w:r>
        <w:t xml:space="preserve">Justificacion de novedad</w:t>
      </w:r>
    </w:p>
    <w:p>
      <w:pPr>
        <w:spacing w:after="160" w:before="0" w:line="276"/>
        <w:jc w:val="both"/>
      </w:pPr>
      <w:r>
        <w:rPr>
          <w:rFonts w:ascii="Arial" w:cs="Arial" w:eastAsia="Arial" w:hAnsi="Arial"/>
          <w:b w:val="false"/>
          <w:bCs w:val="false"/>
          <w:i w:val="false"/>
          <w:iCs w:val="false"/>
          <w:color w:val="2C3E50"/>
          <w:sz w:val="22"/>
          <w:szCs w:val="22"/>
        </w:rPr>
        <w:t xml:space="preserve">No existe ninguna patente ni publicacion academica que aplique la teoria de precesion de Fuller como framework computacional para prediccion territorial. Las busquedas en Google Patents, USPTO, WIPO y bases academicas (Scopus, Web of Science) no arrojan resultados de motores predictivos basados en efectos precesionales para real estate o urbanismo. Los sistemas existentes (Zillow Zestimate, CoStar, CBRE EA) operan exclusivamente con efectos directos.</w:t>
      </w:r>
    </w:p>
    <w:p>
      <w:pPr>
        <w:pStyle w:val="Heading3"/>
        <w:spacing w:before="300" w:after="200"/>
      </w:pPr>
      <w:r>
        <w:t xml:space="preserve">Reivindicaciones propuestas</w:t>
      </w:r>
    </w:p>
    <w:p>
      <w:pPr>
        <w:spacing w:after="160" w:before="0" w:line="276"/>
        <w:jc w:val="both"/>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Metodo implementado por computador para predecir efectos precesionales de intervenciones urbanas mediante grafo dirigido ponderado con angulos de efecto (0/45/90/135/180 grados)</w:t>
      </w:r>
    </w:p>
    <w:p>
      <w:pPr>
        <w:spacing w:after="160" w:before="0" w:line="276"/>
        <w:jc w:val="both"/>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Sistema computacional que calcula un Multiplicador Precesional integrando efectos directos e indirectos sobre multiples dimensiones territoriales</w:t>
      </w:r>
    </w:p>
    <w:p>
      <w:pPr>
        <w:spacing w:after="160" w:before="0" w:line="276"/>
        <w:jc w:val="both"/>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Algoritmo de deteccion de cascadas precesionales usando propagacion en grafos con atenuacion temporal y espacial</w:t>
      </w:r>
    </w:p>
    <w:p>
      <w:r>
        <w:br w:type="page"/>
      </w:r>
    </w:p>
    <w:p>
      <w:pPr>
        <w:pStyle w:val="Heading2"/>
        <w:spacing w:before="300" w:after="200"/>
      </w:pPr>
      <w:r>
        <w:t xml:space="preserve">4.2 INV-002: Arquitectura Cores Independientes con Ontologia Precesional Compartida</w:t>
      </w:r>
    </w:p>
    <w:p>
      <w:pPr>
        <w:spacing w:after="160" w:before="0" w:line="276"/>
        <w:jc w:val="both"/>
      </w:pPr>
      <w:r>
        <w:rPr>
          <w:rFonts w:ascii="Arial" w:cs="Arial" w:eastAsia="Arial" w:hAnsi="Arial"/>
          <w:b/>
          <w:bCs/>
          <w:color w:val="2C3E50"/>
          <w:sz w:val="22"/>
          <w:szCs w:val="22"/>
        </w:rPr>
        <w:t xml:space="preserve">Categoria: </w:t>
      </w:r>
      <w:r>
        <w:rPr>
          <w:rFonts w:ascii="Arial" w:cs="Arial" w:eastAsia="Arial" w:hAnsi="Arial"/>
          <w:color w:val="2E75B6"/>
          <w:sz w:val="22"/>
          <w:szCs w:val="22"/>
        </w:rPr>
        <w:t xml:space="preserve">Arquitectura de Software Hibrida Multi-Stack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Novedad</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 Inventivo</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Aplicacion Industrial</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Patentabilidad</w:t>
            </w:r>
          </w:p>
        </w:tc>
      </w:tr>
      <w:tr>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8/10</w:t>
            </w:r>
          </w:p>
        </w:tc>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8/10</w:t>
            </w:r>
          </w:p>
        </w:tc>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9/10</w:t>
            </w:r>
          </w:p>
        </w:tc>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ALTA</w:t>
            </w:r>
          </w:p>
        </w:tc>
      </w:tr>
    </w:tbl>
    <w:p>
      <w:pPr>
        <w:spacing w:before="200"/>
      </w:pPr>
    </w:p>
    <w:p>
      <w:pPr>
        <w:pStyle w:val="Heading3"/>
        <w:spacing w:before="300" w:after="200"/>
      </w:pPr>
      <w:r>
        <w:t xml:space="preserve">Problema tecnico</w:t>
      </w:r>
    </w:p>
    <w:p>
      <w:pPr>
        <w:spacing w:after="160" w:before="0" w:line="276"/>
        <w:jc w:val="both"/>
      </w:pPr>
      <w:r>
        <w:rPr>
          <w:rFonts w:ascii="Arial" w:cs="Arial" w:eastAsia="Arial" w:hAnsi="Arial"/>
          <w:b w:val="false"/>
          <w:bCs w:val="false"/>
          <w:i w:val="false"/>
          <w:iCs w:val="false"/>
          <w:color w:val="2C3E50"/>
          <w:sz w:val="22"/>
          <w:szCs w:val="22"/>
        </w:rPr>
        <w:t xml:space="preserve">Las plataformas multi-tecnologia (PHP/Python) que requieren compartir logica analitica compleja enfrentan el dilema entre duplicacion de codigo, microservicios con alta latencia, o acoplamiento fuerte. No existe una arquitectura que permita operar la misma logica de dominio en stacks nativos diferentes manteniendo coherencia semantica garantizada.</w:t>
      </w:r>
    </w:p>
    <w:p>
      <w:pPr>
        <w:pStyle w:val="Heading3"/>
        <w:spacing w:before="300" w:after="200"/>
      </w:pPr>
      <w:r>
        <w:t xml:space="preserve">Solucion tecnica</w:t>
      </w:r>
    </w:p>
    <w:p>
      <w:pPr>
        <w:spacing w:after="160" w:before="0" w:line="276"/>
        <w:jc w:val="both"/>
      </w:pPr>
      <w:r>
        <w:rPr>
          <w:rFonts w:ascii="Arial" w:cs="Arial" w:eastAsia="Arial" w:hAnsi="Arial"/>
          <w:b w:val="false"/>
          <w:bCs w:val="false"/>
          <w:i w:val="false"/>
          <w:iCs w:val="false"/>
          <w:color w:val="2C3E50"/>
          <w:sz w:val="22"/>
          <w:szCs w:val="22"/>
        </w:rPr>
        <w:t xml:space="preserve">Arquitectura de cores independientes nativos donde el mismo motor analitico (PAE) opera en PHP/Laravel (DATAPOLIS v3.0, nivel micro-copropiedades) y Python/FastAPI (AGORA v4.0, nivel meso/macro-territorios), conectados mediante una Ontologia Precesional Compartida definida en JSON-LD que garantiza coherencia semantica cross-platform, sincronizados via Event Bus asincrono (pub/sub) con latencia controlada 200-500ms.</w:t>
      </w:r>
    </w:p>
    <w:p>
      <w:pPr>
        <w:pStyle w:val="Heading3"/>
        <w:spacing w:before="300" w:after="200"/>
      </w:pPr>
      <w:r>
        <w:t xml:space="preserve">Justificacion de novedad</w:t>
      </w:r>
    </w:p>
    <w:p>
      <w:pPr>
        <w:spacing w:after="160" w:before="0" w:line="276"/>
        <w:jc w:val="both"/>
      </w:pPr>
      <w:r>
        <w:rPr>
          <w:rFonts w:ascii="Arial" w:cs="Arial" w:eastAsia="Arial" w:hAnsi="Arial"/>
          <w:b w:val="false"/>
          <w:bCs w:val="false"/>
          <w:i w:val="false"/>
          <w:iCs w:val="false"/>
          <w:color w:val="2C3E50"/>
          <w:sz w:val="22"/>
          <w:szCs w:val="22"/>
        </w:rPr>
        <w:t xml:space="preserve">Si bien existen microservicios y event-driven architectures, la combinacion especifica de: (a) cores analiticos nativos en stacks diferentes, (b) ontologia compartida en JSON-LD como contrato semantico, y (c) Event Bus para sincronizacion bidireccional de resultados analiticos, constituye una contribucion nueva. No se encontraron patentes de arquitecturas hibridas con ontologia compartida para analisis territorial dual-stack.</w:t>
      </w:r>
    </w:p>
    <w:p>
      <w:pPr>
        <w:pStyle w:val="Heading3"/>
        <w:spacing w:before="300" w:after="200"/>
      </w:pPr>
      <w:r>
        <w:t xml:space="preserve">Reivindicaciones propuestas</w:t>
      </w:r>
    </w:p>
    <w:p>
      <w:pPr>
        <w:spacing w:after="160" w:before="0" w:line="276"/>
        <w:jc w:val="both"/>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Sistema de procesamiento distribuido con cores analiticos nativos en diferentes stacks tecnologicos unidos por ontologia semantica compartida</w:t>
      </w:r>
    </w:p>
    <w:p>
      <w:pPr>
        <w:spacing w:after="160" w:before="0" w:line="276"/>
        <w:jc w:val="both"/>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Metodo de sincronizacion cross-platform de resultados analiticos territoriales mediante Event Bus con propagacion selectiva basada en reglas ontologicas</w:t>
      </w:r>
    </w:p>
    <w:p>
      <w:pPr>
        <w:spacing w:after="160" w:before="0" w:line="276"/>
        <w:jc w:val="both"/>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Estructura de datos ontologica para representacion unificada de efectos precesionales territoriales interoperable entre PHP y Python</w:t>
      </w:r>
    </w:p>
    <w:p>
      <w:r>
        <w:br w:type="page"/>
      </w:r>
    </w:p>
    <w:p>
      <w:pPr>
        <w:pStyle w:val="Heading2"/>
        <w:spacing w:before="300" w:after="200"/>
      </w:pPr>
      <w:r>
        <w:t xml:space="preserve">4.3 INV-003: Simulador Predictivo de Sanciones por Incumplimiento Condominial</w:t>
      </w:r>
    </w:p>
    <w:p>
      <w:pPr>
        <w:spacing w:after="160" w:before="0" w:line="276"/>
        <w:jc w:val="both"/>
      </w:pPr>
      <w:r>
        <w:rPr>
          <w:rFonts w:ascii="Arial" w:cs="Arial" w:eastAsia="Arial" w:hAnsi="Arial"/>
          <w:b/>
          <w:bCs/>
          <w:color w:val="2C3E50"/>
          <w:sz w:val="22"/>
          <w:szCs w:val="22"/>
        </w:rPr>
        <w:t xml:space="preserve">Categoria: </w:t>
      </w:r>
      <w:r>
        <w:rPr>
          <w:rFonts w:ascii="Arial" w:cs="Arial" w:eastAsia="Arial" w:hAnsi="Arial"/>
          <w:color w:val="2E75B6"/>
          <w:sz w:val="22"/>
          <w:szCs w:val="22"/>
        </w:rPr>
        <w:t xml:space="preserve">RegTech / Compliance Automatizado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Novedad</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 Inventivo</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Aplicacion Industrial</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Patentabilidad</w:t>
            </w:r>
          </w:p>
        </w:tc>
      </w:tr>
      <w:tr>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8/10</w:t>
            </w:r>
          </w:p>
        </w:tc>
        <w:tc>
          <w:tcPr>
            <w:tcW w:type="dxa" w:w="225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7/10</w:t>
            </w:r>
          </w:p>
        </w:tc>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9/10</w:t>
            </w:r>
          </w:p>
        </w:tc>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ALTA</w:t>
            </w:r>
          </w:p>
        </w:tc>
      </w:tr>
    </w:tbl>
    <w:p>
      <w:pPr>
        <w:spacing w:before="200"/>
      </w:pPr>
    </w:p>
    <w:p>
      <w:pPr>
        <w:pStyle w:val="Heading3"/>
        <w:spacing w:before="300" w:after="200"/>
      </w:pPr>
      <w:r>
        <w:t xml:space="preserve">Problema tecnico</w:t>
      </w:r>
    </w:p>
    <w:p>
      <w:pPr>
        <w:spacing w:after="160" w:before="0" w:line="276"/>
        <w:jc w:val="both"/>
      </w:pPr>
      <w:r>
        <w:rPr>
          <w:rFonts w:ascii="Arial" w:cs="Arial" w:eastAsia="Arial" w:hAnsi="Arial"/>
          <w:b w:val="false"/>
          <w:bCs w:val="false"/>
          <w:i w:val="false"/>
          <w:iCs w:val="false"/>
          <w:color w:val="2C3E50"/>
          <w:sz w:val="22"/>
          <w:szCs w:val="22"/>
        </w:rPr>
        <w:t xml:space="preserve">Los administradores de copropiedades en Chile enfrentan un marco normativo complejo (Leyes 21.442, 21.713, 21.719, DS 7-2025) con sanciones que van desde 1 a 150 UTM. No existe ningun sistema que simule proactivamente el riesgo de sancion basandose en el estado actual de cumplimiento, generando alertas tempranas y cuantificando la exposicion financiera en tiempo real.</w:t>
      </w:r>
    </w:p>
    <w:p>
      <w:pPr>
        <w:pStyle w:val="Heading3"/>
        <w:spacing w:before="300" w:after="200"/>
      </w:pPr>
      <w:r>
        <w:t xml:space="preserve">Solucion tecnica</w:t>
      </w:r>
    </w:p>
    <w:p>
      <w:pPr>
        <w:spacing w:after="160" w:before="0" w:line="276"/>
        <w:jc w:val="both"/>
      </w:pPr>
      <w:r>
        <w:rPr>
          <w:rFonts w:ascii="Arial" w:cs="Arial" w:eastAsia="Arial" w:hAnsi="Arial"/>
          <w:b w:val="false"/>
          <w:bCs w:val="false"/>
          <w:i w:val="false"/>
          <w:iCs w:val="false"/>
          <w:color w:val="2C3E50"/>
          <w:sz w:val="22"/>
          <w:szCs w:val="22"/>
        </w:rPr>
        <w:t xml:space="preserve">Motor de simulacion que integra las 25+ leyes chilenas georeferenciadas aplicables a copropiedades, mantiene un grafo de obligaciones normativas con plazos, umbrales y montos de sancion parametrizados, y ejecuta simulaciones Monte Carlo sobre el estado de cumplimiento actual para generar: (a) probabilidad de fiscalizacion, (b) monto esperado de sancion, (c) costo de oportunidad de no-cumplimiento, y (d) ruta optima de remediacion priorizada por costo-beneficio.</w:t>
      </w:r>
    </w:p>
    <w:p>
      <w:pPr>
        <w:pStyle w:val="Heading3"/>
        <w:spacing w:before="300" w:after="200"/>
      </w:pPr>
      <w:r>
        <w:t xml:space="preserve">Justificacion de novedad</w:t>
      </w:r>
    </w:p>
    <w:p>
      <w:pPr>
        <w:spacing w:after="160" w:before="0" w:line="276"/>
        <w:jc w:val="both"/>
      </w:pPr>
      <w:r>
        <w:rPr>
          <w:rFonts w:ascii="Arial" w:cs="Arial" w:eastAsia="Arial" w:hAnsi="Arial"/>
          <w:b w:val="false"/>
          <w:bCs w:val="false"/>
          <w:i w:val="false"/>
          <w:iCs w:val="false"/>
          <w:color w:val="2C3E50"/>
          <w:sz w:val="22"/>
          <w:szCs w:val="22"/>
        </w:rPr>
        <w:t xml:space="preserve">Los sistemas RegTech existentes (ComplyAdvantage, LogicGate, Compliance.ai) operan en sector financiero o salud. No existe ningun simulador predictivo de sanciones especificamente disenado para normativa condominial latinoamericana. La combinacion de grafo normativo, simulacion Monte Carlo y optimizacion de remediacion es unica en el dominio PropTech.</w:t>
      </w:r>
    </w:p>
    <w:p>
      <w:pPr>
        <w:pStyle w:val="Heading3"/>
        <w:spacing w:before="300" w:after="200"/>
      </w:pPr>
      <w:r>
        <w:t xml:space="preserve">Reivindicaciones propuestas</w:t>
      </w:r>
    </w:p>
    <w:p>
      <w:pPr>
        <w:spacing w:after="160" w:before="0" w:line="276"/>
        <w:jc w:val="both"/>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Sistema implementado por computador para simulacion predictiva de riesgos de sancion en copropiedades integrando multiples marcos normativos georeferenciados</w:t>
      </w:r>
    </w:p>
    <w:p>
      <w:pPr>
        <w:spacing w:after="160" w:before="0" w:line="276"/>
        <w:jc w:val="both"/>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Metodo de calculo de exposicion financiera por incumplimiento condominial mediante simulacion Monte Carlo sobre grafo de obligaciones normativas</w:t>
      </w:r>
    </w:p>
    <w:p>
      <w:pPr>
        <w:spacing w:after="160" w:before="0" w:line="276"/>
        <w:jc w:val="both"/>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Algoritmo de optimizacion de rutas de remediacion normativa priorizadas por ratio costo-beneficio</w:t>
      </w:r>
    </w:p>
    <w:p>
      <w:r>
        <w:br w:type="page"/>
      </w:r>
    </w:p>
    <w:p>
      <w:pPr>
        <w:pStyle w:val="Heading2"/>
        <w:spacing w:before="300" w:after="200"/>
      </w:pPr>
      <w:r>
        <w:t xml:space="preserve">4.4 INV-004: GeoIAOrchestrator: Orquestador Inteligente Multi-Agente con Clasificacion Geoespacial</w:t>
      </w:r>
    </w:p>
    <w:p>
      <w:pPr>
        <w:spacing w:after="160" w:before="0" w:line="276"/>
        <w:jc w:val="both"/>
      </w:pPr>
      <w:r>
        <w:rPr>
          <w:rFonts w:ascii="Arial" w:cs="Arial" w:eastAsia="Arial" w:hAnsi="Arial"/>
          <w:b/>
          <w:bCs/>
          <w:color w:val="2C3E50"/>
          <w:sz w:val="22"/>
          <w:szCs w:val="22"/>
        </w:rPr>
        <w:t xml:space="preserve">Categoria: </w:t>
      </w:r>
      <w:r>
        <w:rPr>
          <w:rFonts w:ascii="Arial" w:cs="Arial" w:eastAsia="Arial" w:hAnsi="Arial"/>
          <w:color w:val="2E75B6"/>
          <w:sz w:val="22"/>
          <w:szCs w:val="22"/>
        </w:rPr>
        <w:t xml:space="preserve">Inteligencia Artificial / Multi-Agent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Novedad</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 Inventivo</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Aplicacion Industrial</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Patentabilidad</w:t>
            </w:r>
          </w:p>
        </w:tc>
      </w:tr>
      <w:tr>
        <w:tc>
          <w:tcPr>
            <w:tcW w:type="dxa" w:w="225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7/10</w:t>
            </w:r>
          </w:p>
        </w:tc>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8/10</w:t>
            </w:r>
          </w:p>
        </w:tc>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9/10</w:t>
            </w:r>
          </w:p>
        </w:tc>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ALTA</w:t>
            </w:r>
          </w:p>
        </w:tc>
      </w:tr>
    </w:tbl>
    <w:p>
      <w:pPr>
        <w:spacing w:before="200"/>
      </w:pPr>
    </w:p>
    <w:p>
      <w:pPr>
        <w:pStyle w:val="Heading3"/>
        <w:spacing w:before="300" w:after="200"/>
      </w:pPr>
      <w:r>
        <w:t xml:space="preserve">Problema tecnico</w:t>
      </w:r>
    </w:p>
    <w:p>
      <w:pPr>
        <w:spacing w:after="160" w:before="0" w:line="276"/>
        <w:jc w:val="both"/>
      </w:pPr>
      <w:r>
        <w:rPr>
          <w:rFonts w:ascii="Arial" w:cs="Arial" w:eastAsia="Arial" w:hAnsi="Arial"/>
          <w:b w:val="false"/>
          <w:bCs w:val="false"/>
          <w:i w:val="false"/>
          <w:iCs w:val="false"/>
          <w:color w:val="2C3E50"/>
          <w:sz w:val="22"/>
          <w:szCs w:val="22"/>
        </w:rPr>
        <w:t xml:space="preserve">Los sistemas multi-agente existentes orquestan agentes por tipo de tarea generica. En dominios geoespaciales-normativos, la misma consulta puede requerir diferentes agentes segun la ubicacion geografica (comuna, region), la normativa aplicable, y el contexto temporal. No existe un orquestador que integre clasificacion de intenciones con contexto geoespacial para enrutar consultas a agentes especializados.</w:t>
      </w:r>
    </w:p>
    <w:p>
      <w:pPr>
        <w:pStyle w:val="Heading3"/>
        <w:spacing w:before="300" w:after="200"/>
      </w:pPr>
      <w:r>
        <w:t xml:space="preserve">Solucion tecnica</w:t>
      </w:r>
    </w:p>
    <w:p>
      <w:pPr>
        <w:spacing w:after="160" w:before="0" w:line="276"/>
        <w:jc w:val="both"/>
      </w:pPr>
      <w:r>
        <w:rPr>
          <w:rFonts w:ascii="Arial" w:cs="Arial" w:eastAsia="Arial" w:hAnsi="Arial"/>
          <w:b w:val="false"/>
          <w:bCs w:val="false"/>
          <w:i w:val="false"/>
          <w:iCs w:val="false"/>
          <w:color w:val="2C3E50"/>
          <w:sz w:val="22"/>
          <w:szCs w:val="22"/>
        </w:rPr>
        <w:t xml:space="preserve">Capa de orquestacion FastAPI + LangChain que implementa: (a) Intent Classifier con contexto geoespacial (la misma consulta se enruta diferente segun comuna/region), (b) Entity Extractor que identifica entidades territoriales y las vincula con jurisdicciones normativas, (c) Agent Router que selecciona entre 10 agentes especializados (Chatbot, Validador, Buscador, Detector, Actas, Tributario, Plusvalia, Reservas, Constructibilidad, Marketplace) y (d) Memory Manager jerarquico de 5 niveles con persistencia contextual geoespacial.</w:t>
      </w:r>
    </w:p>
    <w:p>
      <w:pPr>
        <w:pStyle w:val="Heading3"/>
        <w:spacing w:before="300" w:after="200"/>
      </w:pPr>
      <w:r>
        <w:t xml:space="preserve">Justificacion de novedad</w:t>
      </w:r>
    </w:p>
    <w:p>
      <w:pPr>
        <w:spacing w:after="160" w:before="0" w:line="276"/>
        <w:jc w:val="both"/>
      </w:pPr>
      <w:r>
        <w:rPr>
          <w:rFonts w:ascii="Arial" w:cs="Arial" w:eastAsia="Arial" w:hAnsi="Arial"/>
          <w:b w:val="false"/>
          <w:bCs w:val="false"/>
          <w:i w:val="false"/>
          <w:iCs w:val="false"/>
          <w:color w:val="2C3E50"/>
          <w:sz w:val="22"/>
          <w:szCs w:val="22"/>
        </w:rPr>
        <w:t xml:space="preserve">Existen orquestadores multi-agente (AutoGPT, CrewAI, LangGraph), pero ninguno integra clasificacion geoespacial-normativa como criterio primario de enrutamiento. La combinacion de intent classification + jurisdiccion territorial + memoria jerarquica geoespacial no tiene precedentes en la literatura ni en patentes de sistemas multi-agente.</w:t>
      </w:r>
    </w:p>
    <w:p>
      <w:pPr>
        <w:pStyle w:val="Heading3"/>
        <w:spacing w:before="300" w:after="200"/>
      </w:pPr>
      <w:r>
        <w:t xml:space="preserve">Reivindicaciones propuestas</w:t>
      </w:r>
    </w:p>
    <w:p>
      <w:pPr>
        <w:spacing w:after="160" w:before="0" w:line="276"/>
        <w:jc w:val="both"/>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Sistema orquestador multi-agente que enruta consultas basandose en clasificacion conjunta de intencion y contexto geoespacial-normativo</w:t>
      </w:r>
    </w:p>
    <w:p>
      <w:pPr>
        <w:spacing w:after="160" w:before="0" w:line="276"/>
        <w:jc w:val="both"/>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Metodo de enrutamiento de agentes donde la jurisdiccion territorial determina la seleccion y parametrizacion del agente especializado</w:t>
      </w:r>
    </w:p>
    <w:p>
      <w:pPr>
        <w:spacing w:after="160" w:before="0" w:line="276"/>
        <w:jc w:val="both"/>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Sistema de memoria jerarquica de 5 niveles con persistencia contextual vinculada a entidades geoespaciales</w:t>
      </w:r>
    </w:p>
    <w:p>
      <w:r>
        <w:br w:type="page"/>
      </w:r>
    </w:p>
    <w:p>
      <w:pPr>
        <w:pStyle w:val="Heading2"/>
        <w:spacing w:before="300" w:after="200"/>
      </w:pPr>
      <w:r>
        <w:t xml:space="preserve">4.5 INV-005: Calculadora de Multiplicador Precesional para Inversion Inmobiliaria</w:t>
      </w:r>
    </w:p>
    <w:p>
      <w:pPr>
        <w:spacing w:after="160" w:before="0" w:line="276"/>
        <w:jc w:val="both"/>
      </w:pPr>
      <w:r>
        <w:rPr>
          <w:rFonts w:ascii="Arial" w:cs="Arial" w:eastAsia="Arial" w:hAnsi="Arial"/>
          <w:b/>
          <w:bCs/>
          <w:color w:val="2C3E50"/>
          <w:sz w:val="22"/>
          <w:szCs w:val="22"/>
        </w:rPr>
        <w:t xml:space="preserve">Categoria: </w:t>
      </w:r>
      <w:r>
        <w:rPr>
          <w:rFonts w:ascii="Arial" w:cs="Arial" w:eastAsia="Arial" w:hAnsi="Arial"/>
          <w:color w:val="2E75B6"/>
          <w:sz w:val="22"/>
          <w:szCs w:val="22"/>
        </w:rPr>
        <w:t xml:space="preserve">FinTech / Valoracion Inmobiliaria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Novedad</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 Inventivo</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Aplicacion Industrial</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Patentabilidad</w:t>
            </w:r>
          </w:p>
        </w:tc>
      </w:tr>
      <w:tr>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9/10</w:t>
            </w:r>
          </w:p>
        </w:tc>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8/10</w:t>
            </w:r>
          </w:p>
        </w:tc>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9/10</w:t>
            </w:r>
          </w:p>
        </w:tc>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MUY ALTA</w:t>
            </w:r>
          </w:p>
        </w:tc>
      </w:tr>
    </w:tbl>
    <w:p>
      <w:pPr>
        <w:spacing w:before="200"/>
      </w:pPr>
    </w:p>
    <w:p>
      <w:pPr>
        <w:pStyle w:val="Heading3"/>
        <w:spacing w:before="300" w:after="200"/>
      </w:pPr>
      <w:r>
        <w:t xml:space="preserve">Problema tecnico</w:t>
      </w:r>
    </w:p>
    <w:p>
      <w:pPr>
        <w:spacing w:after="160" w:before="0" w:line="276"/>
        <w:jc w:val="both"/>
      </w:pPr>
      <w:r>
        <w:rPr>
          <w:rFonts w:ascii="Arial" w:cs="Arial" w:eastAsia="Arial" w:hAnsi="Arial"/>
          <w:b w:val="false"/>
          <w:bCs w:val="false"/>
          <w:i w:val="false"/>
          <w:iCs w:val="false"/>
          <w:color w:val="2C3E50"/>
          <w:sz w:val="22"/>
          <w:szCs w:val="22"/>
        </w:rPr>
        <w:t xml:space="preserve">Los metodos de valoracion inmobiliaria (comparacion, ingresos, costo, hedonica) calculan el valor directo de un activo. Ningun metodo existente cuantifica sistematicamente el valor total generado por una inversion considerando sus efectos indirectos multiplicadores sobre el territorio circundante, lo que lleva a decisiones de inversion sub-optimas y a una asignacion ineficiente de capital urbano.</w:t>
      </w:r>
    </w:p>
    <w:p>
      <w:pPr>
        <w:pStyle w:val="Heading3"/>
        <w:spacing w:before="300" w:after="200"/>
      </w:pPr>
      <w:r>
        <w:t xml:space="preserve">Solucion tecnica</w:t>
      </w:r>
    </w:p>
    <w:p>
      <w:pPr>
        <w:spacing w:after="160" w:before="0" w:line="276"/>
        <w:jc w:val="both"/>
      </w:pPr>
      <w:r>
        <w:rPr>
          <w:rFonts w:ascii="Arial" w:cs="Arial" w:eastAsia="Arial" w:hAnsi="Arial"/>
          <w:b w:val="false"/>
          <w:bCs w:val="false"/>
          <w:i w:val="false"/>
          <w:iCs w:val="false"/>
          <w:color w:val="2C3E50"/>
          <w:sz w:val="22"/>
          <w:szCs w:val="22"/>
        </w:rPr>
        <w:t xml:space="preserve">Sistema computacional que calcula un Multiplicador Precesional (MP) mediante: (a) cuantificacion monetaria de efectos directos (0 grados) sobre el activo target, (b) cuantificacion de efectos precesionales inmediatos (90 grados) en radio 300m-2km a 1-3 anos, (c) modelamiento de efectos cascada (135-180 grados) en radio 2-5km a 5-20 anos, (d) calculo de loops de retroalimentacion, generando un MP expresado como multiplo del ROI directo. Caso validado: Proyecto Pudahuel 2,500 viviendas DS49 = Multiplicador 4.76x (UF 59.45M valor total vs UF 12.5M inversion directa).</w:t>
      </w:r>
    </w:p>
    <w:p>
      <w:pPr>
        <w:pStyle w:val="Heading3"/>
        <w:spacing w:before="300" w:after="200"/>
      </w:pPr>
      <w:r>
        <w:t xml:space="preserve">Justificacion de novedad</w:t>
      </w:r>
    </w:p>
    <w:p>
      <w:pPr>
        <w:spacing w:after="160" w:before="0" w:line="276"/>
        <w:jc w:val="both"/>
      </w:pPr>
      <w:r>
        <w:rPr>
          <w:rFonts w:ascii="Arial" w:cs="Arial" w:eastAsia="Arial" w:hAnsi="Arial"/>
          <w:b w:val="false"/>
          <w:bCs w:val="false"/>
          <w:i w:val="false"/>
          <w:iCs w:val="false"/>
          <w:color w:val="2C3E50"/>
          <w:sz w:val="22"/>
          <w:szCs w:val="22"/>
        </w:rPr>
        <w:t xml:space="preserve">No existe en la literatura financiera ni en patentes de valoracion inmobiliaria un concepto equivalente al Multiplicador Precesional. Los multiplicadores financieros existentes (EBITDA, P/E, cap rate) operan sobre el activo individual. El MP es el primer indicador que cuantifica el valor territorial total generado por una inversion, integrando efectos en cascada medidos en grados angulares con atenuacion temporal.</w:t>
      </w:r>
    </w:p>
    <w:p>
      <w:pPr>
        <w:pStyle w:val="Heading3"/>
        <w:spacing w:before="300" w:after="200"/>
      </w:pPr>
      <w:r>
        <w:t xml:space="preserve">Reivindicaciones propuestas</w:t>
      </w:r>
    </w:p>
    <w:p>
      <w:pPr>
        <w:spacing w:after="160" w:before="0" w:line="276"/>
        <w:jc w:val="both"/>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Metodo implementado por computador para calcular un indice multiplicador de valor territorial total de inversiones inmobiliarias integrando efectos directos e indirectos cuantificados en grados angulares</w:t>
      </w:r>
    </w:p>
    <w:p>
      <w:pPr>
        <w:spacing w:after="160" w:before="0" w:line="276"/>
        <w:jc w:val="both"/>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Sistema de valoracion de proyectos inmobiliarios que genera un Multiplicador Precesional expresado como ratio entre valor territorial total generado y valor de inversion directa</w:t>
      </w:r>
    </w:p>
    <w:p>
      <w:pPr>
        <w:spacing w:after="160" w:before="0" w:line="276"/>
        <w:jc w:val="both"/>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Algoritmo de cuantificacion de efectos cascada territoriales con atenuacion temporal y espacial ponderada</w:t>
      </w:r>
    </w:p>
    <w:p>
      <w:r>
        <w:br w:type="page"/>
      </w:r>
    </w:p>
    <w:p>
      <w:pPr>
        <w:pStyle w:val="Heading2"/>
        <w:spacing w:before="300" w:after="200"/>
      </w:pPr>
      <w:r>
        <w:t xml:space="preserve">4.6 INV-006: Motor RLM de Procesamiento Normativo de 1M+ Tokens</w:t>
      </w:r>
    </w:p>
    <w:p>
      <w:pPr>
        <w:spacing w:after="160" w:before="0" w:line="276"/>
        <w:jc w:val="both"/>
      </w:pPr>
      <w:r>
        <w:rPr>
          <w:rFonts w:ascii="Arial" w:cs="Arial" w:eastAsia="Arial" w:hAnsi="Arial"/>
          <w:b/>
          <w:bCs/>
          <w:color w:val="2C3E50"/>
          <w:sz w:val="22"/>
          <w:szCs w:val="22"/>
        </w:rPr>
        <w:t xml:space="preserve">Categoria: </w:t>
      </w:r>
      <w:r>
        <w:rPr>
          <w:rFonts w:ascii="Arial" w:cs="Arial" w:eastAsia="Arial" w:hAnsi="Arial"/>
          <w:color w:val="2E75B6"/>
          <w:sz w:val="22"/>
          <w:szCs w:val="22"/>
        </w:rPr>
        <w:t xml:space="preserve">NLP / Procesamiento de Lenguaje Legal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Novedad</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 Inventivo</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Aplicacion Industrial</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Patentabilidad</w:t>
            </w:r>
          </w:p>
        </w:tc>
      </w:tr>
      <w:tr>
        <w:tc>
          <w:tcPr>
            <w:tcW w:type="dxa" w:w="225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6/10</w:t>
            </w:r>
          </w:p>
        </w:tc>
        <w:tc>
          <w:tcPr>
            <w:tcW w:type="dxa" w:w="225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7/10</w:t>
            </w:r>
          </w:p>
        </w:tc>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8/10</w:t>
            </w:r>
          </w:p>
        </w:tc>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MEDIA-ALTA</w:t>
            </w:r>
          </w:p>
        </w:tc>
      </w:tr>
    </w:tbl>
    <w:p>
      <w:pPr>
        <w:spacing w:before="200"/>
      </w:pPr>
    </w:p>
    <w:p>
      <w:pPr>
        <w:pStyle w:val="Heading3"/>
        <w:spacing w:before="300" w:after="200"/>
      </w:pPr>
      <w:r>
        <w:t xml:space="preserve">Problema tecnico</w:t>
      </w:r>
    </w:p>
    <w:p>
      <w:pPr>
        <w:spacing w:after="160" w:before="0" w:line="276"/>
        <w:jc w:val="both"/>
      </w:pPr>
      <w:r>
        <w:rPr>
          <w:rFonts w:ascii="Arial" w:cs="Arial" w:eastAsia="Arial" w:hAnsi="Arial"/>
          <w:b w:val="false"/>
          <w:bCs w:val="false"/>
          <w:i w:val="false"/>
          <w:iCs w:val="false"/>
          <w:color w:val="2C3E50"/>
          <w:sz w:val="22"/>
          <w:szCs w:val="22"/>
        </w:rPr>
        <w:t xml:space="preserve">Las normativas condominiales y urbanas chilenas comprenden documentos extensos (Ley 21.442 + reglamentos + circulares SII + normas MINVU superan 500.000 tokens). Los LLMs convencionales tienen limites de contexto que impiden procesar la totalidad de la normativa simultaneamente, generando respuestas incompletas o inconsistentes.</w:t>
      </w:r>
    </w:p>
    <w:p>
      <w:pPr>
        <w:pStyle w:val="Heading3"/>
        <w:spacing w:before="300" w:after="200"/>
      </w:pPr>
      <w:r>
        <w:t xml:space="preserve">Solucion tecnica</w:t>
      </w:r>
    </w:p>
    <w:p>
      <w:pPr>
        <w:spacing w:after="160" w:before="0" w:line="276"/>
        <w:jc w:val="both"/>
      </w:pPr>
      <w:r>
        <w:rPr>
          <w:rFonts w:ascii="Arial" w:cs="Arial" w:eastAsia="Arial" w:hAnsi="Arial"/>
          <w:b w:val="false"/>
          <w:bCs w:val="false"/>
          <w:i w:val="false"/>
          <w:iCs w:val="false"/>
          <w:color w:val="2C3E50"/>
          <w:sz w:val="22"/>
          <w:szCs w:val="22"/>
        </w:rPr>
        <w:t xml:space="preserve">Motor de procesamiento que implementa: (a) chunking semantico de documentos legales preservando estructura jerarquica normativa (ley &gt; titulo &gt; parrafo &gt; articulo &gt; inciso), (b) RAG con ChromaDB usando embeddings nomic-embed-text optimizados para lenguaje juridico chileno, (c) re-ranking contextual que prioriza chunks por relevancia normativa temporal (norma mas reciente prevalece), (d) running con modelos locales Ollama (llama3.2:8b, qwen2.5:7b) con cero costo API.</w:t>
      </w:r>
    </w:p>
    <w:p>
      <w:pPr>
        <w:pStyle w:val="Heading3"/>
        <w:spacing w:before="300" w:after="200"/>
      </w:pPr>
      <w:r>
        <w:t xml:space="preserve">Justificacion de novedad</w:t>
      </w:r>
    </w:p>
    <w:p>
      <w:pPr>
        <w:spacing w:after="160" w:before="0" w:line="276"/>
        <w:jc w:val="both"/>
      </w:pPr>
      <w:r>
        <w:rPr>
          <w:rFonts w:ascii="Arial" w:cs="Arial" w:eastAsia="Arial" w:hAnsi="Arial"/>
          <w:b w:val="false"/>
          <w:bCs w:val="false"/>
          <w:i w:val="false"/>
          <w:iCs w:val="false"/>
          <w:color w:val="2C3E50"/>
          <w:sz w:val="22"/>
          <w:szCs w:val="22"/>
        </w:rPr>
        <w:t xml:space="preserve">Existen sistemas RAG genericos, pero la combinacion especifica de chunking que preserva jerarquia normativa legal chilena + re-ranking por prevalencia temporal normativa + optimizacion para modelos locales zero-cost constituye una contribucion tecnica. Nivel inventivo moderado dado que combina tecnicas conocidas en configuracion nueva.</w:t>
      </w:r>
    </w:p>
    <w:p>
      <w:pPr>
        <w:pStyle w:val="Heading3"/>
        <w:spacing w:before="300" w:after="200"/>
      </w:pPr>
      <w:r>
        <w:t xml:space="preserve">Reivindicaciones propuestas</w:t>
      </w:r>
    </w:p>
    <w:p>
      <w:pPr>
        <w:spacing w:after="160" w:before="0" w:line="276"/>
        <w:jc w:val="both"/>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Metodo de segmentacion semantica de documentos legales preservando estructura jerarquica normativa para sistemas RAG</w:t>
      </w:r>
    </w:p>
    <w:p>
      <w:pPr>
        <w:spacing w:after="160" w:before="0" w:line="276"/>
        <w:jc w:val="both"/>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Sistema de re-ranking de fragmentos documentales legales que aplica criterios de prevalencia temporal normativa</w:t>
      </w:r>
    </w:p>
    <w:p>
      <w:r>
        <w:br w:type="page"/>
      </w:r>
    </w:p>
    <w:p>
      <w:pPr>
        <w:pStyle w:val="Heading2"/>
        <w:spacing w:before="300" w:after="200"/>
      </w:pPr>
      <w:r>
        <w:t xml:space="preserve">4.7 INV-007: Sistema Integrado de Compliance Condominial Multi-Ley con Georeferenciacion</w:t>
      </w:r>
    </w:p>
    <w:p>
      <w:pPr>
        <w:spacing w:after="160" w:before="0" w:line="276"/>
        <w:jc w:val="both"/>
      </w:pPr>
      <w:r>
        <w:rPr>
          <w:rFonts w:ascii="Arial" w:cs="Arial" w:eastAsia="Arial" w:hAnsi="Arial"/>
          <w:b/>
          <w:bCs/>
          <w:color w:val="2C3E50"/>
          <w:sz w:val="22"/>
          <w:szCs w:val="22"/>
        </w:rPr>
        <w:t xml:space="preserve">Categoria: </w:t>
      </w:r>
      <w:r>
        <w:rPr>
          <w:rFonts w:ascii="Arial" w:cs="Arial" w:eastAsia="Arial" w:hAnsi="Arial"/>
          <w:color w:val="2E75B6"/>
          <w:sz w:val="22"/>
          <w:szCs w:val="22"/>
        </w:rPr>
        <w:t xml:space="preserve">RegTech / GovTech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Novedad</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 Inventivo</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Aplicacion Industrial</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Patentabilidad</w:t>
            </w:r>
          </w:p>
        </w:tc>
      </w:tr>
      <w:tr>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8/10</w:t>
            </w:r>
          </w:p>
        </w:tc>
        <w:tc>
          <w:tcPr>
            <w:tcW w:type="dxa" w:w="225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7/10</w:t>
            </w:r>
          </w:p>
        </w:tc>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9/10</w:t>
            </w:r>
          </w:p>
        </w:tc>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ALTA</w:t>
            </w:r>
          </w:p>
        </w:tc>
      </w:tr>
    </w:tbl>
    <w:p>
      <w:pPr>
        <w:spacing w:before="200"/>
      </w:pPr>
    </w:p>
    <w:p>
      <w:pPr>
        <w:pStyle w:val="Heading3"/>
        <w:spacing w:before="300" w:after="200"/>
      </w:pPr>
      <w:r>
        <w:t xml:space="preserve">Problema tecnico</w:t>
      </w:r>
    </w:p>
    <w:p>
      <w:pPr>
        <w:spacing w:after="160" w:before="0" w:line="276"/>
        <w:jc w:val="both"/>
      </w:pPr>
      <w:r>
        <w:rPr>
          <w:rFonts w:ascii="Arial" w:cs="Arial" w:eastAsia="Arial" w:hAnsi="Arial"/>
          <w:b w:val="false"/>
          <w:bCs w:val="false"/>
          <w:i w:val="false"/>
          <w:iCs w:val="false"/>
          <w:color w:val="2C3E50"/>
          <w:sz w:val="22"/>
          <w:szCs w:val="22"/>
        </w:rPr>
        <w:t xml:space="preserve">Las copropiedades chilenas deben cumplir simultaneamente con 25+ marcos normativos de diferentes organismos (MINVU, SII, CMF, municipios, DGA) sin que exista una plataforma que integre todas las obligaciones en una vision unificada georeferenciada segun la ubicacion especifica de la copropiedad.</w:t>
      </w:r>
    </w:p>
    <w:p>
      <w:pPr>
        <w:pStyle w:val="Heading3"/>
        <w:spacing w:before="300" w:after="200"/>
      </w:pPr>
      <w:r>
        <w:t xml:space="preserve">Solucion tecnica</w:t>
      </w:r>
    </w:p>
    <w:p>
      <w:pPr>
        <w:spacing w:after="160" w:before="0" w:line="276"/>
        <w:jc w:val="both"/>
      </w:pPr>
      <w:r>
        <w:rPr>
          <w:rFonts w:ascii="Arial" w:cs="Arial" w:eastAsia="Arial" w:hAnsi="Arial"/>
          <w:b w:val="false"/>
          <w:bCs w:val="false"/>
          <w:i w:val="false"/>
          <w:iCs w:val="false"/>
          <w:color w:val="2C3E50"/>
          <w:sz w:val="22"/>
          <w:szCs w:val="22"/>
        </w:rPr>
        <w:t xml:space="preserve">Plataforma que mantiene un grafo de obligaciones normativas donde cada copropiedad es un nodo central conectado a sus obligaciones segun: (a) tipo de copropiedad (habitacional, mixta, comercial), (b) ubicacion geografica (comuna, region), (c) tamano y composicion (numero unidades, areas comunes), (d) actividades especificas (antenas telecomunicaciones, estacionamientos, locales comerciales). El sistema cruza automaticamente 25+ leyes chilenas con datos SII, MINVU y municipales via APIs, generando un dashboard de cumplimiento en tiempo real con semaforizacion, alertas y plazos criticos.</w:t>
      </w:r>
    </w:p>
    <w:p>
      <w:pPr>
        <w:pStyle w:val="Heading3"/>
        <w:spacing w:before="300" w:after="200"/>
      </w:pPr>
      <w:r>
        <w:t xml:space="preserve">Justificacion de novedad</w:t>
      </w:r>
    </w:p>
    <w:p>
      <w:pPr>
        <w:spacing w:after="160" w:before="0" w:line="276"/>
        <w:jc w:val="both"/>
      </w:pPr>
      <w:r>
        <w:rPr>
          <w:rFonts w:ascii="Arial" w:cs="Arial" w:eastAsia="Arial" w:hAnsi="Arial"/>
          <w:b w:val="false"/>
          <w:bCs w:val="false"/>
          <w:i w:val="false"/>
          <w:iCs w:val="false"/>
          <w:color w:val="2C3E50"/>
          <w:sz w:val="22"/>
          <w:szCs w:val="22"/>
        </w:rPr>
        <w:t xml:space="preserve">Existen plataformas de compliance financiero y corporativo, pero ninguna integra normativa condominial latinoamericana con georeferenciacion. La combinacion de grafo multi-ley + georeferenciacion por comuna + APIs gubernamentales chilenas + dashboard unificado es unica en el mercado PropTech global.</w:t>
      </w:r>
    </w:p>
    <w:p>
      <w:pPr>
        <w:pStyle w:val="Heading3"/>
        <w:spacing w:before="300" w:after="200"/>
      </w:pPr>
      <w:r>
        <w:t xml:space="preserve">Reivindicaciones propuestas</w:t>
      </w:r>
    </w:p>
    <w:p>
      <w:pPr>
        <w:spacing w:after="160" w:before="0" w:line="276"/>
        <w:jc w:val="both"/>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Sistema computacional para gestion integrada de cumplimiento normativo condominial que cruza automaticamente multiples marcos legales georeferenciados con datos de registros publicos</w:t>
      </w:r>
    </w:p>
    <w:p>
      <w:pPr>
        <w:spacing w:after="160" w:before="0" w:line="276"/>
        <w:jc w:val="both"/>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Metodo de generacion automatica de obligaciones normativas condominiales basado en tipo, ubicacion y caracteristicas especificas de la copropiedad</w:t>
      </w:r>
    </w:p>
    <w:p>
      <w:r>
        <w:br w:type="page"/>
      </w:r>
    </w:p>
    <w:p>
      <w:pPr>
        <w:pStyle w:val="Heading2"/>
        <w:spacing w:before="300" w:after="200"/>
      </w:pPr>
      <w:r>
        <w:t xml:space="preserve">4.8 INV-008: Scoring de Riesgo Precesional para Due Diligence Territorial</w:t>
      </w:r>
    </w:p>
    <w:p>
      <w:pPr>
        <w:spacing w:after="160" w:before="0" w:line="276"/>
        <w:jc w:val="both"/>
      </w:pPr>
      <w:r>
        <w:rPr>
          <w:rFonts w:ascii="Arial" w:cs="Arial" w:eastAsia="Arial" w:hAnsi="Arial"/>
          <w:b/>
          <w:bCs/>
          <w:color w:val="2C3E50"/>
          <w:sz w:val="22"/>
          <w:szCs w:val="22"/>
        </w:rPr>
        <w:t xml:space="preserve">Categoria: </w:t>
      </w:r>
      <w:r>
        <w:rPr>
          <w:rFonts w:ascii="Arial" w:cs="Arial" w:eastAsia="Arial" w:hAnsi="Arial"/>
          <w:color w:val="2E75B6"/>
          <w:sz w:val="22"/>
          <w:szCs w:val="22"/>
        </w:rPr>
        <w:t xml:space="preserve">FinTech / Risk Assessment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Novedad</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 Inventivo</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Aplicacion Industrial</w:t>
            </w:r>
          </w:p>
        </w:tc>
        <w:tc>
          <w:tcPr>
            <w:tcW w:type="dxa" w:w="225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Patentabilidad</w:t>
            </w:r>
          </w:p>
        </w:tc>
      </w:tr>
      <w:tr>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9/10</w:t>
            </w:r>
          </w:p>
        </w:tc>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8/10</w:t>
            </w:r>
          </w:p>
        </w:tc>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8/10</w:t>
            </w:r>
          </w:p>
        </w:tc>
        <w:tc>
          <w:tcPr>
            <w:tcW w:type="dxa" w:w="225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ALTA</w:t>
            </w:r>
          </w:p>
        </w:tc>
      </w:tr>
    </w:tbl>
    <w:p>
      <w:pPr>
        <w:spacing w:before="200"/>
      </w:pPr>
    </w:p>
    <w:p>
      <w:pPr>
        <w:pStyle w:val="Heading3"/>
        <w:spacing w:before="300" w:after="200"/>
      </w:pPr>
      <w:r>
        <w:t xml:space="preserve">Problema tecnico</w:t>
      </w:r>
    </w:p>
    <w:p>
      <w:pPr>
        <w:spacing w:after="160" w:before="0" w:line="276"/>
        <w:jc w:val="both"/>
      </w:pPr>
      <w:r>
        <w:rPr>
          <w:rFonts w:ascii="Arial" w:cs="Arial" w:eastAsia="Arial" w:hAnsi="Arial"/>
          <w:b w:val="false"/>
          <w:bCs w:val="false"/>
          <w:i w:val="false"/>
          <w:iCs w:val="false"/>
          <w:color w:val="2C3E50"/>
          <w:sz w:val="22"/>
          <w:szCs w:val="22"/>
        </w:rPr>
        <w:t xml:space="preserve">Los procesos de due diligence inmobiliaria evaluan riesgos del activo individual (titulo, cargas, estado fisico) pero ignoran sistematicamente los riesgos y oportunidades derivados de cambios en el territorio circundante que impactaran al activo en el mediano-largo plazo.</w:t>
      </w:r>
    </w:p>
    <w:p>
      <w:pPr>
        <w:pStyle w:val="Heading3"/>
        <w:spacing w:before="300" w:after="200"/>
      </w:pPr>
      <w:r>
        <w:t xml:space="preserve">Solucion tecnica</w:t>
      </w:r>
    </w:p>
    <w:p>
      <w:pPr>
        <w:spacing w:after="160" w:before="0" w:line="276"/>
        <w:jc w:val="both"/>
      </w:pPr>
      <w:r>
        <w:rPr>
          <w:rFonts w:ascii="Arial" w:cs="Arial" w:eastAsia="Arial" w:hAnsi="Arial"/>
          <w:b w:val="false"/>
          <w:bCs w:val="false"/>
          <w:i w:val="false"/>
          <w:iCs w:val="false"/>
          <w:color w:val="2C3E50"/>
          <w:sz w:val="22"/>
          <w:szCs w:val="22"/>
        </w:rPr>
        <w:t xml:space="preserve">Sistema de scoring que genera un indice de Riesgo Precesional (0-100) para cualquier activo inmobiliario, integrando: (a) analisis de proyectos aprobados y en tramite en radio de influencia, (b) probabilidad de cambios normativos (PRC, seccionales), (c) presion de densificacion medida por permisos DOM, (d) riesgos ambientales emergentes (DGA, SENAPRED), (e) tendencias sociodemograficas (INE, CASEN). El scoring alimenta alertas automaticas cuando el riesgo precesional supera umbrales configurables.</w:t>
      </w:r>
    </w:p>
    <w:p>
      <w:pPr>
        <w:pStyle w:val="Heading3"/>
        <w:spacing w:before="300" w:after="200"/>
      </w:pPr>
      <w:r>
        <w:t xml:space="preserve">Justificacion de novedad</w:t>
      </w:r>
    </w:p>
    <w:p>
      <w:pPr>
        <w:spacing w:after="160" w:before="0" w:line="276"/>
        <w:jc w:val="both"/>
      </w:pPr>
      <w:r>
        <w:rPr>
          <w:rFonts w:ascii="Arial" w:cs="Arial" w:eastAsia="Arial" w:hAnsi="Arial"/>
          <w:b w:val="false"/>
          <w:bCs w:val="false"/>
          <w:i w:val="false"/>
          <w:iCs w:val="false"/>
          <w:color w:val="2C3E50"/>
          <w:sz w:val="22"/>
          <w:szCs w:val="22"/>
        </w:rPr>
        <w:t xml:space="preserve">Los sistemas de risk scoring inmobiliario existentes (Moody's CRE, CBRE Risk) operan sobre el activo individual. No existe ningun scoring que integre riesgos derivados de efectos precesionales territoriales como variable sistematica en due diligence. El concepto de Riesgo Precesional como metrica financiera es completamente nuevo.</w:t>
      </w:r>
    </w:p>
    <w:p>
      <w:pPr>
        <w:pStyle w:val="Heading3"/>
        <w:spacing w:before="300" w:after="200"/>
      </w:pPr>
      <w:r>
        <w:t xml:space="preserve">Reivindicaciones propuestas</w:t>
      </w:r>
    </w:p>
    <w:p>
      <w:pPr>
        <w:spacing w:after="160" w:before="0" w:line="276"/>
        <w:jc w:val="both"/>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Metodo implementado por computador para calcular un indice de riesgo precesional territorial que cuantifica amenazas y oportunidades derivadas de cambios en el entorno de un activo inmobiliario</w:t>
      </w:r>
    </w:p>
    <w:p>
      <w:pPr>
        <w:spacing w:after="160" w:before="0" w:line="276"/>
        <w:jc w:val="both"/>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Sistema de alertas automaticas basado en umbrales de riesgo precesional integrado con fuentes de datos gubernamentales</w:t>
      </w:r>
    </w:p>
    <w:p/>
    <w:p>
      <w:r>
        <w:br w:type="page"/>
      </w:r>
    </w:p>
    <w:p>
      <w:pPr>
        <w:pStyle w:val="Heading1"/>
        <w:spacing w:before="300" w:after="200"/>
      </w:pPr>
      <w:r>
        <w:t xml:space="preserve">5. ESTRATEGIA DE PROTECCION DE PROPIEDAD INTELECTUAL</w:t>
      </w:r>
    </w:p>
    <w:p>
      <w:pPr>
        <w:pStyle w:val="Heading2"/>
        <w:spacing w:before="300" w:after="200"/>
      </w:pPr>
      <w:r>
        <w:t xml:space="preserve">5.1 Prioridad de Patentamiento</w:t>
      </w:r>
    </w:p>
    <w:p>
      <w:pPr>
        <w:spacing w:after="160" w:before="0" w:line="276"/>
        <w:jc w:val="both"/>
      </w:pPr>
      <w:r>
        <w:rPr>
          <w:rFonts w:ascii="Arial" w:cs="Arial" w:eastAsia="Arial" w:hAnsi="Arial"/>
          <w:b w:val="false"/>
          <w:bCs w:val="false"/>
          <w:i w:val="false"/>
          <w:iCs w:val="false"/>
          <w:color w:val="2C3E50"/>
          <w:sz w:val="22"/>
          <w:szCs w:val="22"/>
        </w:rPr>
        <w:t xml:space="preserve">Se recomienda la siguiente secuencia de presentacion ante INAPI, basada en novedad, impacto comercial y riesgo de divulgacion: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500"/>
        <w:gridCol w:w="1200"/>
        <w:gridCol w:w="1200"/>
      </w:tblGrid>
      <w:tr>
        <w:tc>
          <w:tcPr>
            <w:tcW w:type="dxa" w:w="9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c>
          <w:tcPr>
            <w:tcW w:type="dxa" w:w="35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Innovacion</w:t>
            </w:r>
          </w:p>
        </w:tc>
        <w:tc>
          <w:tcPr>
            <w:tcW w:type="dxa" w:w="15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Solicitud</w:t>
            </w:r>
          </w:p>
        </w:tc>
        <w:tc>
          <w:tcPr>
            <w:tcW w:type="dxa" w:w="1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Urgencia</w:t>
            </w:r>
          </w:p>
        </w:tc>
        <w:tc>
          <w:tcPr>
            <w:tcW w:type="dxa" w:w="1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Costo Est.</w:t>
            </w:r>
          </w:p>
        </w:tc>
      </w:tr>
      <w:tr>
        <w:tc>
          <w:tcPr>
            <w:tcW w:type="dxa" w:w="9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1a</w:t>
            </w:r>
          </w:p>
        </w:tc>
        <w:tc>
          <w:tcPr>
            <w:tcW w:type="dxa" w:w="35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INV-005: Multiplicador Precesional</w:t>
            </w:r>
          </w:p>
        </w:tc>
        <w:tc>
          <w:tcPr>
            <w:tcW w:type="dxa" w:w="15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Patente Invencion</w:t>
            </w:r>
          </w:p>
        </w:tc>
        <w:tc>
          <w:tcPr>
            <w:tcW w:type="dxa" w:w="12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w:t>
            </w:r>
          </w:p>
        </w:tc>
        <w:tc>
          <w:tcPr>
            <w:tcW w:type="dxa" w:w="12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UF 50-80</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1b</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INV-001: Precession Analytics Engine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Patente Invencion</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UF 60-100</w:t>
            </w:r>
          </w:p>
        </w:tc>
      </w:tr>
      <w:tr>
        <w:tc>
          <w:tcPr>
            <w:tcW w:type="dxa" w:w="9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2</w:t>
            </w:r>
          </w:p>
        </w:tc>
        <w:tc>
          <w:tcPr>
            <w:tcW w:type="dxa" w:w="35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INV-008: Scoring Riesgo Precesional</w:t>
            </w:r>
          </w:p>
        </w:tc>
        <w:tc>
          <w:tcPr>
            <w:tcW w:type="dxa" w:w="15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Patente Invencion</w:t>
            </w:r>
          </w:p>
        </w:tc>
        <w:tc>
          <w:tcPr>
            <w:tcW w:type="dxa" w:w="12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ALTA</w:t>
            </w:r>
          </w:p>
        </w:tc>
        <w:tc>
          <w:tcPr>
            <w:tcW w:type="dxa" w:w="12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UF 50-80</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3</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INV-003: Simulador Sanciones Condominial</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Patente Invencion</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ALTA</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UF 40-70</w:t>
            </w:r>
          </w:p>
        </w:tc>
      </w:tr>
      <w:tr>
        <w:tc>
          <w:tcPr>
            <w:tcW w:type="dxa" w:w="9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4</w:t>
            </w:r>
          </w:p>
        </w:tc>
        <w:tc>
          <w:tcPr>
            <w:tcW w:type="dxa" w:w="35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INV-004: GeoIAOrchestrator</w:t>
            </w:r>
          </w:p>
        </w:tc>
        <w:tc>
          <w:tcPr>
            <w:tcW w:type="dxa" w:w="15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Patente Invencion</w:t>
            </w:r>
          </w:p>
        </w:tc>
        <w:tc>
          <w:tcPr>
            <w:tcW w:type="dxa" w:w="12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MEDIA</w:t>
            </w:r>
          </w:p>
        </w:tc>
        <w:tc>
          <w:tcPr>
            <w:tcW w:type="dxa" w:w="12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UF 50-80</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5</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INV-002: Arquitectura Cores Independientes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Patente Invencion</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MEDIA</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UF 40-70</w:t>
            </w:r>
          </w:p>
        </w:tc>
      </w:tr>
      <w:tr>
        <w:tc>
          <w:tcPr>
            <w:tcW w:type="dxa" w:w="9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6</w:t>
            </w:r>
          </w:p>
        </w:tc>
        <w:tc>
          <w:tcPr>
            <w:tcW w:type="dxa" w:w="35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INV-007: Compliance Multi-Ley Georef.</w:t>
            </w:r>
          </w:p>
        </w:tc>
        <w:tc>
          <w:tcPr>
            <w:tcW w:type="dxa" w:w="15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Modelo Utilidad</w:t>
            </w:r>
          </w:p>
        </w:tc>
        <w:tc>
          <w:tcPr>
            <w:tcW w:type="dxa" w:w="12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MEDIA</w:t>
            </w:r>
          </w:p>
        </w:tc>
        <w:tc>
          <w:tcPr>
            <w:tcW w:type="dxa" w:w="1200"/>
            <w:tcBorders>
              <w:top w:val="single" w:color="BDC3C7" w:sz="1"/>
              <w:left w:val="single" w:color="BDC3C7" w:sz="1"/>
              <w:bottom w:val="single" w:color="BDC3C7" w:sz="1"/>
              <w:right w:val="single" w:color="BDC3C7"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UF 25-40</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C3E50"/>
                <w:sz w:val="20"/>
                <w:szCs w:val="20"/>
              </w:rPr>
              <w:t xml:space="preserve">7</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INV-006: Motor RLM Normativo</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Modelo Utilidad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BAJA</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UF 25-40</w:t>
            </w:r>
          </w:p>
        </w:tc>
      </w:tr>
    </w:tbl>
    <w:p>
      <w:pPr>
        <w:spacing w:after="160" w:before="200" w:line="276"/>
        <w:jc w:val="both"/>
      </w:pPr>
      <w:r>
        <w:rPr>
          <w:rFonts w:ascii="Arial" w:cs="Arial" w:eastAsia="Arial" w:hAnsi="Arial"/>
          <w:b/>
          <w:bCs/>
          <w:color w:val="2C3E50"/>
          <w:sz w:val="22"/>
          <w:szCs w:val="22"/>
        </w:rPr>
        <w:t xml:space="preserve">
Inversion total estimada: UF 340-560 </w:t>
      </w:r>
      <w:r>
        <w:rPr>
          <w:rFonts w:ascii="Arial" w:cs="Arial" w:eastAsia="Arial" w:hAnsi="Arial"/>
          <w:color w:val="2C3E50"/>
          <w:sz w:val="22"/>
          <w:szCs w:val="22"/>
        </w:rPr>
        <w:t xml:space="preserve">(aprox. USD 12,000-20,000 al tipo de cambio actual). Incluye honorarios de agente de propiedad industrial, tasas INAPI y costos de peritaje.</w:t>
      </w:r>
    </w:p>
    <w:p>
      <w:pPr>
        <w:pStyle w:val="Heading2"/>
        <w:spacing w:before="300" w:after="200"/>
      </w:pPr>
      <w:r>
        <w:t xml:space="preserve">5.2 Proteccion Complementaria</w:t>
      </w:r>
    </w:p>
    <w:p>
      <w:pPr>
        <w:spacing w:after="160" w:before="0" w:line="276"/>
        <w:jc w:val="both"/>
      </w:pPr>
      <w:r>
        <w:rPr>
          <w:rFonts w:ascii="Arial" w:cs="Arial" w:eastAsia="Arial" w:hAnsi="Arial"/>
          <w:b w:val="false"/>
          <w:bCs w:val="false"/>
          <w:i w:val="false"/>
          <w:iCs w:val="false"/>
          <w:color w:val="2C3E50"/>
          <w:sz w:val="22"/>
          <w:szCs w:val="22"/>
        </w:rPr>
        <w:t xml:space="preserve">Ademas de patentes, se recomienda implementar las siguientes capas de proteccion:</w:t>
      </w:r>
    </w:p>
    <w:p>
      <w:pPr>
        <w:pStyle w:val="ListParagraph"/>
        <w:numPr>
          <w:ilvl w:val="0"/>
          <w:numId w:val="2"/>
        </w:numPr>
        <w:spacing w:after="80" w:line="276"/>
      </w:pPr>
      <w:r>
        <w:rPr>
          <w:rFonts w:ascii="Arial" w:cs="Arial" w:eastAsia="Arial" w:hAnsi="Arial"/>
          <w:b/>
          <w:bCs/>
          <w:color w:val="2C3E50"/>
          <w:sz w:val="22"/>
          <w:szCs w:val="22"/>
        </w:rPr>
        <w:t xml:space="preserve">Derechos de autor: </w:t>
      </w:r>
      <w:r>
        <w:rPr>
          <w:rFonts w:ascii="Arial" w:cs="Arial" w:eastAsia="Arial" w:hAnsi="Arial"/>
          <w:color w:val="2C3E50"/>
          <w:sz w:val="22"/>
          <w:szCs w:val="22"/>
        </w:rPr>
        <w:t xml:space="preserve">Registro del codigo fuente ante el Departamento de Derechos Intelectuales del SCD. Proteccion automatica pero el registro facilita prueba en litigios.</w:t>
      </w:r>
    </w:p>
    <w:p>
      <w:pPr>
        <w:pStyle w:val="ListParagraph"/>
        <w:numPr>
          <w:ilvl w:val="0"/>
          <w:numId w:val="2"/>
        </w:numPr>
        <w:spacing w:after="80" w:line="276"/>
      </w:pPr>
      <w:r>
        <w:rPr>
          <w:rFonts w:ascii="Arial" w:cs="Arial" w:eastAsia="Arial" w:hAnsi="Arial"/>
          <w:b/>
          <w:bCs/>
          <w:color w:val="2C3E50"/>
          <w:sz w:val="22"/>
          <w:szCs w:val="22"/>
        </w:rPr>
        <w:t xml:space="preserve">Secreto comercial: </w:t>
      </w:r>
      <w:r>
        <w:rPr>
          <w:rFonts w:ascii="Arial" w:cs="Arial" w:eastAsia="Arial" w:hAnsi="Arial"/>
          <w:color w:val="2C3E50"/>
          <w:sz w:val="22"/>
          <w:szCs w:val="22"/>
        </w:rPr>
        <w:t xml:space="preserve">Los datasets de entrenamiento, modelos ML calibrados, y parametros especificos del Precession Graph Engine deben mantenerse como secretos industriales bajo NDA.</w:t>
      </w:r>
    </w:p>
    <w:p>
      <w:pPr>
        <w:pStyle w:val="ListParagraph"/>
        <w:numPr>
          <w:ilvl w:val="0"/>
          <w:numId w:val="2"/>
        </w:numPr>
        <w:spacing w:after="80" w:line="276"/>
      </w:pPr>
      <w:r>
        <w:rPr>
          <w:rFonts w:ascii="Arial" w:cs="Arial" w:eastAsia="Arial" w:hAnsi="Arial"/>
          <w:b/>
          <w:bCs/>
          <w:color w:val="2C3E50"/>
          <w:sz w:val="22"/>
          <w:szCs w:val="22"/>
        </w:rPr>
        <w:t xml:space="preserve">Marcas comerciales: </w:t>
      </w:r>
      <w:r>
        <w:rPr>
          <w:rFonts w:ascii="Arial" w:cs="Arial" w:eastAsia="Arial" w:hAnsi="Arial"/>
          <w:color w:val="2C3E50"/>
          <w:sz w:val="22"/>
          <w:szCs w:val="22"/>
        </w:rPr>
        <w:t xml:space="preserve">Registrar ante INAPI: DATAPOLIS, AGORA, PAE (Precession Analytics Engine), Multiplicador Precesional, GeoIAOrchestrator. Clases 9, 35, 36 y 42 del Clasificador de Niza.</w:t>
      </w:r>
    </w:p>
    <w:p>
      <w:pPr>
        <w:pStyle w:val="ListParagraph"/>
        <w:numPr>
          <w:ilvl w:val="0"/>
          <w:numId w:val="2"/>
        </w:numPr>
        <w:spacing w:after="80" w:line="276"/>
      </w:pPr>
      <w:r>
        <w:rPr>
          <w:rFonts w:ascii="Arial" w:cs="Arial" w:eastAsia="Arial" w:hAnsi="Arial"/>
          <w:b/>
          <w:bCs/>
          <w:color w:val="2C3E50"/>
          <w:sz w:val="22"/>
          <w:szCs w:val="22"/>
        </w:rPr>
        <w:t xml:space="preserve">Proteccion internacional: </w:t>
      </w:r>
      <w:r>
        <w:rPr>
          <w:rFonts w:ascii="Arial" w:cs="Arial" w:eastAsia="Arial" w:hAnsi="Arial"/>
          <w:color w:val="2C3E50"/>
          <w:sz w:val="22"/>
          <w:szCs w:val="22"/>
        </w:rPr>
        <w:t xml:space="preserve">Para expansion LATAM, considerar solicitud PCT (Patent Cooperation Treaty) que permite reservar derechos en 158 paises con un solo deposito. Chile como ISA/IPEA facilita este proceso.</w:t>
      </w:r>
    </w:p>
    <w:p>
      <w:pPr>
        <w:pStyle w:val="Heading2"/>
        <w:spacing w:before="300" w:after="200"/>
      </w:pPr>
      <w:r>
        <w:t xml:space="preserve">5.3 Expansion Internacional via PCT</w:t>
      </w:r>
    </w:p>
    <w:p>
      <w:pPr>
        <w:spacing w:after="160" w:before="0" w:line="276"/>
        <w:jc w:val="both"/>
      </w:pPr>
      <w:r>
        <w:rPr>
          <w:rFonts w:ascii="Arial" w:cs="Arial" w:eastAsia="Arial" w:hAnsi="Arial"/>
          <w:b w:val="false"/>
          <w:bCs w:val="false"/>
          <w:i w:val="false"/>
          <w:iCs w:val="false"/>
          <w:color w:val="2C3E50"/>
          <w:sz w:val="22"/>
          <w:szCs w:val="22"/>
        </w:rPr>
        <w:t xml:space="preserve">Dado que INAPI es Autoridad Internacional de Busqueda (ISA) y Examen Preliminar (IPEA) del PCT, se recomienda:</w:t>
      </w:r>
    </w:p>
    <w:p>
      <w:pPr>
        <w:pStyle w:val="ListParagraph"/>
        <w:numPr>
          <w:ilvl w:val="0"/>
          <w:numId w:val="2"/>
        </w:numPr>
        <w:spacing w:after="80" w:line="276"/>
      </w:pPr>
      <w:r>
        <w:rPr>
          <w:rFonts w:ascii="Arial" w:cs="Arial" w:eastAsia="Arial" w:hAnsi="Arial"/>
          <w:color w:val="2C3E50"/>
          <w:sz w:val="22"/>
          <w:szCs w:val="22"/>
        </w:rPr>
        <w:t xml:space="preserve">Presentar solicitudes nacionales en Chile como primera prioridad</w:t>
      </w:r>
    </w:p>
    <w:p>
      <w:pPr>
        <w:pStyle w:val="ListParagraph"/>
        <w:numPr>
          <w:ilvl w:val="0"/>
          <w:numId w:val="2"/>
        </w:numPr>
        <w:spacing w:after="80" w:line="276"/>
      </w:pPr>
      <w:r>
        <w:rPr>
          <w:rFonts w:ascii="Arial" w:cs="Arial" w:eastAsia="Arial" w:hAnsi="Arial"/>
          <w:color w:val="2C3E50"/>
          <w:sz w:val="22"/>
          <w:szCs w:val="22"/>
        </w:rPr>
        <w:t xml:space="preserve">Dentro de los 12 meses siguientes, presentar solicitud PCT para reservar derechos en mercados objetivo (Mexico, Colombia, Peru, Brasil, Espana, EE.UU.)</w:t>
      </w:r>
    </w:p>
    <w:p>
      <w:pPr>
        <w:pStyle w:val="ListParagraph"/>
        <w:numPr>
          <w:ilvl w:val="0"/>
          <w:numId w:val="2"/>
        </w:numPr>
        <w:spacing w:after="80" w:line="276"/>
      </w:pPr>
      <w:r>
        <w:rPr>
          <w:rFonts w:ascii="Arial" w:cs="Arial" w:eastAsia="Arial" w:hAnsi="Arial"/>
          <w:color w:val="2C3E50"/>
          <w:sz w:val="22"/>
          <w:szCs w:val="22"/>
        </w:rPr>
        <w:t xml:space="preserve">Aprovechar acuerdos PPH (Patent Prosecution Highway) bilaterales de Chile con Alianza del Pacifico, PROSUR, Japon, EPO</w:t>
      </w:r>
    </w:p>
    <w:p>
      <w:pPr>
        <w:pStyle w:val="ListParagraph"/>
        <w:numPr>
          <w:ilvl w:val="0"/>
          <w:numId w:val="2"/>
        </w:numPr>
        <w:spacing w:after="80" w:line="276"/>
      </w:pPr>
      <w:r>
        <w:rPr>
          <w:rFonts w:ascii="Arial" w:cs="Arial" w:eastAsia="Arial" w:hAnsi="Arial"/>
          <w:color w:val="2C3E50"/>
          <w:sz w:val="22"/>
          <w:szCs w:val="22"/>
        </w:rPr>
        <w:t xml:space="preserve">Costo estimado PCT: USD 4,000-6,000 por solicitud para fase internacional</w:t>
      </w:r>
    </w:p>
    <w:p>
      <w:r>
        <w:br w:type="page"/>
      </w:r>
    </w:p>
    <w:p>
      <w:pPr>
        <w:pStyle w:val="Heading1"/>
        <w:spacing w:before="300" w:after="200"/>
      </w:pPr>
      <w:r>
        <w:t xml:space="preserve">6. OPORTUNIDADES DE INVERSION Y FINANCIAMIENTO</w:t>
      </w:r>
    </w:p>
    <w:p>
      <w:pPr>
        <w:spacing w:after="160" w:before="0" w:line="276"/>
        <w:jc w:val="both"/>
      </w:pPr>
      <w:r>
        <w:rPr>
          <w:rFonts w:ascii="Arial" w:cs="Arial" w:eastAsia="Arial" w:hAnsi="Arial"/>
          <w:b w:val="false"/>
          <w:bCs w:val="false"/>
          <w:i w:val="false"/>
          <w:iCs w:val="false"/>
          <w:color w:val="2C3E50"/>
          <w:sz w:val="22"/>
          <w:szCs w:val="22"/>
        </w:rPr>
        <w:t xml:space="preserve">La cartera de propiedad intelectual identificada constituye un activo estrategico que incrementa significativamente la valoracion de DATAPOLIS SpA y abre multiples vias de financiamiento:</w:t>
      </w:r>
    </w:p>
    <w:p>
      <w:pPr>
        <w:pStyle w:val="Heading2"/>
        <w:spacing w:before="300" w:after="200"/>
      </w:pPr>
      <w:r>
        <w:t xml:space="preserve">6.1 Impacto en Valoracion de Empresa</w:t>
      </w:r>
    </w:p>
    <w:p>
      <w:pPr>
        <w:spacing w:after="160" w:before="0" w:line="276"/>
        <w:jc w:val="both"/>
      </w:pPr>
      <w:r>
        <w:rPr>
          <w:rFonts w:ascii="Arial" w:cs="Arial" w:eastAsia="Arial" w:hAnsi="Arial"/>
          <w:b w:val="false"/>
          <w:bCs w:val="false"/>
          <w:i w:val="false"/>
          <w:iCs w:val="false"/>
          <w:color w:val="2C3E50"/>
          <w:sz w:val="22"/>
          <w:szCs w:val="22"/>
        </w:rPr>
        <w:t xml:space="preserve">Las patentes de software en el sector PropTech/FinTech tipicamente multiplican la valoracion pre-money en un factor de 1.5-3x. Con 6-8 patentes en tramite, la valoracion estimada de DATAPOLIS pasaria de USD 2-3M (base tecnologia) a USD 5-9M (con portfolio IP protegido).</w:t>
      </w:r>
    </w:p>
    <w:p>
      <w:pPr>
        <w:pStyle w:val="Heading2"/>
        <w:spacing w:before="300" w:after="200"/>
      </w:pPr>
      <w:r>
        <w:t xml:space="preserve">6.2 Fuentes de Financiamiento para IP</w:t>
      </w:r>
    </w:p>
    <w:p>
      <w:pPr>
        <w:pStyle w:val="ListParagraph"/>
        <w:numPr>
          <w:ilvl w:val="0"/>
          <w:numId w:val="2"/>
        </w:numPr>
        <w:spacing w:after="80" w:line="276"/>
      </w:pPr>
      <w:r>
        <w:rPr>
          <w:rFonts w:ascii="Arial" w:cs="Arial" w:eastAsia="Arial" w:hAnsi="Arial"/>
          <w:b/>
          <w:bCs/>
          <w:color w:val="2C3E50"/>
          <w:sz w:val="22"/>
          <w:szCs w:val="22"/>
        </w:rPr>
        <w:t xml:space="preserve">CORFO Innova - Protege: </w:t>
      </w:r>
      <w:r>
        <w:rPr>
          <w:rFonts w:ascii="Arial" w:cs="Arial" w:eastAsia="Arial" w:hAnsi="Arial"/>
          <w:color w:val="2C3E50"/>
          <w:sz w:val="22"/>
          <w:szCs w:val="22"/>
        </w:rPr>
        <w:t xml:space="preserve">Subsidio de hasta 80% para patentamiento nacional e internacional. Montos de CLP 5-20 millones.</w:t>
      </w:r>
    </w:p>
    <w:p>
      <w:pPr>
        <w:pStyle w:val="ListParagraph"/>
        <w:numPr>
          <w:ilvl w:val="0"/>
          <w:numId w:val="2"/>
        </w:numPr>
        <w:spacing w:after="80" w:line="276"/>
      </w:pPr>
      <w:r>
        <w:rPr>
          <w:rFonts w:ascii="Arial" w:cs="Arial" w:eastAsia="Arial" w:hAnsi="Arial"/>
          <w:b/>
          <w:bCs/>
          <w:color w:val="2C3E50"/>
          <w:sz w:val="22"/>
          <w:szCs w:val="22"/>
        </w:rPr>
        <w:t xml:space="preserve">ANID - Fondecyt/Fondef: </w:t>
      </w:r>
      <w:r>
        <w:rPr>
          <w:rFonts w:ascii="Arial" w:cs="Arial" w:eastAsia="Arial" w:hAnsi="Arial"/>
          <w:color w:val="2C3E50"/>
          <w:sz w:val="22"/>
          <w:szCs w:val="22"/>
        </w:rPr>
        <w:t xml:space="preserve">Financiamiento para desarrollo tecnologico con componente de proteccion IP. Hasta CLP 200 millones.</w:t>
      </w:r>
    </w:p>
    <w:p>
      <w:pPr>
        <w:pStyle w:val="ListParagraph"/>
        <w:numPr>
          <w:ilvl w:val="0"/>
          <w:numId w:val="2"/>
        </w:numPr>
        <w:spacing w:after="80" w:line="276"/>
      </w:pPr>
      <w:r>
        <w:rPr>
          <w:rFonts w:ascii="Arial" w:cs="Arial" w:eastAsia="Arial" w:hAnsi="Arial"/>
          <w:b/>
          <w:bCs/>
          <w:color w:val="2C3E50"/>
          <w:sz w:val="22"/>
          <w:szCs w:val="22"/>
        </w:rPr>
        <w:t xml:space="preserve">StartUp Chile Scale: </w:t>
      </w:r>
      <w:r>
        <w:rPr>
          <w:rFonts w:ascii="Arial" w:cs="Arial" w:eastAsia="Arial" w:hAnsi="Arial"/>
          <w:color w:val="2C3E50"/>
          <w:sz w:val="22"/>
          <w:szCs w:val="22"/>
        </w:rPr>
        <w:t xml:space="preserve">USD 100K equity-free con mentoria en IP strategy.</w:t>
      </w:r>
    </w:p>
    <w:p>
      <w:pPr>
        <w:pStyle w:val="ListParagraph"/>
        <w:numPr>
          <w:ilvl w:val="0"/>
          <w:numId w:val="2"/>
        </w:numPr>
        <w:spacing w:after="80" w:line="276"/>
      </w:pPr>
      <w:r>
        <w:rPr>
          <w:rFonts w:ascii="Arial" w:cs="Arial" w:eastAsia="Arial" w:hAnsi="Arial"/>
          <w:b/>
          <w:bCs/>
          <w:color w:val="2C3E50"/>
          <w:sz w:val="22"/>
          <w:szCs w:val="22"/>
        </w:rPr>
        <w:t xml:space="preserve">BID Lab Innovation Fund: </w:t>
      </w:r>
      <w:r>
        <w:rPr>
          <w:rFonts w:ascii="Arial" w:cs="Arial" w:eastAsia="Arial" w:hAnsi="Arial"/>
          <w:color w:val="2C3E50"/>
          <w:sz w:val="22"/>
          <w:szCs w:val="22"/>
        </w:rPr>
        <w:t xml:space="preserve">USD 100-500K para innovaciones RegTech/GovTech en LATAM.</w:t>
      </w:r>
    </w:p>
    <w:p>
      <w:pPr>
        <w:pStyle w:val="ListParagraph"/>
        <w:numPr>
          <w:ilvl w:val="0"/>
          <w:numId w:val="2"/>
        </w:numPr>
        <w:spacing w:after="80" w:line="276"/>
      </w:pPr>
      <w:r>
        <w:rPr>
          <w:rFonts w:ascii="Arial" w:cs="Arial" w:eastAsia="Arial" w:hAnsi="Arial"/>
          <w:b/>
          <w:bCs/>
          <w:color w:val="2C3E50"/>
          <w:sz w:val="22"/>
          <w:szCs w:val="22"/>
        </w:rPr>
        <w:t xml:space="preserve">IP-backed financing: </w:t>
      </w:r>
      <w:r>
        <w:rPr>
          <w:rFonts w:ascii="Arial" w:cs="Arial" w:eastAsia="Arial" w:hAnsi="Arial"/>
          <w:color w:val="2C3E50"/>
          <w:sz w:val="22"/>
          <w:szCs w:val="22"/>
        </w:rPr>
        <w:t xml:space="preserve">Una vez otorgadas, las patentes pueden usarse como colateral para lineas de credito especializadas (modelo emergente en Chile via BancoEstado + CORFO).</w:t>
      </w:r>
    </w:p>
    <w:p>
      <w:pPr>
        <w:pStyle w:val="ListParagraph"/>
        <w:numPr>
          <w:ilvl w:val="0"/>
          <w:numId w:val="2"/>
        </w:numPr>
        <w:spacing w:after="80" w:line="276"/>
      </w:pPr>
      <w:r>
        <w:rPr>
          <w:rFonts w:ascii="Arial" w:cs="Arial" w:eastAsia="Arial" w:hAnsi="Arial"/>
          <w:b/>
          <w:bCs/>
          <w:color w:val="2C3E50"/>
          <w:sz w:val="22"/>
          <w:szCs w:val="22"/>
        </w:rPr>
        <w:t xml:space="preserve">Licenciamiento: </w:t>
      </w:r>
      <w:r>
        <w:rPr>
          <w:rFonts w:ascii="Arial" w:cs="Arial" w:eastAsia="Arial" w:hAnsi="Arial"/>
          <w:color w:val="2C3E50"/>
          <w:sz w:val="22"/>
          <w:szCs w:val="22"/>
        </w:rPr>
        <w:t xml:space="preserve">Las patentes del PAE y Multiplicador Precesional son licenciables a inmobiliarias, fondos de inversion, y municipios de toda LATAM, generando revenue recurrente sin dilucion de equity.</w:t>
      </w:r>
    </w:p>
    <w:p>
      <w:pPr>
        <w:pStyle w:val="Heading2"/>
        <w:spacing w:before="300" w:after="200"/>
      </w:pPr>
      <w:r>
        <w:t xml:space="preserve">6.3 Inversionistas Target</w:t>
      </w:r>
    </w:p>
    <w:p>
      <w:pPr>
        <w:pStyle w:val="ListParagraph"/>
        <w:numPr>
          <w:ilvl w:val="0"/>
          <w:numId w:val="2"/>
        </w:numPr>
        <w:spacing w:after="80" w:line="276"/>
      </w:pPr>
      <w:r>
        <w:rPr>
          <w:rFonts w:ascii="Arial" w:cs="Arial" w:eastAsia="Arial" w:hAnsi="Arial"/>
          <w:b/>
          <w:bCs/>
          <w:color w:val="2C3E50"/>
          <w:sz w:val="22"/>
          <w:szCs w:val="22"/>
        </w:rPr>
        <w:t xml:space="preserve">ALLVP (Mexico/Chile): </w:t>
      </w:r>
      <w:r>
        <w:rPr>
          <w:rFonts w:ascii="Arial" w:cs="Arial" w:eastAsia="Arial" w:hAnsi="Arial"/>
          <w:color w:val="2C3E50"/>
          <w:sz w:val="22"/>
          <w:szCs w:val="22"/>
        </w:rPr>
        <w:t xml:space="preserve">Fondo VC early-stage enfocado en LATAM, portafolio incluye PropTech.</w:t>
      </w:r>
    </w:p>
    <w:p>
      <w:pPr>
        <w:pStyle w:val="ListParagraph"/>
        <w:numPr>
          <w:ilvl w:val="0"/>
          <w:numId w:val="2"/>
        </w:numPr>
        <w:spacing w:after="80" w:line="276"/>
      </w:pPr>
      <w:r>
        <w:rPr>
          <w:rFonts w:ascii="Arial" w:cs="Arial" w:eastAsia="Arial" w:hAnsi="Arial"/>
          <w:b/>
          <w:bCs/>
          <w:color w:val="2C3E50"/>
          <w:sz w:val="22"/>
          <w:szCs w:val="22"/>
        </w:rPr>
        <w:t xml:space="preserve">Magma Partners (Chile): </w:t>
      </w:r>
      <w:r>
        <w:rPr>
          <w:rFonts w:ascii="Arial" w:cs="Arial" w:eastAsia="Arial" w:hAnsi="Arial"/>
          <w:color w:val="2C3E50"/>
          <w:sz w:val="22"/>
          <w:szCs w:val="22"/>
        </w:rPr>
        <w:t xml:space="preserve">Pre-seed/seed enfocado en startups chilenas con tecnologia innovadora.</w:t>
      </w:r>
    </w:p>
    <w:p>
      <w:pPr>
        <w:pStyle w:val="ListParagraph"/>
        <w:numPr>
          <w:ilvl w:val="0"/>
          <w:numId w:val="2"/>
        </w:numPr>
        <w:spacing w:after="80" w:line="276"/>
      </w:pPr>
      <w:r>
        <w:rPr>
          <w:rFonts w:ascii="Arial" w:cs="Arial" w:eastAsia="Arial" w:hAnsi="Arial"/>
          <w:b/>
          <w:bCs/>
          <w:color w:val="2C3E50"/>
          <w:sz w:val="22"/>
          <w:szCs w:val="22"/>
        </w:rPr>
        <w:t xml:space="preserve">500 Global (Silicon Valley): </w:t>
      </w:r>
      <w:r>
        <w:rPr>
          <w:rFonts w:ascii="Arial" w:cs="Arial" w:eastAsia="Arial" w:hAnsi="Arial"/>
          <w:color w:val="2C3E50"/>
          <w:sz w:val="22"/>
          <w:szCs w:val="22"/>
        </w:rPr>
        <w:t xml:space="preserve">Programa LATAM con ticket de USD 150K, valoracion pro-IP.</w:t>
      </w:r>
    </w:p>
    <w:p>
      <w:pPr>
        <w:pStyle w:val="ListParagraph"/>
        <w:numPr>
          <w:ilvl w:val="0"/>
          <w:numId w:val="2"/>
        </w:numPr>
        <w:spacing w:after="80" w:line="276"/>
      </w:pPr>
      <w:r>
        <w:rPr>
          <w:rFonts w:ascii="Arial" w:cs="Arial" w:eastAsia="Arial" w:hAnsi="Arial"/>
          <w:b/>
          <w:bCs/>
          <w:color w:val="2C3E50"/>
          <w:sz w:val="22"/>
          <w:szCs w:val="22"/>
        </w:rPr>
        <w:t xml:space="preserve">Endeavor Chile: </w:t>
      </w:r>
      <w:r>
        <w:rPr>
          <w:rFonts w:ascii="Arial" w:cs="Arial" w:eastAsia="Arial" w:hAnsi="Arial"/>
          <w:color w:val="2C3E50"/>
          <w:sz w:val="22"/>
          <w:szCs w:val="22"/>
        </w:rPr>
        <w:t xml:space="preserve">Red de mentores y acceso a inversionistas globales para scale-ups con IP protegida.</w:t>
      </w:r>
    </w:p>
    <w:p>
      <w:pPr>
        <w:pStyle w:val="ListParagraph"/>
        <w:numPr>
          <w:ilvl w:val="0"/>
          <w:numId w:val="2"/>
        </w:numPr>
        <w:spacing w:after="80" w:line="276"/>
      </w:pPr>
      <w:r>
        <w:rPr>
          <w:rFonts w:ascii="Arial" w:cs="Arial" w:eastAsia="Arial" w:hAnsi="Arial"/>
          <w:b/>
          <w:bCs/>
          <w:color w:val="2C3E50"/>
          <w:sz w:val="22"/>
          <w:szCs w:val="22"/>
        </w:rPr>
        <w:t xml:space="preserve">Google for Startups LATAM: </w:t>
      </w:r>
      <w:r>
        <w:rPr>
          <w:rFonts w:ascii="Arial" w:cs="Arial" w:eastAsia="Arial" w:hAnsi="Arial"/>
          <w:color w:val="2C3E50"/>
          <w:sz w:val="22"/>
          <w:szCs w:val="22"/>
        </w:rPr>
        <w:t xml:space="preserve">Programa de aceleracion con creditos cloud y acceso a red de mentores.</w:t>
      </w:r>
    </w:p>
    <w:p>
      <w:pPr>
        <w:pStyle w:val="ListParagraph"/>
        <w:numPr>
          <w:ilvl w:val="0"/>
          <w:numId w:val="2"/>
        </w:numPr>
        <w:spacing w:after="80" w:line="276"/>
      </w:pPr>
      <w:r>
        <w:rPr>
          <w:rFonts w:ascii="Arial" w:cs="Arial" w:eastAsia="Arial" w:hAnsi="Arial"/>
          <w:b/>
          <w:bCs/>
          <w:color w:val="2C3E50"/>
          <w:sz w:val="22"/>
          <w:szCs w:val="22"/>
        </w:rPr>
        <w:t xml:space="preserve">CAF Ciudades con Futuro: </w:t>
      </w:r>
      <w:r>
        <w:rPr>
          <w:rFonts w:ascii="Arial" w:cs="Arial" w:eastAsia="Arial" w:hAnsi="Arial"/>
          <w:color w:val="2C3E50"/>
          <w:sz w:val="22"/>
          <w:szCs w:val="22"/>
        </w:rPr>
        <w:t xml:space="preserve">USD 300K-1M para tecnologias de inteligencia urbana en LATAM.</w:t>
      </w:r>
    </w:p>
    <w:p>
      <w:r>
        <w:br w:type="page"/>
      </w:r>
    </w:p>
    <w:p>
      <w:pPr>
        <w:pStyle w:val="Heading1"/>
        <w:spacing w:before="300" w:after="200"/>
      </w:pPr>
      <w:r>
        <w:t xml:space="preserve">7. ROADMAP Y PROXIMOS PASOS</w:t>
      </w:r>
    </w:p>
    <w:p>
      <w:pPr>
        <w:pStyle w:val="Heading2"/>
        <w:spacing w:before="300" w:after="200"/>
      </w:pPr>
      <w:r>
        <w:t xml:space="preserve">7.1 Plan de Accion Inmediato (0-3 meses)</w:t>
      </w:r>
    </w:p>
    <w:p>
      <w:pPr>
        <w:pStyle w:val="ListParagraph"/>
        <w:numPr>
          <w:ilvl w:val="0"/>
          <w:numId w:val="2"/>
        </w:numPr>
        <w:spacing w:after="80" w:line="276"/>
      </w:pPr>
      <w:r>
        <w:rPr>
          <w:rFonts w:ascii="Arial" w:cs="Arial" w:eastAsia="Arial" w:hAnsi="Arial"/>
          <w:color w:val="2C3E50"/>
          <w:sz w:val="22"/>
          <w:szCs w:val="22"/>
        </w:rPr>
        <w:t xml:space="preserve">Contratar agente de propiedad industrial autorizado INAPI (recomendado: firma con experiencia en IIC/IA)</w:t>
      </w:r>
    </w:p>
    <w:p>
      <w:pPr>
        <w:pStyle w:val="ListParagraph"/>
        <w:numPr>
          <w:ilvl w:val="0"/>
          <w:numId w:val="2"/>
        </w:numPr>
        <w:spacing w:after="80" w:line="276"/>
      </w:pPr>
      <w:r>
        <w:rPr>
          <w:rFonts w:ascii="Arial" w:cs="Arial" w:eastAsia="Arial" w:hAnsi="Arial"/>
          <w:color w:val="2C3E50"/>
          <w:sz w:val="22"/>
          <w:szCs w:val="22"/>
        </w:rPr>
        <w:t xml:space="preserve">Redactar memorias descriptivas completas de INV-005 e INV-001 (prioridad critica)</w:t>
      </w:r>
    </w:p>
    <w:p>
      <w:pPr>
        <w:pStyle w:val="ListParagraph"/>
        <w:numPr>
          <w:ilvl w:val="0"/>
          <w:numId w:val="2"/>
        </w:numPr>
        <w:spacing w:after="80" w:line="276"/>
      </w:pPr>
      <w:r>
        <w:rPr>
          <w:rFonts w:ascii="Arial" w:cs="Arial" w:eastAsia="Arial" w:hAnsi="Arial"/>
          <w:color w:val="2C3E50"/>
          <w:sz w:val="22"/>
          <w:szCs w:val="22"/>
        </w:rPr>
        <w:t xml:space="preserve">Realizar busqueda formal del estado de la tecnica via INAPI (servicio ISA)</w:t>
      </w:r>
    </w:p>
    <w:p>
      <w:pPr>
        <w:pStyle w:val="ListParagraph"/>
        <w:numPr>
          <w:ilvl w:val="0"/>
          <w:numId w:val="2"/>
        </w:numPr>
        <w:spacing w:after="80" w:line="276"/>
      </w:pPr>
      <w:r>
        <w:rPr>
          <w:rFonts w:ascii="Arial" w:cs="Arial" w:eastAsia="Arial" w:hAnsi="Arial"/>
          <w:color w:val="2C3E50"/>
          <w:sz w:val="22"/>
          <w:szCs w:val="22"/>
        </w:rPr>
        <w:t xml:space="preserve">Presentar solicitudes nacionales de las 2 primeras patentes</w:t>
      </w:r>
    </w:p>
    <w:p>
      <w:pPr>
        <w:pStyle w:val="ListParagraph"/>
        <w:numPr>
          <w:ilvl w:val="0"/>
          <w:numId w:val="2"/>
        </w:numPr>
        <w:spacing w:after="80" w:line="276"/>
      </w:pPr>
      <w:r>
        <w:rPr>
          <w:rFonts w:ascii="Arial" w:cs="Arial" w:eastAsia="Arial" w:hAnsi="Arial"/>
          <w:color w:val="2C3E50"/>
          <w:sz w:val="22"/>
          <w:szCs w:val="22"/>
        </w:rPr>
        <w:t xml:space="preserve">Iniciar registro de marcas comerciales (DATAPOLIS, AGORA, PAE, Multiplicador Precesional)</w:t>
      </w:r>
    </w:p>
    <w:p>
      <w:pPr>
        <w:pStyle w:val="Heading2"/>
        <w:spacing w:before="300" w:after="200"/>
      </w:pPr>
      <w:r>
        <w:t xml:space="preserve">7.2 Plan Medio Plazo (3-12 meses)</w:t>
      </w:r>
    </w:p>
    <w:p>
      <w:pPr>
        <w:pStyle w:val="ListParagraph"/>
        <w:numPr>
          <w:ilvl w:val="0"/>
          <w:numId w:val="2"/>
        </w:numPr>
        <w:spacing w:after="80" w:line="276"/>
      </w:pPr>
      <w:r>
        <w:rPr>
          <w:rFonts w:ascii="Arial" w:cs="Arial" w:eastAsia="Arial" w:hAnsi="Arial"/>
          <w:color w:val="2C3E50"/>
          <w:sz w:val="22"/>
          <w:szCs w:val="22"/>
        </w:rPr>
        <w:t xml:space="preserve">Presentar solicitudes restantes (INV-002 a INV-004, INV-006 a INV-008)</w:t>
      </w:r>
    </w:p>
    <w:p>
      <w:pPr>
        <w:pStyle w:val="ListParagraph"/>
        <w:numPr>
          <w:ilvl w:val="0"/>
          <w:numId w:val="2"/>
        </w:numPr>
        <w:spacing w:after="80" w:line="276"/>
      </w:pPr>
      <w:r>
        <w:rPr>
          <w:rFonts w:ascii="Arial" w:cs="Arial" w:eastAsia="Arial" w:hAnsi="Arial"/>
          <w:color w:val="2C3E50"/>
          <w:sz w:val="22"/>
          <w:szCs w:val="22"/>
        </w:rPr>
        <w:t xml:space="preserve">Evaluar solicitud PCT para las 2-3 patentes de mayor potencial internacional</w:t>
      </w:r>
    </w:p>
    <w:p>
      <w:pPr>
        <w:pStyle w:val="ListParagraph"/>
        <w:numPr>
          <w:ilvl w:val="0"/>
          <w:numId w:val="2"/>
        </w:numPr>
        <w:spacing w:after="80" w:line="276"/>
      </w:pPr>
      <w:r>
        <w:rPr>
          <w:rFonts w:ascii="Arial" w:cs="Arial" w:eastAsia="Arial" w:hAnsi="Arial"/>
          <w:color w:val="2C3E50"/>
          <w:sz w:val="22"/>
          <w:szCs w:val="22"/>
        </w:rPr>
        <w:t xml:space="preserve">Postular a CORFO Protege para financiar costos de patentamiento</w:t>
      </w:r>
    </w:p>
    <w:p>
      <w:pPr>
        <w:pStyle w:val="ListParagraph"/>
        <w:numPr>
          <w:ilvl w:val="0"/>
          <w:numId w:val="2"/>
        </w:numPr>
        <w:spacing w:after="80" w:line="276"/>
      </w:pPr>
      <w:r>
        <w:rPr>
          <w:rFonts w:ascii="Arial" w:cs="Arial" w:eastAsia="Arial" w:hAnsi="Arial"/>
          <w:color w:val="2C3E50"/>
          <w:sz w:val="22"/>
          <w:szCs w:val="22"/>
        </w:rPr>
        <w:t xml:space="preserve">Documentar evidencia de reduccion a practica (prototipos funcionales, datos de validacion)</w:t>
      </w:r>
    </w:p>
    <w:p>
      <w:pPr>
        <w:pStyle w:val="ListParagraph"/>
        <w:numPr>
          <w:ilvl w:val="0"/>
          <w:numId w:val="2"/>
        </w:numPr>
        <w:spacing w:after="80" w:line="276"/>
      </w:pPr>
      <w:r>
        <w:rPr>
          <w:rFonts w:ascii="Arial" w:cs="Arial" w:eastAsia="Arial" w:hAnsi="Arial"/>
          <w:color w:val="2C3E50"/>
          <w:sz w:val="22"/>
          <w:szCs w:val="22"/>
        </w:rPr>
        <w:t xml:space="preserve">Preparar portfolio IP para rondas de inversion</w:t>
      </w:r>
    </w:p>
    <w:p>
      <w:pPr>
        <w:pStyle w:val="Heading2"/>
        <w:spacing w:before="300" w:after="200"/>
      </w:pPr>
      <w:r>
        <w:t xml:space="preserve">7.3 Plan Largo Plazo (12-24 meses)</w:t>
      </w:r>
    </w:p>
    <w:p>
      <w:pPr>
        <w:pStyle w:val="ListParagraph"/>
        <w:numPr>
          <w:ilvl w:val="0"/>
          <w:numId w:val="2"/>
        </w:numPr>
        <w:spacing w:after="80" w:line="276"/>
      </w:pPr>
      <w:r>
        <w:rPr>
          <w:rFonts w:ascii="Arial" w:cs="Arial" w:eastAsia="Arial" w:hAnsi="Arial"/>
          <w:color w:val="2C3E50"/>
          <w:sz w:val="22"/>
          <w:szCs w:val="22"/>
        </w:rPr>
        <w:t xml:space="preserve">Entrar en fases nacionales PCT en mercados prioritarios (Mexico, Colombia, Peru, Brasil)</w:t>
      </w:r>
    </w:p>
    <w:p>
      <w:pPr>
        <w:pStyle w:val="ListParagraph"/>
        <w:numPr>
          <w:ilvl w:val="0"/>
          <w:numId w:val="2"/>
        </w:numPr>
        <w:spacing w:after="80" w:line="276"/>
      </w:pPr>
      <w:r>
        <w:rPr>
          <w:rFonts w:ascii="Arial" w:cs="Arial" w:eastAsia="Arial" w:hAnsi="Arial"/>
          <w:color w:val="2C3E50"/>
          <w:sz w:val="22"/>
          <w:szCs w:val="22"/>
        </w:rPr>
        <w:t xml:space="preserve">Desarrollar estrategia de licenciamiento para PAE y Multiplicador Precesional</w:t>
      </w:r>
    </w:p>
    <w:p>
      <w:pPr>
        <w:pStyle w:val="ListParagraph"/>
        <w:numPr>
          <w:ilvl w:val="0"/>
          <w:numId w:val="2"/>
        </w:numPr>
        <w:spacing w:after="80" w:line="276"/>
      </w:pPr>
      <w:r>
        <w:rPr>
          <w:rFonts w:ascii="Arial" w:cs="Arial" w:eastAsia="Arial" w:hAnsi="Arial"/>
          <w:color w:val="2C3E50"/>
          <w:sz w:val="22"/>
          <w:szCs w:val="22"/>
        </w:rPr>
        <w:t xml:space="preserve">Evaluar patentes adicionales derivadas de la implementacion y validacion de los modelos ML</w:t>
      </w:r>
    </w:p>
    <w:p>
      <w:pPr>
        <w:pStyle w:val="ListParagraph"/>
        <w:numPr>
          <w:ilvl w:val="0"/>
          <w:numId w:val="2"/>
        </w:numPr>
        <w:spacing w:after="80" w:line="276"/>
      </w:pPr>
      <w:r>
        <w:rPr>
          <w:rFonts w:ascii="Arial" w:cs="Arial" w:eastAsia="Arial" w:hAnsi="Arial"/>
          <w:color w:val="2C3E50"/>
          <w:sz w:val="22"/>
          <w:szCs w:val="22"/>
        </w:rPr>
        <w:t xml:space="preserve">Establecer programa continuo de vigilancia tecnologica e innovacion patentable</w:t>
      </w:r>
    </w:p>
    <w:p>
      <w:pPr>
        <w:pStyle w:val="ListParagraph"/>
        <w:numPr>
          <w:ilvl w:val="0"/>
          <w:numId w:val="2"/>
        </w:numPr>
        <w:spacing w:after="80" w:line="276"/>
      </w:pPr>
      <w:r>
        <w:rPr>
          <w:rFonts w:ascii="Arial" w:cs="Arial" w:eastAsia="Arial" w:hAnsi="Arial"/>
          <w:color w:val="2C3E50"/>
          <w:sz w:val="22"/>
          <w:szCs w:val="22"/>
        </w:rPr>
        <w:t xml:space="preserve">Considerar Patent Pool con universidades chilenas (UC, UChile, UCentral) para investigacion conjunta</w:t>
      </w:r>
    </w:p>
    <w:p>
      <w:r>
        <w:br w:type="page"/>
      </w:r>
    </w:p>
    <w:p>
      <w:pPr>
        <w:pStyle w:val="Heading1"/>
        <w:spacing w:before="300" w:after="200"/>
      </w:pPr>
      <w:r>
        <w:t xml:space="preserve">8. CONCLUSIONES</w:t>
      </w:r>
    </w:p>
    <w:p>
      <w:pPr>
        <w:spacing w:after="160" w:before="0" w:line="276"/>
        <w:jc w:val="both"/>
      </w:pPr>
      <w:r>
        <w:rPr>
          <w:rFonts w:ascii="Arial" w:cs="Arial" w:eastAsia="Arial" w:hAnsi="Arial"/>
          <w:b w:val="false"/>
          <w:bCs w:val="false"/>
          <w:i w:val="false"/>
          <w:iCs w:val="false"/>
          <w:color w:val="2C3E50"/>
          <w:sz w:val="22"/>
          <w:szCs w:val="22"/>
        </w:rPr>
        <w:t xml:space="preserve">El ecosistema DATAPOLIS contiene innovaciones tecnicas genuinamente nuevas que trascienden la mera combinacion de tecnologias existentes. El concepto de analisis precesional territorial, su implementacion computacional mediante el PAE, y las metricas derivadas como el Multiplicador Precesional y el Scoring de Riesgo Precesional, constituyen contribuciones originales al estado de la tecnica sin antecedentes identificados en la literatura cientifica, bases de patentes globales, ni en el mercado PropTech/FinTech mundial.</w:t>
      </w:r>
    </w:p>
    <w:p>
      <w:pPr>
        <w:spacing w:after="160" w:before="0" w:line="276"/>
        <w:jc w:val="both"/>
      </w:pPr>
      <w:r>
        <w:rPr>
          <w:rFonts w:ascii="Arial" w:cs="Arial" w:eastAsia="Arial" w:hAnsi="Arial"/>
          <w:b w:val="false"/>
          <w:bCs w:val="false"/>
          <w:i w:val="false"/>
          <w:iCs w:val="false"/>
          <w:color w:val="2C3E50"/>
          <w:sz w:val="22"/>
          <w:szCs w:val="22"/>
        </w:rPr>
        <w:t xml:space="preserve">Bajo el nuevo marco de INAPI 2022 para Invenciones Implementadas por Computador e Inteligencia Artificial, estas innovaciones cumplen con los tres requisitos de patentabilidad: novedad absoluta (no anticipadas por el estado de la tecnica), nivel inventivo (no obvias para un experto en urbanismo, arquitectura de software o machine learning), y aplicacion industrial (implementables como SaaS B2B/B2G con mercado cuantificado).</w:t>
      </w:r>
    </w:p>
    <w:p>
      <w:pPr>
        <w:spacing w:after="160" w:before="0" w:line="276"/>
        <w:jc w:val="both"/>
      </w:pPr>
      <w:r>
        <w:rPr>
          <w:rFonts w:ascii="Arial" w:cs="Arial" w:eastAsia="Arial" w:hAnsi="Arial"/>
          <w:b/>
          <w:bCs/>
          <w:color w:val="2C3E50"/>
          <w:sz w:val="22"/>
          <w:szCs w:val="22"/>
        </w:rPr>
        <w:t xml:space="preserve">Recomendacion principal: </w:t>
      </w:r>
      <w:r>
        <w:rPr>
          <w:rFonts w:ascii="Arial" w:cs="Arial" w:eastAsia="Arial" w:hAnsi="Arial"/>
          <w:color w:val="2C3E50"/>
          <w:sz w:val="22"/>
          <w:szCs w:val="22"/>
        </w:rPr>
        <w:t xml:space="preserve">Iniciar el proceso de patentamiento de forma inmediata, priorizando INV-005 (Multiplicador Precesional) e INV-001 (Precession Analytics Engine) por su maxima novedad y potencial comercial. El plazo de gracia de 12 meses para divulgacion propia protege temporalmente, pero el riesgo de que terceros desarrollen soluciones similares hace imperativo asegurar la fecha de prioridad lo antes posible.</w:t>
      </w:r>
    </w:p>
    <w:p>
      <w:pPr>
        <w:spacing w:after="160" w:before="0" w:line="276"/>
        <w:jc w:val="both"/>
      </w:pPr>
      <w:r>
        <w:rPr>
          <w:rFonts w:ascii="Arial" w:cs="Arial" w:eastAsia="Arial" w:hAnsi="Arial"/>
          <w:b/>
          <w:bCs/>
          <w:color w:val="2C3E50"/>
          <w:sz w:val="22"/>
          <w:szCs w:val="22"/>
        </w:rPr>
        <w:t xml:space="preserve">Valor estrategico: </w:t>
      </w:r>
      <w:r>
        <w:rPr>
          <w:rFonts w:ascii="Arial" w:cs="Arial" w:eastAsia="Arial" w:hAnsi="Arial"/>
          <w:color w:val="2C3E50"/>
          <w:sz w:val="22"/>
          <w:szCs w:val="22"/>
        </w:rPr>
        <w:t xml:space="preserve">Un portfolio de 6-8 patentes posicionaria a DATAPOLIS como la empresa PropTech con mayor proteccion IP en Chile y potencialmente en LATAM, generando barreras de entrada significativas, facilitando rondas de inversion y habilitando modelos de licenciamiento recurrente que no requieren dilucion de equity.</w:t>
      </w:r>
    </w:p>
    <w:p>
      <w:pPr>
        <w:pBdr>
          <w:bottom w:val="single" w:color="2E75B6" w:sz="4" w:space="1"/>
        </w:pBdr>
        <w:spacing w:before="200" w:after="200"/>
      </w:pPr>
    </w:p>
    <w:p>
      <w:pPr>
        <w:spacing w:after="160" w:before="0" w:line="276"/>
        <w:jc w:val="both"/>
      </w:pPr>
      <w:r>
        <w:rPr>
          <w:rFonts w:ascii="Arial" w:cs="Arial" w:eastAsia="Arial" w:hAnsi="Arial"/>
          <w:b/>
          <w:bCs/>
          <w:color w:val="C0392B"/>
          <w:sz w:val="22"/>
          <w:szCs w:val="22"/>
        </w:rPr>
        <w:t xml:space="preserve">NOTA IMPORTANTE: </w:t>
      </w:r>
      <w:r>
        <w:rPr>
          <w:rFonts w:ascii="Arial" w:cs="Arial" w:eastAsia="Arial" w:hAnsi="Arial"/>
          <w:color w:val="C0392B"/>
          <w:sz w:val="22"/>
          <w:szCs w:val="22"/>
        </w:rPr>
        <w:t xml:space="preserve">Este documento constituye un analisis tecnico preliminar de patentabilidad. La presentacion formal de solicitudes de patente requiere la asistencia de un agente de propiedad industrial autorizado ante INAPI y una busqueda formal del estado de la tecnica. Se recomienda encarecidamente consultar con un profesional especializado antes de proceder.</w:t>
      </w:r>
    </w:p>
    <w:p>
      <w:r>
        <w:br w:type="page"/>
      </w:r>
    </w:p>
    <w:p>
      <w:pPr>
        <w:pStyle w:val="Heading1"/>
        <w:spacing w:before="300" w:after="200"/>
      </w:pPr>
      <w:r>
        <w:t xml:space="preserve">9. FUENTES Y REFERENCIAS</w:t>
      </w:r>
    </w:p>
    <w:p>
      <w:pPr>
        <w:pStyle w:val="Heading2"/>
        <w:spacing w:before="300" w:after="200"/>
      </w:pPr>
      <w:r>
        <w:t xml:space="preserve">9.1 Normativa</w:t>
      </w:r>
    </w:p>
    <w:p>
      <w:pPr>
        <w:pStyle w:val="ListParagraph"/>
        <w:numPr>
          <w:ilvl w:val="0"/>
          <w:numId w:val="2"/>
        </w:numPr>
        <w:spacing w:after="80" w:line="276"/>
      </w:pPr>
      <w:r>
        <w:rPr>
          <w:rFonts w:ascii="Arial" w:cs="Arial" w:eastAsia="Arial" w:hAnsi="Arial"/>
          <w:color w:val="2C3E50"/>
          <w:sz w:val="22"/>
          <w:szCs w:val="22"/>
        </w:rPr>
        <w:t xml:space="preserve">DFL N.4 de 2022 - Texto refundido Ley N.19.039 de Propiedad Industrial</w:t>
      </w:r>
    </w:p>
    <w:p>
      <w:pPr>
        <w:pStyle w:val="ListParagraph"/>
        <w:numPr>
          <w:ilvl w:val="0"/>
          <w:numId w:val="2"/>
        </w:numPr>
        <w:spacing w:after="80" w:line="276"/>
      </w:pPr>
      <w:r>
        <w:rPr>
          <w:rFonts w:ascii="Arial" w:cs="Arial" w:eastAsia="Arial" w:hAnsi="Arial"/>
          <w:color w:val="2C3E50"/>
          <w:sz w:val="22"/>
          <w:szCs w:val="22"/>
        </w:rPr>
        <w:t xml:space="preserve">DS N.82 de 2022 - Reglamento de la Ley N.19.039</w:t>
      </w:r>
    </w:p>
    <w:p>
      <w:pPr>
        <w:pStyle w:val="ListParagraph"/>
        <w:numPr>
          <w:ilvl w:val="0"/>
          <w:numId w:val="2"/>
        </w:numPr>
        <w:spacing w:after="80" w:line="276"/>
      </w:pPr>
      <w:r>
        <w:rPr>
          <w:rFonts w:ascii="Arial" w:cs="Arial" w:eastAsia="Arial" w:hAnsi="Arial"/>
          <w:color w:val="2C3E50"/>
          <w:sz w:val="22"/>
          <w:szCs w:val="22"/>
        </w:rPr>
        <w:t xml:space="preserve">DFL N.3 de 2022 - Texto refundido Ley N.20.254 que crea INAPI</w:t>
      </w:r>
    </w:p>
    <w:p>
      <w:pPr>
        <w:pStyle w:val="ListParagraph"/>
        <w:numPr>
          <w:ilvl w:val="0"/>
          <w:numId w:val="2"/>
        </w:numPr>
        <w:spacing w:after="80" w:line="276"/>
      </w:pPr>
      <w:r>
        <w:rPr>
          <w:rFonts w:ascii="Arial" w:cs="Arial" w:eastAsia="Arial" w:hAnsi="Arial"/>
          <w:color w:val="2C3E50"/>
          <w:sz w:val="22"/>
          <w:szCs w:val="22"/>
        </w:rPr>
        <w:t xml:space="preserve">Directrices de Examen y Procedimiento de Registro de Patentes, INAPI 2022</w:t>
      </w:r>
    </w:p>
    <w:p>
      <w:pPr>
        <w:pStyle w:val="ListParagraph"/>
        <w:numPr>
          <w:ilvl w:val="0"/>
          <w:numId w:val="2"/>
        </w:numPr>
        <w:spacing w:after="80" w:line="276"/>
      </w:pPr>
      <w:r>
        <w:rPr>
          <w:rFonts w:ascii="Arial" w:cs="Arial" w:eastAsia="Arial" w:hAnsi="Arial"/>
          <w:color w:val="2C3E50"/>
          <w:sz w:val="22"/>
          <w:szCs w:val="22"/>
        </w:rPr>
        <w:t xml:space="preserve">Manual de Patentamiento IIC e IA, INAPI 2022</w:t>
      </w:r>
    </w:p>
    <w:p>
      <w:pPr>
        <w:pStyle w:val="ListParagraph"/>
        <w:numPr>
          <w:ilvl w:val="0"/>
          <w:numId w:val="2"/>
        </w:numPr>
        <w:spacing w:after="80" w:line="276"/>
      </w:pPr>
      <w:r>
        <w:rPr>
          <w:rFonts w:ascii="Arial" w:cs="Arial" w:eastAsia="Arial" w:hAnsi="Arial"/>
          <w:color w:val="2C3E50"/>
          <w:sz w:val="22"/>
          <w:szCs w:val="22"/>
        </w:rPr>
        <w:t xml:space="preserve">Ley N.21.442 de Copropiedad Inmobiliaria</w:t>
      </w:r>
    </w:p>
    <w:p>
      <w:pPr>
        <w:pStyle w:val="ListParagraph"/>
        <w:numPr>
          <w:ilvl w:val="0"/>
          <w:numId w:val="2"/>
        </w:numPr>
        <w:spacing w:after="80" w:line="276"/>
      </w:pPr>
      <w:r>
        <w:rPr>
          <w:rFonts w:ascii="Arial" w:cs="Arial" w:eastAsia="Arial" w:hAnsi="Arial"/>
          <w:color w:val="2C3E50"/>
          <w:sz w:val="22"/>
          <w:szCs w:val="22"/>
        </w:rPr>
        <w:t xml:space="preserve">Ley N.21.713 de Cumplimiento de Obligaciones Tributarias</w:t>
      </w:r>
    </w:p>
    <w:p>
      <w:pPr>
        <w:pStyle w:val="ListParagraph"/>
        <w:numPr>
          <w:ilvl w:val="0"/>
          <w:numId w:val="2"/>
        </w:numPr>
        <w:spacing w:after="80" w:line="276"/>
      </w:pPr>
      <w:r>
        <w:rPr>
          <w:rFonts w:ascii="Arial" w:cs="Arial" w:eastAsia="Arial" w:hAnsi="Arial"/>
          <w:color w:val="2C3E50"/>
          <w:sz w:val="22"/>
          <w:szCs w:val="22"/>
        </w:rPr>
        <w:t xml:space="preserve">DS N.7 de 2025 - Reglamento Ley 21.442</w:t>
      </w:r>
    </w:p>
    <w:p>
      <w:pPr>
        <w:pStyle w:val="Heading2"/>
        <w:spacing w:before="300" w:after="200"/>
      </w:pPr>
      <w:r>
        <w:t xml:space="preserve">9.2 Estado del Arte</w:t>
      </w:r>
    </w:p>
    <w:p>
      <w:pPr>
        <w:pStyle w:val="ListParagraph"/>
        <w:numPr>
          <w:ilvl w:val="0"/>
          <w:numId w:val="2"/>
        </w:numPr>
        <w:spacing w:after="80" w:line="276"/>
      </w:pPr>
      <w:r>
        <w:rPr>
          <w:rFonts w:ascii="Arial" w:cs="Arial" w:eastAsia="Arial" w:hAnsi="Arial"/>
          <w:color w:val="2C3E50"/>
          <w:sz w:val="22"/>
          <w:szCs w:val="22"/>
        </w:rPr>
        <w:t xml:space="preserve">US5361201A - Real estate appraisal using predictive modeling (1993)</w:t>
      </w:r>
    </w:p>
    <w:p>
      <w:pPr>
        <w:pStyle w:val="ListParagraph"/>
        <w:numPr>
          <w:ilvl w:val="0"/>
          <w:numId w:val="2"/>
        </w:numPr>
        <w:spacing w:after="80" w:line="276"/>
      </w:pPr>
      <w:r>
        <w:rPr>
          <w:rFonts w:ascii="Arial" w:cs="Arial" w:eastAsia="Arial" w:hAnsi="Arial"/>
          <w:color w:val="2C3E50"/>
          <w:sz w:val="22"/>
          <w:szCs w:val="22"/>
        </w:rPr>
        <w:t xml:space="preserve">Fuller, R.B. (1975). Synergetics: Explorations in the Geometry of Thinking</w:t>
      </w:r>
    </w:p>
    <w:p>
      <w:pPr>
        <w:pStyle w:val="ListParagraph"/>
        <w:numPr>
          <w:ilvl w:val="0"/>
          <w:numId w:val="2"/>
        </w:numPr>
        <w:spacing w:after="80" w:line="276"/>
      </w:pPr>
      <w:r>
        <w:rPr>
          <w:rFonts w:ascii="Arial" w:cs="Arial" w:eastAsia="Arial" w:hAnsi="Arial"/>
          <w:color w:val="2C3E50"/>
          <w:sz w:val="22"/>
          <w:szCs w:val="22"/>
        </w:rPr>
        <w:t xml:space="preserve">Fuller, R.B. (1981). Critical Path. St. Martin's Press</w:t>
      </w:r>
    </w:p>
    <w:p>
      <w:pPr>
        <w:pStyle w:val="ListParagraph"/>
        <w:numPr>
          <w:ilvl w:val="0"/>
          <w:numId w:val="2"/>
        </w:numPr>
        <w:spacing w:after="80" w:line="276"/>
      </w:pPr>
      <w:r>
        <w:rPr>
          <w:rFonts w:ascii="Arial" w:cs="Arial" w:eastAsia="Arial" w:hAnsi="Arial"/>
          <w:color w:val="2C3E50"/>
          <w:sz w:val="22"/>
          <w:szCs w:val="22"/>
        </w:rPr>
        <w:t xml:space="preserve">Cervero, R. &amp; Kang, C.D. (2011). Bus rapid transit impacts on land uses and land values</w:t>
      </w:r>
    </w:p>
    <w:p>
      <w:pPr>
        <w:pStyle w:val="ListParagraph"/>
        <w:numPr>
          <w:ilvl w:val="0"/>
          <w:numId w:val="2"/>
        </w:numPr>
        <w:spacing w:after="80" w:line="276"/>
      </w:pPr>
      <w:r>
        <w:rPr>
          <w:rFonts w:ascii="Arial" w:cs="Arial" w:eastAsia="Arial" w:hAnsi="Arial"/>
          <w:color w:val="2C3E50"/>
          <w:sz w:val="22"/>
          <w:szCs w:val="22"/>
        </w:rPr>
        <w:t xml:space="preserve">Batty, M. (2013). The New Science of Cities. MIT Press</w:t>
      </w:r>
    </w:p>
    <w:p>
      <w:pPr>
        <w:pStyle w:val="ListParagraph"/>
        <w:numPr>
          <w:ilvl w:val="0"/>
          <w:numId w:val="2"/>
        </w:numPr>
        <w:spacing w:after="80" w:line="276"/>
      </w:pPr>
      <w:r>
        <w:rPr>
          <w:rFonts w:ascii="Arial" w:cs="Arial" w:eastAsia="Arial" w:hAnsi="Arial"/>
          <w:color w:val="2C3E50"/>
          <w:sz w:val="22"/>
          <w:szCs w:val="22"/>
        </w:rPr>
        <w:t xml:space="preserve">Meadows, D. (2008). Thinking in Systems: A Primer</w:t>
      </w:r>
    </w:p>
    <w:p>
      <w:pPr>
        <w:pStyle w:val="ListParagraph"/>
        <w:numPr>
          <w:ilvl w:val="0"/>
          <w:numId w:val="2"/>
        </w:numPr>
        <w:spacing w:after="80" w:line="276"/>
      </w:pPr>
      <w:r>
        <w:rPr>
          <w:rFonts w:ascii="Arial" w:cs="Arial" w:eastAsia="Arial" w:hAnsi="Arial"/>
          <w:color w:val="2C3E50"/>
          <w:sz w:val="22"/>
          <w:szCs w:val="22"/>
        </w:rPr>
        <w:t xml:space="preserve">ClarkeModet (2023). Computer-implemented inventions and AI: New practice in Chile</w:t>
      </w:r>
    </w:p>
    <w:p>
      <w:pPr>
        <w:pStyle w:val="ListParagraph"/>
        <w:numPr>
          <w:ilvl w:val="0"/>
          <w:numId w:val="2"/>
        </w:numPr>
        <w:spacing w:after="80" w:line="276"/>
      </w:pPr>
      <w:r>
        <w:rPr>
          <w:rFonts w:ascii="Arial" w:cs="Arial" w:eastAsia="Arial" w:hAnsi="Arial"/>
          <w:color w:val="2C3E50"/>
          <w:sz w:val="22"/>
          <w:szCs w:val="22"/>
        </w:rPr>
        <w:t xml:space="preserve">Kangxin IP (2025). Chile's INAPI Sets New Patent Application Record in 2024</w:t>
      </w:r>
    </w:p>
    <w:p>
      <w:pPr>
        <w:pStyle w:val="Heading2"/>
        <w:spacing w:before="300" w:after="200"/>
      </w:pPr>
      <w:r>
        <w:t xml:space="preserve">9.3 Bases de Datos Consultadas</w:t>
      </w:r>
    </w:p>
    <w:p>
      <w:pPr>
        <w:pStyle w:val="ListParagraph"/>
        <w:numPr>
          <w:ilvl w:val="0"/>
          <w:numId w:val="2"/>
        </w:numPr>
        <w:spacing w:after="80" w:line="276"/>
      </w:pPr>
      <w:r>
        <w:rPr>
          <w:rFonts w:ascii="Arial" w:cs="Arial" w:eastAsia="Arial" w:hAnsi="Arial"/>
          <w:color w:val="2C3E50"/>
          <w:sz w:val="22"/>
          <w:szCs w:val="22"/>
        </w:rPr>
        <w:t xml:space="preserve">Google Patents (patents.google.com)</w:t>
      </w:r>
    </w:p>
    <w:p>
      <w:pPr>
        <w:pStyle w:val="ListParagraph"/>
        <w:numPr>
          <w:ilvl w:val="0"/>
          <w:numId w:val="2"/>
        </w:numPr>
        <w:spacing w:after="80" w:line="276"/>
      </w:pPr>
      <w:r>
        <w:rPr>
          <w:rFonts w:ascii="Arial" w:cs="Arial" w:eastAsia="Arial" w:hAnsi="Arial"/>
          <w:color w:val="2C3E50"/>
          <w:sz w:val="22"/>
          <w:szCs w:val="22"/>
        </w:rPr>
        <w:t xml:space="preserve">USPTO Full-Text Patent Database (patft.uspto.gov)</w:t>
      </w:r>
    </w:p>
    <w:p>
      <w:pPr>
        <w:pStyle w:val="ListParagraph"/>
        <w:numPr>
          <w:ilvl w:val="0"/>
          <w:numId w:val="2"/>
        </w:numPr>
        <w:spacing w:after="80" w:line="276"/>
      </w:pPr>
      <w:r>
        <w:rPr>
          <w:rFonts w:ascii="Arial" w:cs="Arial" w:eastAsia="Arial" w:hAnsi="Arial"/>
          <w:color w:val="2C3E50"/>
          <w:sz w:val="22"/>
          <w:szCs w:val="22"/>
        </w:rPr>
        <w:t xml:space="preserve">WIPO PatentScope (patentscope.wipo.int)</w:t>
      </w:r>
    </w:p>
    <w:p>
      <w:pPr>
        <w:pStyle w:val="ListParagraph"/>
        <w:numPr>
          <w:ilvl w:val="0"/>
          <w:numId w:val="2"/>
        </w:numPr>
        <w:spacing w:after="80" w:line="276"/>
      </w:pPr>
      <w:r>
        <w:rPr>
          <w:rFonts w:ascii="Arial" w:cs="Arial" w:eastAsia="Arial" w:hAnsi="Arial"/>
          <w:color w:val="2C3E50"/>
          <w:sz w:val="22"/>
          <w:szCs w:val="22"/>
        </w:rPr>
        <w:t xml:space="preserve">INAPI Chile (inapi.cl)</w:t>
      </w:r>
    </w:p>
    <w:p>
      <w:pPr>
        <w:pStyle w:val="ListParagraph"/>
        <w:numPr>
          <w:ilvl w:val="0"/>
          <w:numId w:val="2"/>
        </w:numPr>
        <w:spacing w:after="80" w:line="276"/>
      </w:pPr>
      <w:r>
        <w:rPr>
          <w:rFonts w:ascii="Arial" w:cs="Arial" w:eastAsia="Arial" w:hAnsi="Arial"/>
          <w:color w:val="2C3E50"/>
          <w:sz w:val="22"/>
          <w:szCs w:val="22"/>
        </w:rPr>
        <w:t xml:space="preserve">Espacenet - EPO (espacenet.com)</w:t>
      </w:r>
    </w:p>
    <w:p>
      <w:pPr>
        <w:pStyle w:val="ListParagraph"/>
        <w:numPr>
          <w:ilvl w:val="0"/>
          <w:numId w:val="2"/>
        </w:numPr>
        <w:spacing w:after="80" w:line="276"/>
      </w:pPr>
      <w:r>
        <w:rPr>
          <w:rFonts w:ascii="Arial" w:cs="Arial" w:eastAsia="Arial" w:hAnsi="Arial"/>
          <w:color w:val="2C3E50"/>
          <w:sz w:val="22"/>
          <w:szCs w:val="22"/>
        </w:rPr>
        <w:t xml:space="preserve">Scopus / Web of Science (publicaciones academicas)</w:t>
      </w:r>
    </w:p>
    <w:sectPr>
      <w:headerReference w:type="default" r:id="rId6"/>
      <w:footerReference w:type="default" r:id="rId7"/>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7F8C8D"/>
        <w:sz w:val="16"/>
        <w:szCs w:val="16"/>
      </w:rPr>
      <w:t xml:space="preserve">Pagina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 Documento generado: 24/02/2026 |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7F8C8D"/>
        <w:sz w:val="16"/>
        <w:szCs w:val="16"/>
      </w:rPr>
      <w:t xml:space="preserve">DATAPOLIS SpA | Analisis de Patentabilidad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65D"/>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2026-02-24T16:12:04.716Z</dcterms:created>
  <dcterms:modified xsi:type="dcterms:W3CDTF">2026-02-24T16:12:04.717Z</dcterms:modified>
</cp:coreProperties>
</file>

<file path=docProps/custom.xml><?xml version="1.0" encoding="utf-8"?>
<Properties xmlns="http://schemas.openxmlformats.org/officeDocument/2006/custom-properties" xmlns:vt="http://schemas.openxmlformats.org/officeDocument/2006/docPropsVTypes"/>
</file>