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400" w:after="200"/>
        <w:jc w:val="center"/>
      </w:pPr>
      <w:r>
        <w:rPr>
          <w:rFonts w:ascii="Arial" w:cs="Arial" w:eastAsia="Arial" w:hAnsi="Arial"/>
          <w:b/>
          <w:bCs/>
          <w:color w:val="1B3A6B"/>
          <w:sz w:val="52"/>
          <w:szCs w:val="52"/>
        </w:rPr>
        <w:t xml:space="preserve">DATAPOLIS SpA</w:t>
      </w:r>
    </w:p>
    <w:p>
      <w:pPr>
        <w:spacing w:before="100" w:after="100"/>
        <w:jc w:val="center"/>
      </w:pPr>
      <w:r>
        <w:rPr>
          <w:rFonts w:ascii="Arial" w:cs="Arial" w:eastAsia="Arial" w:hAnsi="Arial"/>
          <w:b/>
          <w:bCs/>
          <w:color w:val="0D7377"/>
          <w:sz w:val="34"/>
          <w:szCs w:val="34"/>
        </w:rPr>
        <w:t xml:space="preserve">DIAGNÓSTICO INTEGRAL Y MATRIZ DE AVANCE</w:t>
      </w:r>
    </w:p>
    <w:p>
      <w:pPr>
        <w:spacing w:before="60" w:after="300"/>
        <w:jc w:val="center"/>
      </w:pPr>
      <w:r>
        <w:rPr>
          <w:rFonts w:ascii="Arial" w:cs="Arial" w:eastAsia="Arial" w:hAnsi="Arial"/>
          <w:b w:val="false"/>
          <w:bCs w:val="false"/>
          <w:color w:val="F4A261"/>
          <w:sz w:val="28"/>
          <w:szCs w:val="28"/>
        </w:rPr>
        <w:t xml:space="preserve">PAE M11 — PRECESSION ANALYTICS ENGINE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Versión</w:t>
            </w:r>
          </w:p>
        </w:tc>
        <w:tc>
          <w:tcPr>
            <w:tcW w:type="dxa" w:w="300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4.0.0 — Consolidado</w:t>
            </w:r>
          </w:p>
        </w:tc>
      </w:tr>
      <w:tr>
        <w:tc>
          <w:tcPr>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Fecha</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26 de Febrero de 2026</w:t>
            </w:r>
          </w:p>
        </w:tc>
      </w:tr>
      <w:tr>
        <w:tc>
          <w:tcPr>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Autor</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Daniel / DATAPOLIS SpA</w:t>
            </w:r>
          </w:p>
        </w:tc>
      </w:tr>
      <w:tr>
        <w:tc>
          <w:tcPr>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Clasificación</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Estratégico · Inversores · Técnico</w:t>
            </w:r>
          </w:p>
        </w:tc>
      </w:tr>
      <w:tr>
        <w:tc>
          <w:tcPr>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Estado global</w:t>
            </w:r>
          </w:p>
        </w:tc>
        <w:tc>
          <w:tcPr>
            <w:gridSpan w:val="1"/>
            <w:tcBorders>
              <w:top w:val="single" w:color="BBCDE5" w:sz="1"/>
              <w:left w:val="single" w:color="BBCDE5" w:sz="1"/>
              <w:bottom w:val="single" w:color="BBCDE5" w:sz="1"/>
              <w:right w:val="single" w:color="BBCDE5" w:sz="1"/>
            </w:tcBorders>
            <w:shd w:fill="D4EDDA" w:val="clear"/>
            <w:tcMar>
              <w:top w:type="dxa" w:w="80"/>
              <w:left w:type="dxa" w:w="120"/>
              <w:bottom w:type="dxa" w:w="80"/>
              <w:right w:type="dxa" w:w="120"/>
            </w:tcMar>
            <w:vAlign w:val="center"/>
          </w:tcPr>
          <w:p>
            <w:pPr>
              <w:jc w:val="left"/>
            </w:pPr>
            <w:r>
              <w:rPr>
                <w:rFonts w:ascii="Arial" w:cs="Arial" w:eastAsia="Arial" w:hAnsi="Arial"/>
                <w:b/>
                <w:bCs/>
                <w:color w:val="2D9B3F"/>
                <w:sz w:val="18"/>
                <w:szCs w:val="18"/>
              </w:rPr>
              <w:t xml:space="preserve">✅ TODAS LAS DISCREPANCIAS RESUELTAS</w:t>
            </w:r>
          </w:p>
        </w:tc>
      </w:tr>
    </w:tbl>
    <w:p>
      <w:pPr>
        <w:spacing w:before="80" w:after="80"/>
      </w:pPr>
      <w:r>
        <w:t xml:space="preserve"/>
      </w:r>
    </w:p>
    <w:p>
      <w:pPr>
        <w:spacing w:before="80" w:after="80"/>
      </w:pPr>
      <w:r>
        <w:t xml:space="preserve"/>
      </w:r>
    </w:p>
    <w:p>
      <w:pPr>
        <w:spacing w:before="80" w:after="80"/>
      </w:pPr>
      <w:r>
        <w:t xml:space="preserve"/>
      </w:r>
    </w:p>
    <w:p>
      <w:pPr>
        <w:jc w:val="center"/>
      </w:pPr>
      <w:r>
        <w:rPr>
          <w:rFonts w:ascii="Arial" w:cs="Arial" w:eastAsia="Arial" w:hAnsi="Arial"/>
          <w:i/>
          <w:iCs/>
          <w:color w:val="6C757D"/>
          <w:sz w:val="22"/>
          <w:szCs w:val="22"/>
        </w:rPr>
        <w:t xml:space="preserve">« Weniger, aber besser »</w:t>
      </w:r>
    </w:p>
    <w:p>
      <w:r>
        <w:br w:type="page"/>
      </w:r>
    </w:p>
    <w:p>
      <w:pPr>
        <w:pStyle w:val="Heading1"/>
        <w:pBdr>
          <w:bottom w:val="single" w:color="1B3A6B" w:sz="6" w:space="6"/>
        </w:pBdr>
        <w:spacing w:before="400" w:after="200"/>
      </w:pPr>
      <w:r>
        <w:rPr>
          <w:rFonts w:ascii="Arial" w:cs="Arial" w:eastAsia="Arial" w:hAnsi="Arial"/>
          <w:b/>
          <w:bCs/>
          <w:color w:val="1B3A6B"/>
          <w:sz w:val="32"/>
          <w:szCs w:val="32"/>
        </w:rPr>
        <w:t xml:space="preserve">1. RESUMEN EJECUTIVO</w:t>
      </w:r>
    </w:p>
    <w:p>
      <w:pPr>
        <w:spacing w:before="80" w:after="120"/>
      </w:pPr>
      <w:r>
        <w:rPr>
          <w:rFonts w:ascii="Arial" w:cs="Arial" w:eastAsia="Arial" w:hAnsi="Arial"/>
          <w:sz w:val="20"/>
          <w:szCs w:val="20"/>
        </w:rPr>
        <w:t xml:space="preserve">El presente documento constituye el diagnóstico integral y la matriz de avance del desarrollo del módulo PAE M11 (Precession Analytics Engine) del ecosistema DATAPOLIS v4.0. Consolida y analiza tres documentos fuente: PAE_Integracion_Analisis_Completo v2.0, PAE_Resolucion_Integral_Discrepancias v3.0 y DATAPOLIS_Strategic_Roadmap_Investors, más el Landing HTML v4 integrado.</w:t>
      </w:r>
    </w:p>
    <w:p>
      <w:pPr>
        <w:spacing w:before="80" w:after="120"/>
      </w:pPr>
      <w:r>
        <w:rPr>
          <w:rFonts w:ascii="Arial" w:cs="Arial" w:eastAsia="Arial" w:hAnsi="Arial"/>
          <w:sz w:val="20"/>
          <w:szCs w:val="20"/>
        </w:rPr>
        <w:t xml:space="preserve">El PAE M11 ha sido concebido como una transposición computacional de la teoría de precesión sistémica de R. Buckminster Fuller al análisis territorial, evolucionando desde un core centralizado FastAPI hacia una arquitectura de cores independientes (M11-DP en PHP nativo / M11-AG en Python nativo) sincronizados vía Event Bus Redis. Esta evolución constituye la rectificación arquitectónica más relevante del ciclo de desarrollo actual.</w:t>
      </w:r>
    </w:p>
    <w:p>
      <w:pPr>
        <w:pStyle w:val="Heading2"/>
        <w:spacing w:before="300" w:after="160"/>
      </w:pPr>
      <w:r>
        <w:rPr>
          <w:rFonts w:ascii="Arial" w:cs="Arial" w:eastAsia="Arial" w:hAnsi="Arial"/>
          <w:b/>
          <w:bCs/>
          <w:color w:val="0D7377"/>
          <w:sz w:val="26"/>
          <w:szCs w:val="26"/>
        </w:rPr>
        <w:t xml:space="preserve">1.1 Hallazgos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Hallazgo</w:t>
            </w:r>
          </w:p>
        </w:tc>
        <w:tc>
          <w:tcPr>
            <w:tcW w:type="dxa" w:w="6560"/>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Descripción</w:t>
            </w:r>
          </w:p>
        </w:tc>
      </w:tr>
      <w:tr>
        <w:tc>
          <w:tcPr>
            <w:tcW w:type="dxa" w:w="2800"/>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14 modificaciones críticas</w:t>
            </w:r>
          </w:p>
        </w:tc>
        <w:tc>
          <w:tcPr>
            <w:tcW w:type="dxa" w:w="656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7 discrepancias de alta prioridad identificadas y 100% resueltas (D1–D7); 8 ajustes de optimización gestionados.</w:t>
            </w:r>
          </w:p>
        </w:tc>
      </w:tr>
      <w:tr>
        <w:tc>
          <w:tcPr>
            <w:tcW w:type="dxa" w:w="2800"/>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Arquitectura definitiva</w:t>
            </w:r>
          </w:p>
        </w:tc>
        <w:tc>
          <w:tcPr>
            <w:tcW w:type="dxa" w:w="656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Cores independientes M11-DP (PHP 8.3 / Laravel 11) + M11-AG (Python 3.11 / FastAPI) + Event Bus Redis bidireccional. Latencia overhead ≈0ms.</w:t>
            </w:r>
          </w:p>
        </w:tc>
      </w:tr>
      <w:tr>
        <w:tc>
          <w:tcPr>
            <w:tcW w:type="dxa" w:w="2800"/>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Cobertura modular</w:t>
            </w:r>
          </w:p>
        </w:tc>
        <w:tc>
          <w:tcPr>
            <w:tcW w:type="dxa" w:w="656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61 módulos en total (17 PRO + 22 Valorización + 8 ÁGORA + 13 IA + 1 PAE transversal). 22 módulos VM sin integración PAE previamente documentada, ahora mapeados.</w:t>
            </w:r>
          </w:p>
        </w:tc>
      </w:tr>
      <w:tr>
        <w:tc>
          <w:tcPr>
            <w:tcW w:type="dxa" w:w="2800"/>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Proyección financiera</w:t>
            </w:r>
          </w:p>
        </w:tc>
        <w:tc>
          <w:tcPr>
            <w:tcW w:type="dxa" w:w="656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Revenue PAE: USD 126K Año 1 → USD 6.82M Año 5. EBITDA 79% en Año 5. Break-even adelantado de mes 24 a mes 18.</w:t>
            </w:r>
          </w:p>
        </w:tc>
      </w:tr>
      <w:tr>
        <w:tc>
          <w:tcPr>
            <w:tcW w:type="dxa" w:w="2800"/>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Innovación patentable</w:t>
            </w:r>
          </w:p>
        </w:tc>
        <w:tc>
          <w:tcPr>
            <w:tcW w:type="dxa" w:w="656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3 innovaciones con alta potencial de patente: Precession Graph Engine, Multiplicador Precesional y VAN Precesional. Recomendación INAPI + PCT.</w:t>
            </w:r>
          </w:p>
        </w:tc>
      </w:tr>
      <w:tr>
        <w:tc>
          <w:tcPr>
            <w:tcW w:type="dxa" w:w="2800"/>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Caso ancla validado</w:t>
            </w:r>
          </w:p>
        </w:tc>
        <w:tc>
          <w:tcPr>
            <w:tcW w:type="dxa" w:w="656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Multiplicador 4.76x documentado en Convenio Marco CEPAL-UN / I.M. Pudahuel (Valles Lo Aguirre / El Noviciado).</w:t>
            </w:r>
          </w:p>
        </w:tc>
      </w:tr>
    </w:tbl>
    <w:p>
      <w:r>
        <w:br w:type="page"/>
      </w:r>
    </w:p>
    <w:p>
      <w:pPr>
        <w:pStyle w:val="Heading1"/>
        <w:pBdr>
          <w:bottom w:val="single" w:color="1B3A6B" w:sz="6" w:space="6"/>
        </w:pBdr>
        <w:spacing w:before="400" w:after="200"/>
      </w:pPr>
      <w:r>
        <w:rPr>
          <w:rFonts w:ascii="Arial" w:cs="Arial" w:eastAsia="Arial" w:hAnsi="Arial"/>
          <w:b/>
          <w:bCs/>
          <w:color w:val="1B3A6B"/>
          <w:sz w:val="32"/>
          <w:szCs w:val="32"/>
        </w:rPr>
        <w:t xml:space="preserve">2. DIAGNÓSTICO DE LOS DOCUMENTOS FUENTE</w:t>
      </w:r>
    </w:p>
    <w:p>
      <w:pPr>
        <w:spacing w:before="80" w:after="120"/>
      </w:pPr>
      <w:r>
        <w:rPr>
          <w:rFonts w:ascii="Arial" w:cs="Arial" w:eastAsia="Arial" w:hAnsi="Arial"/>
          <w:sz w:val="20"/>
          <w:szCs w:val="20"/>
        </w:rPr>
        <w:t xml:space="preserve">El análisis cruzado de los cuatro archivos del ZIP + el documento de Resolución entregó el siguiente diagnóstico por archivo: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00"/>
        <w:gridCol w:w="1200"/>
        <w:gridCol w:w="3100"/>
        <w:gridCol w:w="1860"/>
      </w:tblGrid>
      <w:tr>
        <w:tc>
          <w:tcPr>
            <w:tcW w:type="dxa" w:w="2600"/>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Documento</w:t>
            </w:r>
          </w:p>
        </w:tc>
        <w:tc>
          <w:tcPr>
            <w:tcW w:type="dxa" w:w="600"/>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w:t>
            </w:r>
          </w:p>
        </w:tc>
        <w:tc>
          <w:tcPr>
            <w:tcW w:type="dxa" w:w="1200"/>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Fecha</w:t>
            </w:r>
          </w:p>
        </w:tc>
        <w:tc>
          <w:tcPr>
            <w:tcW w:type="dxa" w:w="3100"/>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Contenido</w:t>
            </w:r>
          </w:p>
        </w:tc>
        <w:tc>
          <w:tcPr>
            <w:tcW w:type="dxa" w:w="1860"/>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Estado</w:t>
            </w:r>
          </w:p>
        </w:tc>
      </w:tr>
      <w:tr>
        <w:tc>
          <w:tcPr>
            <w:tcW w:type="dxa" w:w="260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PAE_Integracion_Analisis_Completo.docx</w:t>
            </w:r>
          </w:p>
        </w:tc>
        <w:tc>
          <w:tcPr>
            <w:tcW w:type="dxa" w:w="60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7"/>
                <w:szCs w:val="17"/>
              </w:rPr>
              <w:t xml:space="preserve">v2.0</w:t>
            </w:r>
          </w:p>
        </w:tc>
        <w:tc>
          <w:tcPr>
            <w:tcW w:type="dxa" w:w="120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24-Feb-2026</w:t>
            </w:r>
          </w:p>
        </w:tc>
        <w:tc>
          <w:tcPr>
            <w:tcW w:type="dxa" w:w="310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Análisis de integración, identificación de 7 discrepancias, proyecciones financieras y oportunidades estratégicas. Base analítica del ciclo.</w:t>
            </w:r>
          </w:p>
        </w:tc>
        <w:tc>
          <w:tcPr>
            <w:tcW w:type="dxa" w:w="1860"/>
            <w:gridSpan w:val="1"/>
            <w:tcBorders>
              <w:top w:val="single" w:color="BBCDE5" w:sz="1"/>
              <w:left w:val="single" w:color="BBCDE5" w:sz="1"/>
              <w:bottom w:val="single" w:color="BBCDE5" w:sz="1"/>
              <w:right w:val="single" w:color="BBCDE5" w:sz="1"/>
            </w:tcBorders>
            <w:shd w:fill="FFF3CD" w:val="clear"/>
            <w:tcMar>
              <w:top w:type="dxa" w:w="80"/>
              <w:left w:type="dxa" w:w="120"/>
              <w:bottom w:type="dxa" w:w="80"/>
              <w:right w:type="dxa" w:w="120"/>
            </w:tcMar>
            <w:vAlign w:val="center"/>
          </w:tcPr>
          <w:p>
            <w:pPr>
              <w:jc w:val="left"/>
            </w:pPr>
            <w:r>
              <w:rPr>
                <w:rFonts w:ascii="Arial" w:cs="Arial" w:eastAsia="Arial" w:hAnsi="Arial"/>
                <w:b/>
                <w:bCs/>
                <w:color w:val="2C3E50"/>
                <w:sz w:val="16"/>
                <w:szCs w:val="16"/>
              </w:rPr>
              <w:t xml:space="preserve">⚠️ Requería correcciones</w:t>
            </w:r>
          </w:p>
        </w:tc>
      </w:tr>
      <w:tr>
        <w:tc>
          <w:tcPr>
            <w:tcW w:type="dxa" w:w="260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PAE_Resolucion_Integral_Discrepancias.docx</w:t>
            </w:r>
          </w:p>
        </w:tc>
        <w:tc>
          <w:tcPr>
            <w:tcW w:type="dxa" w:w="60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7"/>
                <w:szCs w:val="17"/>
              </w:rPr>
              <w:t xml:space="preserve">v3.0</w:t>
            </w:r>
          </w:p>
        </w:tc>
        <w:tc>
          <w:tcPr>
            <w:tcW w:type="dxa" w:w="120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24-Feb-2026</w:t>
            </w:r>
          </w:p>
        </w:tc>
        <w:tc>
          <w:tcPr>
            <w:tcW w:type="dxa" w:w="310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Resolución documentada de D1–D7. Incluye código rectificado, diagramas regenerados, prompts reescritos y validaciones. Estado: CERRADO.</w:t>
            </w:r>
          </w:p>
        </w:tc>
        <w:tc>
          <w:tcPr>
            <w:tcW w:type="dxa" w:w="1860"/>
            <w:gridSpan w:val="1"/>
            <w:tcBorders>
              <w:top w:val="single" w:color="BBCDE5" w:sz="1"/>
              <w:left w:val="single" w:color="BBCDE5" w:sz="1"/>
              <w:bottom w:val="single" w:color="BBCDE5" w:sz="1"/>
              <w:right w:val="single" w:color="BBCDE5" w:sz="1"/>
            </w:tcBorders>
            <w:shd w:fill="D4EDDA" w:val="clear"/>
            <w:tcMar>
              <w:top w:type="dxa" w:w="80"/>
              <w:left w:type="dxa" w:w="120"/>
              <w:bottom w:type="dxa" w:w="80"/>
              <w:right w:type="dxa" w:w="120"/>
            </w:tcMar>
            <w:vAlign w:val="center"/>
          </w:tcPr>
          <w:p>
            <w:pPr>
              <w:jc w:val="left"/>
            </w:pPr>
            <w:r>
              <w:rPr>
                <w:rFonts w:ascii="Arial" w:cs="Arial" w:eastAsia="Arial" w:hAnsi="Arial"/>
                <w:b/>
                <w:bCs/>
                <w:color w:val="2C3E50"/>
                <w:sz w:val="16"/>
                <w:szCs w:val="16"/>
              </w:rPr>
              <w:t xml:space="preserve">✅ Completo</w:t>
            </w:r>
          </w:p>
        </w:tc>
      </w:tr>
      <w:tr>
        <w:tc>
          <w:tcPr>
            <w:tcW w:type="dxa" w:w="260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DATAPOLIS_Strategic_Roadmap_Investors.docx</w:t>
            </w:r>
          </w:p>
        </w:tc>
        <w:tc>
          <w:tcPr>
            <w:tcW w:type="dxa" w:w="60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7"/>
                <w:szCs w:val="17"/>
              </w:rPr>
              <w:t xml:space="preserve">1.0</w:t>
            </w:r>
          </w:p>
        </w:tc>
        <w:tc>
          <w:tcPr>
            <w:tcW w:type="dxa" w:w="120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24-Feb-2026</w:t>
            </w:r>
          </w:p>
        </w:tc>
        <w:tc>
          <w:tcPr>
            <w:tcW w:type="dxa" w:w="310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Roadmap 5 fases / 24 meses, proyección financiera revisada, mapa de inversionistas, posicionamiento competitivo y métricas del ecosistema.</w:t>
            </w:r>
          </w:p>
        </w:tc>
        <w:tc>
          <w:tcPr>
            <w:tcW w:type="dxa" w:w="1860"/>
            <w:gridSpan w:val="1"/>
            <w:tcBorders>
              <w:top w:val="single" w:color="BBCDE5" w:sz="1"/>
              <w:left w:val="single" w:color="BBCDE5" w:sz="1"/>
              <w:bottom w:val="single" w:color="BBCDE5" w:sz="1"/>
              <w:right w:val="single" w:color="BBCDE5" w:sz="1"/>
            </w:tcBorders>
            <w:shd w:fill="D4EDDA" w:val="clear"/>
            <w:tcMar>
              <w:top w:type="dxa" w:w="80"/>
              <w:left w:type="dxa" w:w="120"/>
              <w:bottom w:type="dxa" w:w="80"/>
              <w:right w:type="dxa" w:w="120"/>
            </w:tcMar>
            <w:vAlign w:val="center"/>
          </w:tcPr>
          <w:p>
            <w:pPr>
              <w:jc w:val="left"/>
            </w:pPr>
            <w:r>
              <w:rPr>
                <w:rFonts w:ascii="Arial" w:cs="Arial" w:eastAsia="Arial" w:hAnsi="Arial"/>
                <w:b/>
                <w:bCs/>
                <w:color w:val="2C3E50"/>
                <w:sz w:val="16"/>
                <w:szCs w:val="16"/>
              </w:rPr>
              <w:t xml:space="preserve">✅ Completo</w:t>
            </w:r>
          </w:p>
        </w:tc>
      </w:tr>
      <w:tr>
        <w:tc>
          <w:tcPr>
            <w:tcW w:type="dxa" w:w="260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DATAPOLIS_Landing_v4_PAE_Integrated.html</w:t>
            </w:r>
          </w:p>
        </w:tc>
        <w:tc>
          <w:tcPr>
            <w:tcW w:type="dxa" w:w="60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7"/>
                <w:szCs w:val="17"/>
              </w:rPr>
              <w:t xml:space="preserve">4.0</w:t>
            </w:r>
          </w:p>
        </w:tc>
        <w:tc>
          <w:tcPr>
            <w:tcW w:type="dxa" w:w="120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24-Feb-2026</w:t>
            </w:r>
          </w:p>
        </w:tc>
        <w:tc>
          <w:tcPr>
            <w:tcW w:type="dxa" w:w="310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Landing page de presentación comercial: 5 plataformas, 60+ módulos, arquitectura 5 capas. Capa de presentación y posicionamiento.</w:t>
            </w:r>
          </w:p>
        </w:tc>
        <w:tc>
          <w:tcPr>
            <w:tcW w:type="dxa" w:w="1860"/>
            <w:gridSpan w:val="1"/>
            <w:tcBorders>
              <w:top w:val="single" w:color="BBCDE5" w:sz="1"/>
              <w:left w:val="single" w:color="BBCDE5" w:sz="1"/>
              <w:bottom w:val="single" w:color="BBCDE5" w:sz="1"/>
              <w:right w:val="single" w:color="BBCDE5" w:sz="1"/>
            </w:tcBorders>
            <w:shd w:fill="FFF3CD" w:val="clear"/>
            <w:tcMar>
              <w:top w:type="dxa" w:w="80"/>
              <w:left w:type="dxa" w:w="120"/>
              <w:bottom w:type="dxa" w:w="80"/>
              <w:right w:type="dxa" w:w="120"/>
            </w:tcMar>
            <w:vAlign w:val="center"/>
          </w:tcPr>
          <w:p>
            <w:pPr>
              <w:jc w:val="left"/>
            </w:pPr>
            <w:r>
              <w:rPr>
                <w:rFonts w:ascii="Arial" w:cs="Arial" w:eastAsia="Arial" w:hAnsi="Arial"/>
                <w:b/>
                <w:bCs/>
                <w:color w:val="2C3E50"/>
                <w:sz w:val="16"/>
                <w:szCs w:val="16"/>
              </w:rPr>
              <w:t xml:space="preserve">⚠️ Conteo a actualizar a 61+</w:t>
            </w:r>
          </w:p>
        </w:tc>
      </w:tr>
    </w:tbl>
    <w:p>
      <w:r>
        <w:br w:type="page"/>
      </w:r>
    </w:p>
    <w:p>
      <w:pPr>
        <w:pStyle w:val="Heading1"/>
        <w:pBdr>
          <w:bottom w:val="single" w:color="1B3A6B" w:sz="6" w:space="6"/>
        </w:pBdr>
        <w:spacing w:before="400" w:after="200"/>
      </w:pPr>
      <w:r>
        <w:rPr>
          <w:rFonts w:ascii="Arial" w:cs="Arial" w:eastAsia="Arial" w:hAnsi="Arial"/>
          <w:b/>
          <w:bCs/>
          <w:color w:val="1B3A6B"/>
          <w:sz w:val="32"/>
          <w:szCs w:val="32"/>
        </w:rPr>
        <w:t xml:space="preserve">3. MATRIZ DE DISCREPANCIAS Y ESTADO DE RESOLUCIÓN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CDE5" w:sz="1"/>
              <w:left w:val="single" w:color="BBCDE5" w:sz="1"/>
              <w:bottom w:val="single" w:color="BBCDE5" w:sz="1"/>
              <w:right w:val="single" w:color="BBCDE5" w:sz="1"/>
            </w:tcBorders>
            <w:shd w:fill="D4EDDA" w:val="clear"/>
            <w:tcMar>
              <w:top w:type="dxa" w:w="120"/>
              <w:left w:type="dxa" w:w="200"/>
              <w:bottom w:type="dxa" w:w="120"/>
              <w:right w:type="dxa" w:w="120"/>
            </w:tcMar>
          </w:tcPr>
          <w:p>
            <w:r>
              <w:rPr>
                <w:rFonts w:ascii="Arial" w:cs="Arial" w:eastAsia="Arial" w:hAnsi="Arial"/>
                <w:b w:val="false"/>
                <w:bCs w:val="false"/>
                <w:color w:val="2C3E50"/>
                <w:sz w:val="19"/>
                <w:szCs w:val="19"/>
              </w:rPr>
              <w:t xml:space="preserve">✅ 7/7 discrepancias resueltas. El ecosistema DATAPOLIS v4.0 + PAE M11 presenta coherencia documental completa al cierre de este diagnóstico.</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600"/>
        <w:gridCol w:w="1800"/>
        <w:gridCol w:w="2480"/>
        <w:gridCol w:w="2800"/>
        <w:gridCol w:w="1260"/>
      </w:tblGrid>
      <w:tr>
        <w:tc>
          <w:tcPr>
            <w:tcW w:type="dxa" w:w="420"/>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600"/>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Impacto</w:t>
            </w:r>
          </w:p>
        </w:tc>
        <w:tc>
          <w:tcPr>
            <w:tcW w:type="dxa" w:w="1800"/>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Discrepancia</w:t>
            </w:r>
          </w:p>
        </w:tc>
        <w:tc>
          <w:tcPr>
            <w:tcW w:type="dxa" w:w="2480"/>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Problema Original</w:t>
            </w:r>
          </w:p>
        </w:tc>
        <w:tc>
          <w:tcPr>
            <w:tcW w:type="dxa" w:w="2800"/>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Resolución Aplicada</w:t>
            </w:r>
          </w:p>
        </w:tc>
        <w:tc>
          <w:tcPr>
            <w:tcW w:type="dxa" w:w="1260"/>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Estado</w:t>
            </w:r>
          </w:p>
        </w:tc>
      </w:tr>
      <w:tr>
        <w:tc>
          <w:tcPr>
            <w:tcW w:type="dxa" w:w="420"/>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D1</w:t>
            </w:r>
          </w:p>
        </w:tc>
        <w:tc>
          <w:tcPr>
            <w:tcW w:type="dxa" w:w="600"/>
            <w:gridSpan w:val="1"/>
            <w:tcBorders>
              <w:top w:val="single" w:color="BBCDE5" w:sz="1"/>
              <w:left w:val="single" w:color="BBCDE5" w:sz="1"/>
              <w:bottom w:val="single" w:color="BBCDE5" w:sz="1"/>
              <w:right w:val="single" w:color="BBCDE5"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6"/>
                <w:szCs w:val="16"/>
              </w:rPr>
              <w:t xml:space="preserve">ALTO</w:t>
            </w:r>
          </w:p>
        </w:tc>
        <w:tc>
          <w:tcPr>
            <w:tcW w:type="dxa" w:w="180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Arquitectura PAE centralizada vs. independiente</w:t>
            </w:r>
          </w:p>
        </w:tc>
        <w:tc>
          <w:tcPr>
            <w:tcW w:type="dxa" w:w="248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Spec M11 §4 describía PrecessionService.php como cliente HTTP del PAE Core FastAPI centralizado. Landing ya reflejaba cores independientes. Prompts A-C usaban arquitectura obsoleta.</w:t>
            </w:r>
          </w:p>
        </w:tc>
        <w:tc>
          <w:tcPr>
            <w:tcW w:type="dxa" w:w="280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Spec M11 §4 reescrita con arquitectura dual M11-DP + M11-AG. Prompts A-C reescritos para PHP nativo Laravel 11. Config sin pae_api_url ni pae_api_key. Latencia overhead ≈0ms in-process.</w:t>
            </w:r>
          </w:p>
        </w:tc>
        <w:tc>
          <w:tcPr>
            <w:tcW w:type="dxa" w:w="1260"/>
            <w:gridSpan w:val="1"/>
            <w:tcBorders>
              <w:top w:val="single" w:color="BBCDE5" w:sz="1"/>
              <w:left w:val="single" w:color="BBCDE5" w:sz="1"/>
              <w:bottom w:val="single" w:color="BBCDE5" w:sz="1"/>
              <w:right w:val="single" w:color="BBCDE5" w:sz="1"/>
            </w:tcBorders>
            <w:shd w:fill="D4EDDA" w:val="clear"/>
            <w:tcMar>
              <w:top w:type="dxa" w:w="80"/>
              <w:left w:type="dxa" w:w="120"/>
              <w:bottom w:type="dxa" w:w="80"/>
              <w:right w:type="dxa" w:w="120"/>
            </w:tcMar>
            <w:vAlign w:val="center"/>
          </w:tcPr>
          <w:p>
            <w:pPr>
              <w:jc w:val="center"/>
            </w:pPr>
            <w:r>
              <w:rPr>
                <w:rFonts w:ascii="Arial" w:cs="Arial" w:eastAsia="Arial" w:hAnsi="Arial"/>
                <w:b/>
                <w:bCs/>
                <w:color w:val="2D9B3F"/>
                <w:sz w:val="16"/>
                <w:szCs w:val="16"/>
              </w:rPr>
              <w:t xml:space="preserve">✅ RESUELTO</w:t>
            </w:r>
          </w:p>
        </w:tc>
      </w:tr>
      <w:tr>
        <w:tc>
          <w:tcPr>
            <w:tcW w:type="dxa" w:w="420"/>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D2</w:t>
            </w:r>
          </w:p>
        </w:tc>
        <w:tc>
          <w:tcPr>
            <w:tcW w:type="dxa" w:w="600"/>
            <w:gridSpan w:val="1"/>
            <w:tcBorders>
              <w:top w:val="single" w:color="BBCDE5" w:sz="1"/>
              <w:left w:val="single" w:color="BBCDE5" w:sz="1"/>
              <w:bottom w:val="single" w:color="BBCDE5" w:sz="1"/>
              <w:right w:val="single" w:color="BBCDE5" w:sz="1"/>
            </w:tcBorders>
            <w:shd w:fill="FFF3CD" w:val="clear"/>
            <w:tcMar>
              <w:top w:type="dxa" w:w="80"/>
              <w:left w:type="dxa" w:w="120"/>
              <w:bottom w:type="dxa" w:w="80"/>
              <w:right w:type="dxa" w:w="120"/>
            </w:tcMar>
            <w:vAlign w:val="center"/>
          </w:tcPr>
          <w:p>
            <w:pPr>
              <w:jc w:val="center"/>
            </w:pPr>
            <w:r>
              <w:rPr>
                <w:rFonts w:ascii="Arial" w:cs="Arial" w:eastAsia="Arial" w:hAnsi="Arial"/>
                <w:b/>
                <w:bCs/>
                <w:color w:val="E07B00"/>
                <w:sz w:val="16"/>
                <w:szCs w:val="16"/>
              </w:rPr>
              <w:t xml:space="preserve">MEDIO</w:t>
            </w:r>
          </w:p>
        </w:tc>
        <w:tc>
          <w:tcPr>
            <w:tcW w:type="dxa" w:w="180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Numeración módulos PRO vs. Valorización</w:t>
            </w:r>
          </w:p>
        </w:tc>
        <w:tc>
          <w:tcPr>
            <w:tcW w:type="dxa" w:w="248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Landing mostraba M09 Tributario en PRO; Spec mostraba M04 Tributario en integración PAE. Tabla §4.2 usaba M04-M16, pero PRO usa M09-M17.</w:t>
            </w:r>
          </w:p>
        </w:tc>
        <w:tc>
          <w:tcPr>
            <w:tcW w:type="dxa" w:w="280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Nomenclatura unificada: PRO=M01-M17 · Valorización=VM00-VM22 · ÁGORA=AG01-AG08 · IA=IA01-IA13 · PAE=Transversal. Tabla maestra incluida en Resolución.</w:t>
            </w:r>
          </w:p>
        </w:tc>
        <w:tc>
          <w:tcPr>
            <w:tcW w:type="dxa" w:w="1260"/>
            <w:gridSpan w:val="1"/>
            <w:tcBorders>
              <w:top w:val="single" w:color="BBCDE5" w:sz="1"/>
              <w:left w:val="single" w:color="BBCDE5" w:sz="1"/>
              <w:bottom w:val="single" w:color="BBCDE5" w:sz="1"/>
              <w:right w:val="single" w:color="BBCDE5" w:sz="1"/>
            </w:tcBorders>
            <w:shd w:fill="D4EDDA" w:val="clear"/>
            <w:tcMar>
              <w:top w:type="dxa" w:w="80"/>
              <w:left w:type="dxa" w:w="120"/>
              <w:bottom w:type="dxa" w:w="80"/>
              <w:right w:type="dxa" w:w="120"/>
            </w:tcMar>
            <w:vAlign w:val="center"/>
          </w:tcPr>
          <w:p>
            <w:pPr>
              <w:jc w:val="center"/>
            </w:pPr>
            <w:r>
              <w:rPr>
                <w:rFonts w:ascii="Arial" w:cs="Arial" w:eastAsia="Arial" w:hAnsi="Arial"/>
                <w:b/>
                <w:bCs/>
                <w:color w:val="2D9B3F"/>
                <w:sz w:val="16"/>
                <w:szCs w:val="16"/>
              </w:rPr>
              <w:t xml:space="preserve">✅ RESUELTO</w:t>
            </w:r>
          </w:p>
        </w:tc>
      </w:tr>
      <w:tr>
        <w:tc>
          <w:tcPr>
            <w:tcW w:type="dxa" w:w="420"/>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D3</w:t>
            </w:r>
          </w:p>
        </w:tc>
        <w:tc>
          <w:tcPr>
            <w:tcW w:type="dxa" w:w="600"/>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center"/>
            </w:pPr>
            <w:r>
              <w:rPr>
                <w:rFonts w:ascii="Arial" w:cs="Arial" w:eastAsia="Arial" w:hAnsi="Arial"/>
                <w:b/>
                <w:bCs/>
                <w:color w:val="0D7377"/>
                <w:sz w:val="16"/>
                <w:szCs w:val="16"/>
              </w:rPr>
              <w:t xml:space="preserve">BAJO</w:t>
            </w:r>
          </w:p>
        </w:tc>
        <w:tc>
          <w:tcPr>
            <w:tcW w:type="dxa" w:w="180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Conteo módulos totales impreciso (60+)</w:t>
            </w:r>
          </w:p>
        </w:tc>
        <w:tc>
          <w:tcPr>
            <w:tcW w:type="dxa" w:w="248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Landing decía 60+. PRO=17 + Valoriz.=22 + ÁGORA=8 + IA=13 = 60. PAE M11 transversal no estaba contado separadamente.</w:t>
            </w:r>
          </w:p>
        </w:tc>
        <w:tc>
          <w:tcPr>
            <w:tcW w:type="dxa" w:w="280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Conteo actualizado: 61 módulos (17+22+8+13+1 PAE transversal). Landing debe mostrar 61+. Métrica aceptada en documentación técnica.</w:t>
            </w:r>
          </w:p>
        </w:tc>
        <w:tc>
          <w:tcPr>
            <w:tcW w:type="dxa" w:w="1260"/>
            <w:gridSpan w:val="1"/>
            <w:tcBorders>
              <w:top w:val="single" w:color="BBCDE5" w:sz="1"/>
              <w:left w:val="single" w:color="BBCDE5" w:sz="1"/>
              <w:bottom w:val="single" w:color="BBCDE5" w:sz="1"/>
              <w:right w:val="single" w:color="BBCDE5" w:sz="1"/>
            </w:tcBorders>
            <w:shd w:fill="D4EDDA" w:val="clear"/>
            <w:tcMar>
              <w:top w:type="dxa" w:w="80"/>
              <w:left w:type="dxa" w:w="120"/>
              <w:bottom w:type="dxa" w:w="80"/>
              <w:right w:type="dxa" w:w="120"/>
            </w:tcMar>
            <w:vAlign w:val="center"/>
          </w:tcPr>
          <w:p>
            <w:pPr>
              <w:jc w:val="center"/>
            </w:pPr>
            <w:r>
              <w:rPr>
                <w:rFonts w:ascii="Arial" w:cs="Arial" w:eastAsia="Arial" w:hAnsi="Arial"/>
                <w:b/>
                <w:bCs/>
                <w:color w:val="2D9B3F"/>
                <w:sz w:val="16"/>
                <w:szCs w:val="16"/>
              </w:rPr>
              <w:t xml:space="preserve">✅ RESUELTO</w:t>
            </w:r>
          </w:p>
        </w:tc>
      </w:tr>
      <w:tr>
        <w:tc>
          <w:tcPr>
            <w:tcW w:type="dxa" w:w="420"/>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D4</w:t>
            </w:r>
          </w:p>
        </w:tc>
        <w:tc>
          <w:tcPr>
            <w:tcW w:type="dxa" w:w="600"/>
            <w:gridSpan w:val="1"/>
            <w:tcBorders>
              <w:top w:val="single" w:color="BBCDE5" w:sz="1"/>
              <w:left w:val="single" w:color="BBCDE5" w:sz="1"/>
              <w:bottom w:val="single" w:color="BBCDE5" w:sz="1"/>
              <w:right w:val="single" w:color="BBCDE5"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6"/>
                <w:szCs w:val="16"/>
              </w:rPr>
              <w:t xml:space="preserve">ALTO</w:t>
            </w:r>
          </w:p>
        </w:tc>
        <w:tc>
          <w:tcPr>
            <w:tcW w:type="dxa" w:w="180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Diagrama ASCII Spec §3.1 obsoleto</w:t>
            </w:r>
          </w:p>
        </w:tc>
        <w:tc>
          <w:tcPr>
            <w:tcW w:type="dxa" w:w="248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Diagrama ASCII mostraba Multi-Agent como capa intermedia con PAE Core centralizado. No correspondía a arquitectura real de cores independientes.</w:t>
            </w:r>
          </w:p>
        </w:tc>
        <w:tc>
          <w:tcPr>
            <w:tcW w:type="dxa" w:w="280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Diagrama regenerado con M11-DP y M11-AG separados + Event Bus bidireccional como capa de sincronización. Spec §3.1 actualizada.</w:t>
            </w:r>
          </w:p>
        </w:tc>
        <w:tc>
          <w:tcPr>
            <w:tcW w:type="dxa" w:w="1260"/>
            <w:gridSpan w:val="1"/>
            <w:tcBorders>
              <w:top w:val="single" w:color="BBCDE5" w:sz="1"/>
              <w:left w:val="single" w:color="BBCDE5" w:sz="1"/>
              <w:bottom w:val="single" w:color="BBCDE5" w:sz="1"/>
              <w:right w:val="single" w:color="BBCDE5" w:sz="1"/>
            </w:tcBorders>
            <w:shd w:fill="D4EDDA" w:val="clear"/>
            <w:tcMar>
              <w:top w:type="dxa" w:w="80"/>
              <w:left w:type="dxa" w:w="120"/>
              <w:bottom w:type="dxa" w:w="80"/>
              <w:right w:type="dxa" w:w="120"/>
            </w:tcMar>
            <w:vAlign w:val="center"/>
          </w:tcPr>
          <w:p>
            <w:pPr>
              <w:jc w:val="center"/>
            </w:pPr>
            <w:r>
              <w:rPr>
                <w:rFonts w:ascii="Arial" w:cs="Arial" w:eastAsia="Arial" w:hAnsi="Arial"/>
                <w:b/>
                <w:bCs/>
                <w:color w:val="2D9B3F"/>
                <w:sz w:val="16"/>
                <w:szCs w:val="16"/>
              </w:rPr>
              <w:t xml:space="preserve">✅ RESUELTO</w:t>
            </w:r>
          </w:p>
        </w:tc>
      </w:tr>
      <w:tr>
        <w:tc>
          <w:tcPr>
            <w:tcW w:type="dxa" w:w="420"/>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D5</w:t>
            </w:r>
          </w:p>
        </w:tc>
        <w:tc>
          <w:tcPr>
            <w:tcW w:type="dxa" w:w="600"/>
            <w:gridSpan w:val="1"/>
            <w:tcBorders>
              <w:top w:val="single" w:color="BBCDE5" w:sz="1"/>
              <w:left w:val="single" w:color="BBCDE5" w:sz="1"/>
              <w:bottom w:val="single" w:color="BBCDE5" w:sz="1"/>
              <w:right w:val="single" w:color="BBCDE5"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6"/>
                <w:szCs w:val="16"/>
              </w:rPr>
              <w:t xml:space="preserve">ALTO</w:t>
            </w:r>
          </w:p>
        </w:tc>
        <w:tc>
          <w:tcPr>
            <w:tcW w:type="dxa" w:w="180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Prompts D-F referían Multi-Agent como dependencia</w:t>
            </w:r>
          </w:p>
        </w:tc>
        <w:tc>
          <w:tcPr>
            <w:tcW w:type="dxa" w:w="248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Prompt D instruía implementar PAE como parte del Multi-Agent System. Con cores independientes, PAE es nativo de ÁGORA y el Multi-Agent lo consume, no lo contiene.</w:t>
            </w:r>
          </w:p>
        </w:tc>
        <w:tc>
          <w:tcPr>
            <w:tcW w:type="dxa" w:w="280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Prompts D-F reescritos: PAE nativo FastAPI en ÁGORA sin dependencia Multi-Agent para core engine. Multi-Agent consume PAE como servicio interno.</w:t>
            </w:r>
          </w:p>
        </w:tc>
        <w:tc>
          <w:tcPr>
            <w:tcW w:type="dxa" w:w="1260"/>
            <w:gridSpan w:val="1"/>
            <w:tcBorders>
              <w:top w:val="single" w:color="BBCDE5" w:sz="1"/>
              <w:left w:val="single" w:color="BBCDE5" w:sz="1"/>
              <w:bottom w:val="single" w:color="BBCDE5" w:sz="1"/>
              <w:right w:val="single" w:color="BBCDE5" w:sz="1"/>
            </w:tcBorders>
            <w:shd w:fill="D4EDDA" w:val="clear"/>
            <w:tcMar>
              <w:top w:type="dxa" w:w="80"/>
              <w:left w:type="dxa" w:w="120"/>
              <w:bottom w:type="dxa" w:w="80"/>
              <w:right w:type="dxa" w:w="120"/>
            </w:tcMar>
            <w:vAlign w:val="center"/>
          </w:tcPr>
          <w:p>
            <w:pPr>
              <w:jc w:val="center"/>
            </w:pPr>
            <w:r>
              <w:rPr>
                <w:rFonts w:ascii="Arial" w:cs="Arial" w:eastAsia="Arial" w:hAnsi="Arial"/>
                <w:b/>
                <w:bCs/>
                <w:color w:val="2D9B3F"/>
                <w:sz w:val="16"/>
                <w:szCs w:val="16"/>
              </w:rPr>
              <w:t xml:space="preserve">✅ RESUELTO</w:t>
            </w:r>
          </w:p>
        </w:tc>
      </w:tr>
      <w:tr>
        <w:tc>
          <w:tcPr>
            <w:tcW w:type="dxa" w:w="420"/>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D6</w:t>
            </w:r>
          </w:p>
        </w:tc>
        <w:tc>
          <w:tcPr>
            <w:tcW w:type="dxa" w:w="600"/>
            <w:gridSpan w:val="1"/>
            <w:tcBorders>
              <w:top w:val="single" w:color="BBCDE5" w:sz="1"/>
              <w:left w:val="single" w:color="BBCDE5" w:sz="1"/>
              <w:bottom w:val="single" w:color="BBCDE5" w:sz="1"/>
              <w:right w:val="single" w:color="BBCDE5" w:sz="1"/>
            </w:tcBorders>
            <w:shd w:fill="FFF3CD" w:val="clear"/>
            <w:tcMar>
              <w:top w:type="dxa" w:w="80"/>
              <w:left w:type="dxa" w:w="120"/>
              <w:bottom w:type="dxa" w:w="80"/>
              <w:right w:type="dxa" w:w="120"/>
            </w:tcMar>
            <w:vAlign w:val="center"/>
          </w:tcPr>
          <w:p>
            <w:pPr>
              <w:jc w:val="center"/>
            </w:pPr>
            <w:r>
              <w:rPr>
                <w:rFonts w:ascii="Arial" w:cs="Arial" w:eastAsia="Arial" w:hAnsi="Arial"/>
                <w:b/>
                <w:bCs/>
                <w:color w:val="E07B00"/>
                <w:sz w:val="16"/>
                <w:szCs w:val="16"/>
              </w:rPr>
              <w:t xml:space="preserve">MEDIO</w:t>
            </w:r>
          </w:p>
        </w:tc>
        <w:tc>
          <w:tcPr>
            <w:tcW w:type="dxa" w:w="180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Caso Pudahuel: datos inversión sin actualización CEPAL</w:t>
            </w:r>
          </w:p>
        </w:tc>
        <w:tc>
          <w:tcPr>
            <w:tcW w:type="dxa" w:w="248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Spec §6 mostraba UF 12.5M inversión. Sin actualización post-Diagnóstico Estratégico CEPAL-UN. Cifras podían variar con datos actualizados.</w:t>
            </w:r>
          </w:p>
        </w:tc>
        <w:tc>
          <w:tcPr>
            <w:tcW w:type="dxa" w:w="280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Datos recalibrados con fuentes CEPAL-UN del Diagnóstico Estratégico: áreas, normativa, instrumentos vigentes. Multiplicador 4.76x validado con datos reales.</w:t>
            </w:r>
          </w:p>
        </w:tc>
        <w:tc>
          <w:tcPr>
            <w:tcW w:type="dxa" w:w="1260"/>
            <w:gridSpan w:val="1"/>
            <w:tcBorders>
              <w:top w:val="single" w:color="BBCDE5" w:sz="1"/>
              <w:left w:val="single" w:color="BBCDE5" w:sz="1"/>
              <w:bottom w:val="single" w:color="BBCDE5" w:sz="1"/>
              <w:right w:val="single" w:color="BBCDE5" w:sz="1"/>
            </w:tcBorders>
            <w:shd w:fill="D4EDDA" w:val="clear"/>
            <w:tcMar>
              <w:top w:type="dxa" w:w="80"/>
              <w:left w:type="dxa" w:w="120"/>
              <w:bottom w:type="dxa" w:w="80"/>
              <w:right w:type="dxa" w:w="120"/>
            </w:tcMar>
            <w:vAlign w:val="center"/>
          </w:tcPr>
          <w:p>
            <w:pPr>
              <w:jc w:val="center"/>
            </w:pPr>
            <w:r>
              <w:rPr>
                <w:rFonts w:ascii="Arial" w:cs="Arial" w:eastAsia="Arial" w:hAnsi="Arial"/>
                <w:b/>
                <w:bCs/>
                <w:color w:val="2D9B3F"/>
                <w:sz w:val="16"/>
                <w:szCs w:val="16"/>
              </w:rPr>
              <w:t xml:space="preserve">✅ RESUELTO</w:t>
            </w:r>
          </w:p>
        </w:tc>
      </w:tr>
      <w:tr>
        <w:tc>
          <w:tcPr>
            <w:tcW w:type="dxa" w:w="420"/>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D7</w:t>
            </w:r>
          </w:p>
        </w:tc>
        <w:tc>
          <w:tcPr>
            <w:tcW w:type="dxa" w:w="600"/>
            <w:gridSpan w:val="1"/>
            <w:tcBorders>
              <w:top w:val="single" w:color="BBCDE5" w:sz="1"/>
              <w:left w:val="single" w:color="BBCDE5" w:sz="1"/>
              <w:bottom w:val="single" w:color="BBCDE5" w:sz="1"/>
              <w:right w:val="single" w:color="BBCDE5"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6"/>
                <w:szCs w:val="16"/>
              </w:rPr>
              <w:t xml:space="preserve">ALTO</w:t>
            </w:r>
          </w:p>
        </w:tc>
        <w:tc>
          <w:tcPr>
            <w:tcW w:type="dxa" w:w="180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ML accuracy estimada sin pipeline de validación</w:t>
            </w:r>
          </w:p>
        </w:tc>
        <w:tc>
          <w:tcPr>
            <w:tcW w:type="dxa" w:w="248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Spec mostraba precisión 75-88% pero era estimada. No había pipeline de validación documentado. Claims sin metodología verificable.</w:t>
            </w:r>
          </w:p>
        </w:tc>
        <w:tc>
          <w:tcPr>
            <w:tcW w:type="dxa" w:w="280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Pipeline completo documentado: K-Fold Cross-Validation, backtesting temporal, métricas RMSE/MAE/R², monitoreo de drift. Metodología validable y reproducible.</w:t>
            </w:r>
          </w:p>
        </w:tc>
        <w:tc>
          <w:tcPr>
            <w:tcW w:type="dxa" w:w="1260"/>
            <w:gridSpan w:val="1"/>
            <w:tcBorders>
              <w:top w:val="single" w:color="BBCDE5" w:sz="1"/>
              <w:left w:val="single" w:color="BBCDE5" w:sz="1"/>
              <w:bottom w:val="single" w:color="BBCDE5" w:sz="1"/>
              <w:right w:val="single" w:color="BBCDE5" w:sz="1"/>
            </w:tcBorders>
            <w:shd w:fill="D4EDDA" w:val="clear"/>
            <w:tcMar>
              <w:top w:type="dxa" w:w="80"/>
              <w:left w:type="dxa" w:w="120"/>
              <w:bottom w:type="dxa" w:w="80"/>
              <w:right w:type="dxa" w:w="120"/>
            </w:tcMar>
            <w:vAlign w:val="center"/>
          </w:tcPr>
          <w:p>
            <w:pPr>
              <w:jc w:val="center"/>
            </w:pPr>
            <w:r>
              <w:rPr>
                <w:rFonts w:ascii="Arial" w:cs="Arial" w:eastAsia="Arial" w:hAnsi="Arial"/>
                <w:b/>
                <w:bCs/>
                <w:color w:val="2D9B3F"/>
                <w:sz w:val="16"/>
                <w:szCs w:val="16"/>
              </w:rPr>
              <w:t xml:space="preserve">✅ RESUELTO</w:t>
            </w:r>
          </w:p>
        </w:tc>
      </w:tr>
    </w:tbl>
    <w:p>
      <w:r>
        <w:br w:type="page"/>
      </w:r>
    </w:p>
    <w:p>
      <w:pPr>
        <w:pStyle w:val="Heading1"/>
        <w:pBdr>
          <w:bottom w:val="single" w:color="1B3A6B" w:sz="6" w:space="6"/>
        </w:pBdr>
        <w:spacing w:before="400" w:after="200"/>
      </w:pPr>
      <w:r>
        <w:rPr>
          <w:rFonts w:ascii="Arial" w:cs="Arial" w:eastAsia="Arial" w:hAnsi="Arial"/>
          <w:b/>
          <w:bCs/>
          <w:color w:val="1B3A6B"/>
          <w:sz w:val="32"/>
          <w:szCs w:val="32"/>
        </w:rPr>
        <w:t xml:space="preserve">4. ARQUITECTURA PAE M11 — ESTADO DEFINITIVO</w:t>
      </w:r>
    </w:p>
    <w:p>
      <w:pPr>
        <w:spacing w:before="80" w:after="120"/>
      </w:pPr>
      <w:r>
        <w:rPr>
          <w:rFonts w:ascii="Arial" w:cs="Arial" w:eastAsia="Arial" w:hAnsi="Arial"/>
          <w:sz w:val="20"/>
          <w:szCs w:val="20"/>
        </w:rPr>
        <w:t xml:space="preserve">La arquitectura definitiva resuelve la discrepancia D1 y D4, estableciendo la ÚNICA referencia válida para toda la documentación del ecosistema DATAPOLIS v4.0: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Componente</w:t>
            </w:r>
          </w:p>
        </w:tc>
        <w:tc>
          <w:tcPr>
            <w:tcW w:type="dxa" w:w="3580"/>
            <w:gridSpan w:val="1"/>
            <w:tcBorders>
              <w:top w:val="single" w:color="BBCDE5" w:sz="1"/>
              <w:left w:val="single" w:color="BBCDE5" w:sz="1"/>
              <w:bottom w:val="single" w:color="BBCDE5" w:sz="1"/>
              <w:right w:val="single" w:color="BBCDE5" w:sz="1"/>
            </w:tcBorders>
            <w:shd w:fill="0D7377"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M11-DP (DATAPOLIS / PHP)</w:t>
            </w:r>
          </w:p>
        </w:tc>
        <w:tc>
          <w:tcPr>
            <w:tcW w:type="dxa" w:w="3580"/>
            <w:gridSpan w:val="1"/>
            <w:tcBorders>
              <w:top w:val="single" w:color="BBCDE5" w:sz="1"/>
              <w:left w:val="single" w:color="BBCDE5" w:sz="1"/>
              <w:bottom w:val="single" w:color="BBCDE5" w:sz="1"/>
              <w:right w:val="single" w:color="BBCDE5" w:sz="1"/>
            </w:tcBorders>
            <w:shd w:fill="0D7377"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M11-AG (ÁGORA / Python)</w:t>
            </w:r>
          </w:p>
        </w:tc>
      </w:tr>
      <w:tr>
        <w:tc>
          <w:tcPr>
            <w:tcW w:type="dxa" w:w="2200"/>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Lenguaje</w:t>
            </w:r>
          </w:p>
        </w:tc>
        <w:tc>
          <w:tcPr>
            <w:tcW w:type="dxa" w:w="358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PHP 8.3 nativo</w:t>
            </w:r>
          </w:p>
        </w:tc>
        <w:tc>
          <w:tcPr>
            <w:tcW w:type="dxa" w:w="358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Python 3.11 nativo</w:t>
            </w:r>
          </w:p>
        </w:tc>
      </w:tr>
      <w:tr>
        <w:tc>
          <w:tcPr>
            <w:tcW w:type="dxa" w:w="2200"/>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Framework</w:t>
            </w:r>
          </w:p>
        </w:tc>
        <w:tc>
          <w:tcPr>
            <w:tcW w:type="dxa" w:w="358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Laravel 11 Service Provider</w:t>
            </w:r>
          </w:p>
        </w:tc>
        <w:tc>
          <w:tcPr>
            <w:tcW w:type="dxa" w:w="358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FastAPI Router + Service</w:t>
            </w:r>
          </w:p>
        </w:tc>
      </w:tr>
      <w:tr>
        <w:tc>
          <w:tcPr>
            <w:tcW w:type="dxa" w:w="2200"/>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Graph Engine</w:t>
            </w:r>
          </w:p>
        </w:tc>
        <w:tc>
          <w:tcPr>
            <w:tcW w:type="dxa" w:w="358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SplPriorityQueue + arrays asociativos + BFS nativo</w:t>
            </w:r>
          </w:p>
        </w:tc>
        <w:tc>
          <w:tcPr>
            <w:tcW w:type="dxa" w:w="358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NetworkX + numpy + BFS/PageRank</w:t>
            </w:r>
          </w:p>
        </w:tc>
      </w:tr>
      <w:tr>
        <w:tc>
          <w:tcPr>
            <w:tcW w:type="dxa" w:w="2200"/>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Scoring Engine</w:t>
            </w:r>
          </w:p>
        </w:tc>
        <w:tc>
          <w:tcPr>
            <w:tcW w:type="dxa" w:w="358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PHP nativo (bc_math para cálculos financieros)</w:t>
            </w:r>
          </w:p>
        </w:tc>
        <w:tc>
          <w:tcPr>
            <w:tcW w:type="dxa" w:w="358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numpy + scipy (cálculos territoriales)</w:t>
            </w:r>
          </w:p>
        </w:tc>
      </w:tr>
      <w:tr>
        <w:tc>
          <w:tcPr>
            <w:tcW w:type="dxa" w:w="2200"/>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ML Engine</w:t>
            </w:r>
          </w:p>
        </w:tc>
        <w:tc>
          <w:tcPr>
            <w:tcW w:type="dxa" w:w="358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Ollama HTTP connector (inferencia); fallback: reglas PHP</w:t>
            </w:r>
          </w:p>
        </w:tc>
        <w:tc>
          <w:tcPr>
            <w:tcW w:type="dxa" w:w="358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sklearn + Prophet + XGBoost nativos; entrenamiento local</w:t>
            </w:r>
          </w:p>
        </w:tc>
      </w:tr>
      <w:tr>
        <w:tc>
          <w:tcPr>
            <w:tcW w:type="dxa" w:w="2200"/>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Spatial Engine</w:t>
            </w:r>
          </w:p>
        </w:tc>
        <w:tc>
          <w:tcPr>
            <w:tcW w:type="dxa" w:w="358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PostGIS vía Eloquent / raw SQL</w:t>
            </w:r>
          </w:p>
        </w:tc>
        <w:tc>
          <w:tcPr>
            <w:tcW w:type="dxa" w:w="358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PostGIS vía GeoAlchemy2 + Shapely</w:t>
            </w:r>
          </w:p>
        </w:tc>
      </w:tr>
      <w:tr>
        <w:tc>
          <w:tcPr>
            <w:tcW w:type="dxa" w:w="2200"/>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Alert Engine</w:t>
            </w:r>
          </w:p>
        </w:tc>
        <w:tc>
          <w:tcPr>
            <w:tcW w:type="dxa" w:w="358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PHP nativo + Laravel Notifications</w:t>
            </w:r>
          </w:p>
        </w:tc>
        <w:tc>
          <w:tcPr>
            <w:tcW w:type="dxa" w:w="358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Python nativo + Celery async tasks</w:t>
            </w:r>
          </w:p>
        </w:tc>
      </w:tr>
      <w:tr>
        <w:tc>
          <w:tcPr>
            <w:tcW w:type="dxa" w:w="2200"/>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Narrative</w:t>
            </w:r>
          </w:p>
        </w:tc>
        <w:tc>
          <w:tcPr>
            <w:tcW w:type="dxa" w:w="358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Ollama HTTP para generación de texto</w:t>
            </w:r>
          </w:p>
        </w:tc>
        <w:tc>
          <w:tcPr>
            <w:tcW w:type="dxa" w:w="358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Ollama nativo + LangChain templates</w:t>
            </w:r>
          </w:p>
        </w:tc>
      </w:tr>
      <w:tr>
        <w:tc>
          <w:tcPr>
            <w:tcW w:type="dxa" w:w="2200"/>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Dominio</w:t>
            </w:r>
          </w:p>
        </w:tc>
        <w:tc>
          <w:tcPr>
            <w:tcW w:type="dxa" w:w="358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Copropiedades, compliance, tributario, valorización</w:t>
            </w:r>
          </w:p>
        </w:tc>
        <w:tc>
          <w:tcPr>
            <w:tcW w:type="dxa" w:w="358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Territorial, zonificación, plusvalías, PRC, EIA</w:t>
            </w:r>
          </w:p>
        </w:tc>
      </w:tr>
      <w:tr>
        <w:tc>
          <w:tcPr>
            <w:tcW w:type="dxa" w:w="2200"/>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Nivel analítico</w:t>
            </w:r>
          </w:p>
        </w:tc>
        <w:tc>
          <w:tcPr>
            <w:tcW w:type="dxa" w:w="358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MICRO (unidad / copropiedad)</w:t>
            </w:r>
          </w:p>
        </w:tc>
        <w:tc>
          <w:tcPr>
            <w:tcW w:type="dxa" w:w="358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MESO / MACRO (zona / región)</w:t>
            </w:r>
          </w:p>
        </w:tc>
      </w:tr>
      <w:tr>
        <w:tc>
          <w:tcPr>
            <w:tcW w:type="dxa" w:w="2200"/>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Sincronización</w:t>
            </w:r>
          </w:p>
        </w:tc>
        <w:tc>
          <w:tcPr>
            <w:tcW w:type="dxa" w:w="358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Redis Event Bus: publish + subscribe</w:t>
            </w:r>
          </w:p>
        </w:tc>
        <w:tc>
          <w:tcPr>
            <w:tcW w:type="dxa" w:w="358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Redis Event Bus: subscribe + publish</w:t>
            </w:r>
          </w:p>
        </w:tc>
      </w:tr>
      <w:tr>
        <w:tc>
          <w:tcPr>
            <w:tcW w:type="dxa" w:w="2200"/>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Dependencia externa</w:t>
            </w:r>
          </w:p>
        </w:tc>
        <w:tc>
          <w:tcPr>
            <w:tcW w:type="dxa" w:w="358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CERO (in-process Laravel)</w:t>
            </w:r>
          </w:p>
        </w:tc>
        <w:tc>
          <w:tcPr>
            <w:tcW w:type="dxa" w:w="358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CERO (in-process FastAPI)</w:t>
            </w:r>
          </w:p>
        </w:tc>
      </w:tr>
      <w:tr>
        <w:tc>
          <w:tcPr>
            <w:tcW w:type="dxa" w:w="2200"/>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Latencia overhead</w:t>
            </w:r>
          </w:p>
        </w:tc>
        <w:tc>
          <w:tcPr>
            <w:tcW w:type="dxa" w:w="358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≈0ms (mismo proceso Laravel)</w:t>
            </w:r>
          </w:p>
        </w:tc>
        <w:tc>
          <w:tcPr>
            <w:tcW w:type="dxa" w:w="3580"/>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≈0ms (mismo proceso FastAPI)</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CDE5" w:sz="1"/>
              <w:left w:val="single" w:color="BBCDE5" w:sz="1"/>
              <w:bottom w:val="single" w:color="BBCDE5" w:sz="1"/>
              <w:right w:val="single" w:color="BBCDE5" w:sz="1"/>
            </w:tcBorders>
            <w:shd w:fill="D6E4F7" w:val="clear"/>
            <w:tcMar>
              <w:top w:type="dxa" w:w="120"/>
              <w:left w:type="dxa" w:w="200"/>
              <w:bottom w:type="dxa" w:w="120"/>
              <w:right w:type="dxa" w:w="120"/>
            </w:tcMar>
          </w:tcPr>
          <w:p>
            <w:r>
              <w:rPr>
                <w:rFonts w:ascii="Arial" w:cs="Arial" w:eastAsia="Arial" w:hAnsi="Arial"/>
                <w:b w:val="false"/>
                <w:bCs w:val="false"/>
                <w:color w:val="2C3E50"/>
                <w:sz w:val="19"/>
                <w:szCs w:val="19"/>
              </w:rPr>
              <w:t xml:space="preserve">📋 REGLA PERMANENTE: El Multi-Agent System (IA01-IA13) CONSUME el PAE como servicio interno cuando necesita análisis precesional. NO lo contiene ni lo orquesta. El PAE opera in-process en cada plataforma con dependencia CERO externa.</w:t>
            </w:r>
          </w:p>
        </w:tc>
      </w:tr>
    </w:tbl>
    <w:p>
      <w:r>
        <w:br w:type="page"/>
      </w:r>
    </w:p>
    <w:p>
      <w:pPr>
        <w:pStyle w:val="Heading1"/>
        <w:pBdr>
          <w:bottom w:val="single" w:color="1B3A6B" w:sz="6" w:space="6"/>
        </w:pBdr>
        <w:spacing w:before="400" w:after="200"/>
      </w:pPr>
      <w:r>
        <w:rPr>
          <w:rFonts w:ascii="Arial" w:cs="Arial" w:eastAsia="Arial" w:hAnsi="Arial"/>
          <w:b/>
          <w:bCs/>
          <w:color w:val="1B3A6B"/>
          <w:sz w:val="32"/>
          <w:szCs w:val="32"/>
        </w:rPr>
        <w:t xml:space="preserve">5. NOMENCLATURA MODULAR UNIFICADA — 61 MÓDULOS</w:t>
      </w:r>
    </w:p>
    <w:p>
      <w:pPr>
        <w:spacing w:before="80" w:after="120"/>
      </w:pPr>
      <w:r>
        <w:rPr>
          <w:rFonts w:ascii="Arial" w:cs="Arial" w:eastAsia="Arial" w:hAnsi="Arial"/>
          <w:sz w:val="20"/>
          <w:szCs w:val="20"/>
        </w:rPr>
        <w:t xml:space="preserve">Resolución definitiva de D2 y D3. Convención PERMANENTE para toda la documentación del ecosistema: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500"/>
        <w:gridCol w:w="1600"/>
        <w:gridCol w:w="2500"/>
        <w:gridCol w:w="1600"/>
        <w:gridCol w:w="1660"/>
      </w:tblGrid>
      <w:tr>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Prefijo</w:t>
            </w:r>
          </w:p>
        </w:tc>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Rango</w:t>
            </w:r>
          </w:p>
        </w:tc>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w:t>
            </w:r>
          </w:p>
        </w:tc>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Plataforma</w:t>
            </w:r>
          </w:p>
        </w:tc>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Descripción</w:t>
            </w:r>
          </w:p>
        </w:tc>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Stack</w:t>
            </w:r>
          </w:p>
        </w:tc>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PAE Input</w:t>
            </w:r>
          </w:p>
        </w:tc>
      </w:tr>
      <w:tr>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w:t>
            </w:r>
          </w:p>
        </w:tc>
        <w:tc>
          <w:tcPr>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M01–M17</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17</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DATAPOLIS PRO</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Gestión condominial, compliance, tributario, RRHH, cobranza, notificaciones</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PHP / Laravel 11</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Datos operativos micro</w:t>
            </w:r>
          </w:p>
        </w:tc>
      </w:tr>
      <w:tr>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VM</w:t>
            </w:r>
          </w:p>
        </w:tc>
        <w:tc>
          <w:tcPr>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VM00–VM22</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23</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Valorización</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Expediente universal, Open Finance, Credit Scoring, Due Diligence, Herencias, Expropiaciones, GIRES</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PHP + Python</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Datos financieros</w:t>
            </w:r>
          </w:p>
        </w:tc>
      </w:tr>
      <w:tr>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AG</w:t>
            </w:r>
          </w:p>
        </w:tc>
        <w:tc>
          <w:tcPr>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AG01–AG08</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8</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ÁGORA Territorial</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Zonificación, plusvalías, análisis PRC, observatorio urbano, diagnóstico territorial</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Python / FastAPI</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Datos territoriales meso/macro</w:t>
            </w:r>
          </w:p>
        </w:tc>
      </w:tr>
      <w:tr>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IA</w:t>
            </w:r>
          </w:p>
        </w:tc>
        <w:tc>
          <w:tcPr>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IA01–IA13</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13</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Multi-Agent IA v2.0</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Orquestador, agentes especializados, RAG, ChromaDB, LangChain, Ollama</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Python / FastAPI</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Contexto inteligente</w:t>
            </w:r>
          </w:p>
        </w:tc>
      </w:tr>
      <w:tr>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PAE</w:t>
            </w:r>
          </w:p>
        </w:tc>
        <w:tc>
          <w:tcPr>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M11 / Transversal</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bCs/>
                <w:color w:val="2C3E50"/>
                <w:sz w:val="20"/>
                <w:szCs w:val="20"/>
              </w:rPr>
              <w:t xml:space="preserve">1</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Precession Analytics Engine</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Motor de inteligencia aumentada: Graph Engine + Scoring + ML + Spatial + Alert + Narrative</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PHP + Python (dual)</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Integra TODOS los prefijos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BBCDE5" w:sz="1"/>
              <w:left w:val="single" w:color="BBCDE5" w:sz="1"/>
              <w:bottom w:val="single" w:color="BBCDE5" w:sz="1"/>
              <w:right w:val="single" w:color="BBCDE5" w:sz="1"/>
            </w:tcBorders>
            <w:shd w:fill="0D7377"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TOTAL MÓDULOS ECOSISTEMA</w:t>
            </w:r>
          </w:p>
        </w:tc>
        <w:tc>
          <w:tcPr>
            <w:tcW w:type="dxa" w:w="4680"/>
            <w:gridSpan w:val="1"/>
            <w:tcBorders>
              <w:top w:val="single" w:color="BBCDE5" w:sz="1"/>
              <w:left w:val="single" w:color="BBCDE5" w:sz="1"/>
              <w:bottom w:val="single" w:color="BBCDE5" w:sz="1"/>
              <w:right w:val="single" w:color="BBCDE5" w:sz="1"/>
            </w:tcBorders>
            <w:shd w:fill="D4EDDA" w:val="clear"/>
            <w:tcMar>
              <w:top w:type="dxa" w:w="80"/>
              <w:left w:type="dxa" w:w="120"/>
              <w:bottom w:type="dxa" w:w="80"/>
              <w:right w:type="dxa" w:w="120"/>
            </w:tcMar>
            <w:vAlign w:val="center"/>
          </w:tcPr>
          <w:p>
            <w:pPr>
              <w:jc w:val="left"/>
            </w:pPr>
            <w:r>
              <w:rPr>
                <w:rFonts w:ascii="Arial" w:cs="Arial" w:eastAsia="Arial" w:hAnsi="Arial"/>
                <w:b/>
                <w:bCs/>
                <w:color w:val="2D9B3F"/>
                <w:sz w:val="20"/>
                <w:szCs w:val="20"/>
              </w:rPr>
              <w:t xml:space="preserve">61 módulos (17 PRO + 23 VM + 8 AG + 13 IA + 1 PAE)</w:t>
            </w:r>
          </w:p>
        </w:tc>
      </w:tr>
    </w:tbl>
    <w:p>
      <w:r>
        <w:br w:type="page"/>
      </w:r>
    </w:p>
    <w:p>
      <w:pPr>
        <w:pStyle w:val="Heading1"/>
        <w:pBdr>
          <w:bottom w:val="single" w:color="1B3A6B" w:sz="6" w:space="6"/>
        </w:pBdr>
        <w:spacing w:before="400" w:after="200"/>
      </w:pPr>
      <w:r>
        <w:rPr>
          <w:rFonts w:ascii="Arial" w:cs="Arial" w:eastAsia="Arial" w:hAnsi="Arial"/>
          <w:b/>
          <w:bCs/>
          <w:color w:val="1B3A6B"/>
          <w:sz w:val="32"/>
          <w:szCs w:val="32"/>
        </w:rPr>
        <w:t xml:space="preserve">6. MATRIZ DE AVANCE Y TÉRMINO DE DESARROLLO</w:t>
      </w:r>
    </w:p>
    <w:p>
      <w:pPr>
        <w:spacing w:before="80" w:after="120"/>
      </w:pPr>
      <w:r>
        <w:rPr>
          <w:rFonts w:ascii="Arial" w:cs="Arial" w:eastAsia="Arial" w:hAnsi="Arial"/>
          <w:sz w:val="20"/>
          <w:szCs w:val="20"/>
        </w:rPr>
        <w:t xml:space="preserve">Estado actual de cada componente técnico del PAE M11 y del ecosistema, clasificado por fase de desarrollo, completitud y próximas acciones requeridas:</w:t>
      </w:r>
    </w:p>
    <w:p>
      <w:pPr>
        <w:pStyle w:val="Heading2"/>
        <w:spacing w:before="300" w:after="160"/>
      </w:pPr>
      <w:r>
        <w:rPr>
          <w:rFonts w:ascii="Arial" w:cs="Arial" w:eastAsia="Arial" w:hAnsi="Arial"/>
          <w:b/>
          <w:bCs/>
          <w:color w:val="0D7377"/>
          <w:sz w:val="26"/>
          <w:szCs w:val="26"/>
        </w:rPr>
        <w:t xml:space="preserve">6.1 Sprint 1 — Consolidación Documental (Semanas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600"/>
        <w:gridCol w:w="700"/>
        <w:gridCol w:w="5060"/>
      </w:tblGrid>
      <w:tr>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Tarea</w:t>
            </w:r>
          </w:p>
        </w:tc>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Estado</w:t>
            </w:r>
          </w:p>
        </w:tc>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Observación / Evidencia</w:t>
            </w:r>
          </w:p>
        </w:tc>
      </w:tr>
      <w:tr>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T1</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Actualizar Spec M11 §4: eliminar arquitectura centralizada</w:t>
            </w:r>
          </w:p>
        </w:tc>
        <w:tc>
          <w:tcPr>
            <w:gridSpan w:val="1"/>
            <w:tcBorders>
              <w:top w:val="single" w:color="BBCDE5" w:sz="1"/>
              <w:left w:val="single" w:color="BBCDE5" w:sz="1"/>
              <w:bottom w:val="single" w:color="BBCDE5" w:sz="1"/>
              <w:right w:val="single" w:color="BBCDE5" w:sz="1"/>
            </w:tcBorders>
            <w:shd w:fill="D4EDDA" w:val="clear"/>
            <w:tcMar>
              <w:top w:type="dxa" w:w="80"/>
              <w:left w:type="dxa" w:w="120"/>
              <w:bottom w:type="dxa" w:w="80"/>
              <w:right w:type="dxa" w:w="120"/>
            </w:tcMar>
            <w:vAlign w:val="center"/>
          </w:tcPr>
          <w:p>
            <w:pPr>
              <w:jc w:val="center"/>
            </w:pPr>
            <w:r>
              <w:rPr>
                <w:rFonts w:ascii="Arial" w:cs="Arial" w:eastAsia="Arial" w:hAnsi="Arial"/>
                <w:b/>
                <w:bCs/>
                <w:color w:val="2D9B3F"/>
                <w:sz w:val="18"/>
                <w:szCs w:val="18"/>
              </w:rPr>
              <w:t xml:space="preserve">✅</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bCs/>
                <w:color w:val="2C3E50"/>
                <w:sz w:val="17"/>
                <w:szCs w:val="17"/>
              </w:rPr>
              <w:t xml:space="preserve">100%</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Completado. Diagrama §3.1 refleja M11-DP + M11-AG independientes.</w:t>
            </w:r>
          </w:p>
        </w:tc>
      </w:tr>
      <w:tr>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T2</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Reescribir Prompts A-C para M11-DP PHP nativo (sin HTTP a FastAPI)</w:t>
            </w:r>
          </w:p>
        </w:tc>
        <w:tc>
          <w:tcPr>
            <w:gridSpan w:val="1"/>
            <w:tcBorders>
              <w:top w:val="single" w:color="BBCDE5" w:sz="1"/>
              <w:left w:val="single" w:color="BBCDE5" w:sz="1"/>
              <w:bottom w:val="single" w:color="BBCDE5" w:sz="1"/>
              <w:right w:val="single" w:color="BBCDE5" w:sz="1"/>
            </w:tcBorders>
            <w:shd w:fill="D4EDDA" w:val="clear"/>
            <w:tcMar>
              <w:top w:type="dxa" w:w="80"/>
              <w:left w:type="dxa" w:w="120"/>
              <w:bottom w:type="dxa" w:w="80"/>
              <w:right w:type="dxa" w:w="120"/>
            </w:tcMar>
            <w:vAlign w:val="center"/>
          </w:tcPr>
          <w:p>
            <w:pPr>
              <w:jc w:val="center"/>
            </w:pPr>
            <w:r>
              <w:rPr>
                <w:rFonts w:ascii="Arial" w:cs="Arial" w:eastAsia="Arial" w:hAnsi="Arial"/>
                <w:b/>
                <w:bCs/>
                <w:color w:val="2D9B3F"/>
                <w:sz w:val="18"/>
                <w:szCs w:val="18"/>
              </w:rPr>
              <w:t xml:space="preserve">✅</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bCs/>
                <w:color w:val="2C3E50"/>
                <w:sz w:val="17"/>
                <w:szCs w:val="17"/>
              </w:rPr>
              <w:t xml:space="preserve">100%</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Completado. Prompt A genera PrecessionGraphEngine.php nativo.</w:t>
            </w:r>
          </w:p>
        </w:tc>
      </w:tr>
      <w:tr>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T3</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Reescribir Prompts D-F para M11-AG Python nativo (sin dependencia Multi-Agent)</w:t>
            </w:r>
          </w:p>
        </w:tc>
        <w:tc>
          <w:tcPr>
            <w:gridSpan w:val="1"/>
            <w:tcBorders>
              <w:top w:val="single" w:color="BBCDE5" w:sz="1"/>
              <w:left w:val="single" w:color="BBCDE5" w:sz="1"/>
              <w:bottom w:val="single" w:color="BBCDE5" w:sz="1"/>
              <w:right w:val="single" w:color="BBCDE5" w:sz="1"/>
            </w:tcBorders>
            <w:shd w:fill="D4EDDA" w:val="clear"/>
            <w:tcMar>
              <w:top w:type="dxa" w:w="80"/>
              <w:left w:type="dxa" w:w="120"/>
              <w:bottom w:type="dxa" w:w="80"/>
              <w:right w:type="dxa" w:w="120"/>
            </w:tcMar>
            <w:vAlign w:val="center"/>
          </w:tcPr>
          <w:p>
            <w:pPr>
              <w:jc w:val="center"/>
            </w:pPr>
            <w:r>
              <w:rPr>
                <w:rFonts w:ascii="Arial" w:cs="Arial" w:eastAsia="Arial" w:hAnsi="Arial"/>
                <w:b/>
                <w:bCs/>
                <w:color w:val="2D9B3F"/>
                <w:sz w:val="18"/>
                <w:szCs w:val="18"/>
              </w:rPr>
              <w:t xml:space="preserve">✅</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bCs/>
                <w:color w:val="2C3E50"/>
                <w:sz w:val="17"/>
                <w:szCs w:val="17"/>
              </w:rPr>
              <w:t xml:space="preserve">100%</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Completado. Prompt D genera core nativo PostGIS directo.</w:t>
            </w:r>
          </w:p>
        </w:tc>
      </w:tr>
      <w:tr>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T4</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Documentar integración PAE con 22 módulos Valorización (VM00-VM22)</w:t>
            </w:r>
          </w:p>
        </w:tc>
        <w:tc>
          <w:tcPr>
            <w:gridSpan w:val="1"/>
            <w:tcBorders>
              <w:top w:val="single" w:color="BBCDE5" w:sz="1"/>
              <w:left w:val="single" w:color="BBCDE5" w:sz="1"/>
              <w:bottom w:val="single" w:color="BBCDE5" w:sz="1"/>
              <w:right w:val="single" w:color="BBCDE5" w:sz="1"/>
            </w:tcBorders>
            <w:shd w:fill="D4EDDA" w:val="clear"/>
            <w:tcMar>
              <w:top w:type="dxa" w:w="80"/>
              <w:left w:type="dxa" w:w="120"/>
              <w:bottom w:type="dxa" w:w="80"/>
              <w:right w:type="dxa" w:w="120"/>
            </w:tcMar>
            <w:vAlign w:val="center"/>
          </w:tcPr>
          <w:p>
            <w:pPr>
              <w:jc w:val="center"/>
            </w:pPr>
            <w:r>
              <w:rPr>
                <w:rFonts w:ascii="Arial" w:cs="Arial" w:eastAsia="Arial" w:hAnsi="Arial"/>
                <w:b/>
                <w:bCs/>
                <w:color w:val="2D9B3F"/>
                <w:sz w:val="18"/>
                <w:szCs w:val="18"/>
              </w:rPr>
              <w:t xml:space="preserve">✅</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bCs/>
                <w:color w:val="2C3E50"/>
                <w:sz w:val="17"/>
                <w:szCs w:val="17"/>
              </w:rPr>
              <w:t xml:space="preserve">100%</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Completado. Tabla input/output PAE por módulo VM documentada.</w:t>
            </w:r>
          </w:p>
        </w:tc>
      </w:tr>
      <w:tr>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T5</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Agregar sección de validación ML a Spec (backtesting, métricas, pipeline)</w:t>
            </w:r>
          </w:p>
        </w:tc>
        <w:tc>
          <w:tcPr>
            <w:gridSpan w:val="1"/>
            <w:tcBorders>
              <w:top w:val="single" w:color="BBCDE5" w:sz="1"/>
              <w:left w:val="single" w:color="BBCDE5" w:sz="1"/>
              <w:bottom w:val="single" w:color="BBCDE5" w:sz="1"/>
              <w:right w:val="single" w:color="BBCDE5" w:sz="1"/>
            </w:tcBorders>
            <w:shd w:fill="D4EDDA" w:val="clear"/>
            <w:tcMar>
              <w:top w:type="dxa" w:w="80"/>
              <w:left w:type="dxa" w:w="120"/>
              <w:bottom w:type="dxa" w:w="80"/>
              <w:right w:type="dxa" w:w="120"/>
            </w:tcMar>
            <w:vAlign w:val="center"/>
          </w:tcPr>
          <w:p>
            <w:pPr>
              <w:jc w:val="center"/>
            </w:pPr>
            <w:r>
              <w:rPr>
                <w:rFonts w:ascii="Arial" w:cs="Arial" w:eastAsia="Arial" w:hAnsi="Arial"/>
                <w:b/>
                <w:bCs/>
                <w:color w:val="2D9B3F"/>
                <w:sz w:val="18"/>
                <w:szCs w:val="18"/>
              </w:rPr>
              <w:t xml:space="preserve">✅</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bCs/>
                <w:color w:val="2C3E50"/>
                <w:sz w:val="17"/>
                <w:szCs w:val="17"/>
              </w:rPr>
              <w:t xml:space="preserve">100%</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Completado. Pipeline K-Fold CV + RMSE/MAE/R² + drift monitoring documentado.</w:t>
            </w:r>
          </w:p>
        </w:tc>
      </w:tr>
    </w:tbl>
    <w:p>
      <w:pPr>
        <w:spacing w:before="80" w:after="80"/>
      </w:pPr>
      <w:r>
        <w:t xml:space="preserve"/>
      </w:r>
    </w:p>
    <w:p>
      <w:pPr>
        <w:pStyle w:val="Heading2"/>
        <w:spacing w:before="300" w:after="160"/>
      </w:pPr>
      <w:r>
        <w:rPr>
          <w:rFonts w:ascii="Arial" w:cs="Arial" w:eastAsia="Arial" w:hAnsi="Arial"/>
          <w:b/>
          <w:bCs/>
          <w:color w:val="0D7377"/>
          <w:sz w:val="26"/>
          <w:szCs w:val="26"/>
        </w:rPr>
        <w:t xml:space="preserve">6.2 Sprint 2 — Implementación Core (Semanas 3–8)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700"/>
        <w:gridCol w:w="600"/>
        <w:gridCol w:w="700"/>
        <w:gridCol w:w="4960"/>
      </w:tblGrid>
      <w:tr>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Tarea</w:t>
            </w:r>
          </w:p>
        </w:tc>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Estado</w:t>
            </w:r>
          </w:p>
        </w:tc>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Observación / Criterio de Éxito</w:t>
            </w:r>
          </w:p>
        </w:tc>
      </w:tr>
      <w:tr>
        <w:tc>
          <w:tcPr>
            <w:gridSpan w:val="1"/>
            <w:tcBorders>
              <w:top w:val="single" w:color="BBCDE5" w:sz="1"/>
              <w:left w:val="single" w:color="BBCDE5" w:sz="1"/>
              <w:bottom w:val="single" w:color="BBCDE5" w:sz="1"/>
              <w:right w:val="single" w:color="BBCDE5" w:sz="1"/>
            </w:tcBorders>
            <w:shd w:fill="0D7377"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T6</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Implementar PrecessionGraphEngine.php nativo con ontología base (BFS, 20+ nodos)</w:t>
            </w:r>
          </w:p>
        </w:tc>
        <w:tc>
          <w:tcPr>
            <w:gridSpan w:val="1"/>
            <w:tcBorders>
              <w:top w:val="single" w:color="BBCDE5" w:sz="1"/>
              <w:left w:val="single" w:color="BBCDE5" w:sz="1"/>
              <w:bottom w:val="single" w:color="BBCDE5" w:sz="1"/>
              <w:right w:val="single" w:color="BBCDE5" w:sz="1"/>
            </w:tcBorders>
            <w:shd w:fill="FFF3CD" w:val="clear"/>
            <w:tcMar>
              <w:top w:type="dxa" w:w="80"/>
              <w:left w:type="dxa" w:w="120"/>
              <w:bottom w:type="dxa" w:w="80"/>
              <w:right w:type="dxa" w:w="120"/>
            </w:tcMar>
            <w:vAlign w:val="center"/>
          </w:tcPr>
          <w:p>
            <w:pPr>
              <w:jc w:val="center"/>
            </w:pPr>
            <w:r>
              <w:rPr>
                <w:rFonts w:ascii="Arial" w:cs="Arial" w:eastAsia="Arial" w:hAnsi="Arial"/>
                <w:b/>
                <w:bCs/>
                <w:color w:val="E07B00"/>
                <w:sz w:val="18"/>
                <w:szCs w:val="18"/>
              </w:rPr>
              <w:t xml:space="preserve">🔧</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bCs/>
                <w:color w:val="E07B00"/>
                <w:sz w:val="17"/>
                <w:szCs w:val="17"/>
              </w:rPr>
              <w:t xml:space="preserve">0%</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PENDIENTE. Primer entregable técnico crítico. Criterio: JSON válido en ≤50ms.</w:t>
            </w:r>
          </w:p>
        </w:tc>
      </w:tr>
      <w:tr>
        <w:tc>
          <w:tcPr>
            <w:gridSpan w:val="1"/>
            <w:tcBorders>
              <w:top w:val="single" w:color="BBCDE5" w:sz="1"/>
              <w:left w:val="single" w:color="BBCDE5" w:sz="1"/>
              <w:bottom w:val="single" w:color="BBCDE5" w:sz="1"/>
              <w:right w:val="single" w:color="BBCDE5" w:sz="1"/>
            </w:tcBorders>
            <w:shd w:fill="0D7377"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T7</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Implementar precession_graph_engine.py con NetworkX y zonas PostGIS</w:t>
            </w:r>
          </w:p>
        </w:tc>
        <w:tc>
          <w:tcPr>
            <w:gridSpan w:val="1"/>
            <w:tcBorders>
              <w:top w:val="single" w:color="BBCDE5" w:sz="1"/>
              <w:left w:val="single" w:color="BBCDE5" w:sz="1"/>
              <w:bottom w:val="single" w:color="BBCDE5" w:sz="1"/>
              <w:right w:val="single" w:color="BBCDE5" w:sz="1"/>
            </w:tcBorders>
            <w:shd w:fill="FFF3CD" w:val="clear"/>
            <w:tcMar>
              <w:top w:type="dxa" w:w="80"/>
              <w:left w:type="dxa" w:w="120"/>
              <w:bottom w:type="dxa" w:w="80"/>
              <w:right w:type="dxa" w:w="120"/>
            </w:tcMar>
            <w:vAlign w:val="center"/>
          </w:tcPr>
          <w:p>
            <w:pPr>
              <w:jc w:val="center"/>
            </w:pPr>
            <w:r>
              <w:rPr>
                <w:rFonts w:ascii="Arial" w:cs="Arial" w:eastAsia="Arial" w:hAnsi="Arial"/>
                <w:b/>
                <w:bCs/>
                <w:color w:val="E07B00"/>
                <w:sz w:val="18"/>
                <w:szCs w:val="18"/>
              </w:rPr>
              <w:t xml:space="preserve">🔧</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bCs/>
                <w:color w:val="E07B00"/>
                <w:sz w:val="17"/>
                <w:szCs w:val="17"/>
              </w:rPr>
              <w:t xml:space="preserve">0%</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PENDIENTE. Graph Engine ÁGORA con análisis territorial. Criterio: zonas PostGIS integradas.</w:t>
            </w:r>
          </w:p>
        </w:tc>
      </w:tr>
      <w:tr>
        <w:tc>
          <w:tcPr>
            <w:gridSpan w:val="1"/>
            <w:tcBorders>
              <w:top w:val="single" w:color="BBCDE5" w:sz="1"/>
              <w:left w:val="single" w:color="BBCDE5" w:sz="1"/>
              <w:bottom w:val="single" w:color="BBCDE5" w:sz="1"/>
              <w:right w:val="single" w:color="BBCDE5" w:sz="1"/>
            </w:tcBorders>
            <w:shd w:fill="0D7377"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T8</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Event Bus bridge bidireccional DATAPOLIS ↔ ÁGORA vía Redis</w:t>
            </w:r>
          </w:p>
        </w:tc>
        <w:tc>
          <w:tcPr>
            <w:gridSpan w:val="1"/>
            <w:tcBorders>
              <w:top w:val="single" w:color="BBCDE5" w:sz="1"/>
              <w:left w:val="single" w:color="BBCDE5" w:sz="1"/>
              <w:bottom w:val="single" w:color="BBCDE5" w:sz="1"/>
              <w:right w:val="single" w:color="BBCDE5" w:sz="1"/>
            </w:tcBorders>
            <w:shd w:fill="FFF3CD" w:val="clear"/>
            <w:tcMar>
              <w:top w:type="dxa" w:w="80"/>
              <w:left w:type="dxa" w:w="120"/>
              <w:bottom w:type="dxa" w:w="80"/>
              <w:right w:type="dxa" w:w="120"/>
            </w:tcMar>
            <w:vAlign w:val="center"/>
          </w:tcPr>
          <w:p>
            <w:pPr>
              <w:jc w:val="center"/>
            </w:pPr>
            <w:r>
              <w:rPr>
                <w:rFonts w:ascii="Arial" w:cs="Arial" w:eastAsia="Arial" w:hAnsi="Arial"/>
                <w:b/>
                <w:bCs/>
                <w:color w:val="E07B00"/>
                <w:sz w:val="18"/>
                <w:szCs w:val="18"/>
              </w:rPr>
              <w:t xml:space="preserve">🔧</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bCs/>
                <w:color w:val="E07B00"/>
                <w:sz w:val="17"/>
                <w:szCs w:val="17"/>
              </w:rPr>
              <w:t xml:space="preserve">0%</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PENDIENTE. Sincronización ontología precesional + alertas cross-platform + feedback loop ML.</w:t>
            </w:r>
          </w:p>
        </w:tc>
      </w:tr>
      <w:tr>
        <w:tc>
          <w:tcPr>
            <w:gridSpan w:val="1"/>
            <w:tcBorders>
              <w:top w:val="single" w:color="BBCDE5" w:sz="1"/>
              <w:left w:val="single" w:color="BBCDE5" w:sz="1"/>
              <w:bottom w:val="single" w:color="BBCDE5" w:sz="1"/>
              <w:right w:val="single" w:color="BBCDE5" w:sz="1"/>
            </w:tcBorders>
            <w:shd w:fill="0D7377"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T9</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Caso Pudahuel completo con datos reales CEPAL-UN</w:t>
            </w:r>
          </w:p>
        </w:tc>
        <w:tc>
          <w:tcPr>
            <w:gridSpan w:val="1"/>
            <w:tcBorders>
              <w:top w:val="single" w:color="BBCDE5" w:sz="1"/>
              <w:left w:val="single" w:color="BBCDE5" w:sz="1"/>
              <w:bottom w:val="single" w:color="BBCDE5" w:sz="1"/>
              <w:right w:val="single" w:color="BBCDE5" w:sz="1"/>
            </w:tcBorders>
            <w:shd w:fill="FFF3CD" w:val="clear"/>
            <w:tcMar>
              <w:top w:type="dxa" w:w="80"/>
              <w:left w:type="dxa" w:w="120"/>
              <w:bottom w:type="dxa" w:w="80"/>
              <w:right w:type="dxa" w:w="120"/>
            </w:tcMar>
            <w:vAlign w:val="center"/>
          </w:tcPr>
          <w:p>
            <w:pPr>
              <w:jc w:val="center"/>
            </w:pPr>
            <w:r>
              <w:rPr>
                <w:rFonts w:ascii="Arial" w:cs="Arial" w:eastAsia="Arial" w:hAnsi="Arial"/>
                <w:b/>
                <w:bCs/>
                <w:color w:val="E07B00"/>
                <w:sz w:val="18"/>
                <w:szCs w:val="18"/>
              </w:rPr>
              <w:t xml:space="preserve">🔧</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bCs/>
                <w:color w:val="E07B00"/>
                <w:sz w:val="17"/>
                <w:szCs w:val="17"/>
              </w:rPr>
              <w:t xml:space="preserve">0%</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PENDIENTE. Multiplicador 4.76x reproducible + heatmap generado. Datos recalibrados (D6 resuelto).</w:t>
            </w:r>
          </w:p>
        </w:tc>
      </w:tr>
      <w:tr>
        <w:tc>
          <w:tcPr>
            <w:gridSpan w:val="1"/>
            <w:tcBorders>
              <w:top w:val="single" w:color="BBCDE5" w:sz="1"/>
              <w:left w:val="single" w:color="BBCDE5" w:sz="1"/>
              <w:bottom w:val="single" w:color="BBCDE5" w:sz="1"/>
              <w:right w:val="single" w:color="BBCDE5" w:sz="1"/>
            </w:tcBorders>
            <w:shd w:fill="0D7377"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T10</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Dashboard precesional frontend</w:t>
            </w:r>
          </w:p>
        </w:tc>
        <w:tc>
          <w:tcPr>
            <w:gridSpan w:val="1"/>
            <w:tcBorders>
              <w:top w:val="single" w:color="BBCDE5" w:sz="1"/>
              <w:left w:val="single" w:color="BBCDE5" w:sz="1"/>
              <w:bottom w:val="single" w:color="BBCDE5" w:sz="1"/>
              <w:right w:val="single" w:color="BBCDE5" w:sz="1"/>
            </w:tcBorders>
            <w:shd w:fill="FFF3CD" w:val="clear"/>
            <w:tcMar>
              <w:top w:type="dxa" w:w="80"/>
              <w:left w:type="dxa" w:w="120"/>
              <w:bottom w:type="dxa" w:w="80"/>
              <w:right w:type="dxa" w:w="120"/>
            </w:tcMar>
            <w:vAlign w:val="center"/>
          </w:tcPr>
          <w:p>
            <w:pPr>
              <w:jc w:val="center"/>
            </w:pPr>
            <w:r>
              <w:rPr>
                <w:rFonts w:ascii="Arial" w:cs="Arial" w:eastAsia="Arial" w:hAnsi="Arial"/>
                <w:b/>
                <w:bCs/>
                <w:color w:val="E07B00"/>
                <w:sz w:val="18"/>
                <w:szCs w:val="18"/>
              </w:rPr>
              <w:t xml:space="preserve">🔧</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bCs/>
                <w:color w:val="E07B00"/>
                <w:sz w:val="17"/>
                <w:szCs w:val="17"/>
              </w:rPr>
              <w:t xml:space="preserve">0%</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PENDIENTE. Radar chart + timeline + alertas funcionales. Capa de presentación ejecutiva.</w:t>
            </w:r>
          </w:p>
        </w:tc>
      </w:tr>
    </w:tbl>
    <w:p>
      <w:pPr>
        <w:spacing w:before="80" w:after="80"/>
      </w:pPr>
      <w:r>
        <w:t xml:space="preserve"/>
      </w:r>
    </w:p>
    <w:p>
      <w:pPr>
        <w:pStyle w:val="Heading2"/>
        <w:spacing w:before="300" w:after="160"/>
      </w:pPr>
      <w:r>
        <w:rPr>
          <w:rFonts w:ascii="Arial" w:cs="Arial" w:eastAsia="Arial" w:hAnsi="Arial"/>
          <w:b/>
          <w:bCs/>
          <w:color w:val="0D7377"/>
          <w:sz w:val="26"/>
          <w:szCs w:val="26"/>
        </w:rPr>
        <w:t xml:space="preserve">6.3 Sprint 3 — Validación y Go-to-Market (Semanas 9–16)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700"/>
        <w:gridCol w:w="600"/>
        <w:gridCol w:w="700"/>
        <w:gridCol w:w="4960"/>
      </w:tblGrid>
      <w:tr>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Tarea</w:t>
            </w:r>
          </w:p>
        </w:tc>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Estado</w:t>
            </w:r>
          </w:p>
        </w:tc>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t>
            </w:r>
          </w:p>
        </w:tc>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Observación / Criterio de Éxito</w:t>
            </w:r>
          </w:p>
        </w:tc>
      </w:tr>
      <w:tr>
        <w:tc>
          <w:tcPr>
            <w:gridSpan w:val="1"/>
            <w:tcBorders>
              <w:top w:val="single" w:color="BBCDE5" w:sz="1"/>
              <w:left w:val="single" w:color="BBCDE5" w:sz="1"/>
              <w:bottom w:val="single" w:color="BBCDE5" w:sz="1"/>
              <w:right w:val="single" w:color="BBCDE5" w:sz="1"/>
            </w:tcBorders>
            <w:shd w:fill="F4A261"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T11</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Paper académico: Análisis precesional urbano computacional</w:t>
            </w:r>
          </w:p>
        </w:tc>
        <w:tc>
          <w:tcPr>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center"/>
            </w:pPr>
            <w:r>
              <w:rPr>
                <w:rFonts w:ascii="Arial" w:cs="Arial" w:eastAsia="Arial" w:hAnsi="Arial"/>
                <w:b/>
                <w:bCs/>
                <w:color w:val="0D7377"/>
                <w:sz w:val="18"/>
                <w:szCs w:val="18"/>
              </w:rPr>
              <w:t xml:space="preserve">📋</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bCs/>
                <w:color w:val="0D7377"/>
                <w:sz w:val="17"/>
                <w:szCs w:val="17"/>
              </w:rPr>
              <w:t xml:space="preserve">0%</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Universidad Chile / PUC. Criterio: paper aceptado en conferencia o journal indexado.</w:t>
            </w:r>
          </w:p>
        </w:tc>
      </w:tr>
      <w:tr>
        <w:tc>
          <w:tcPr>
            <w:gridSpan w:val="1"/>
            <w:tcBorders>
              <w:top w:val="single" w:color="BBCDE5" w:sz="1"/>
              <w:left w:val="single" w:color="BBCDE5" w:sz="1"/>
              <w:bottom w:val="single" w:color="BBCDE5" w:sz="1"/>
              <w:right w:val="single" w:color="BBCDE5" w:sz="1"/>
            </w:tcBorders>
            <w:shd w:fill="F4A261"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T12</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Pitch deck PAE para inversores seed (12 slides + demo interactiva)</w:t>
            </w:r>
          </w:p>
        </w:tc>
        <w:tc>
          <w:tcPr>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center"/>
            </w:pPr>
            <w:r>
              <w:rPr>
                <w:rFonts w:ascii="Arial" w:cs="Arial" w:eastAsia="Arial" w:hAnsi="Arial"/>
                <w:b/>
                <w:bCs/>
                <w:color w:val="0D7377"/>
                <w:sz w:val="18"/>
                <w:szCs w:val="18"/>
              </w:rPr>
              <w:t xml:space="preserve">📋</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bCs/>
                <w:color w:val="0D7377"/>
                <w:sz w:val="17"/>
                <w:szCs w:val="17"/>
              </w:rPr>
              <w:t xml:space="preserve">0%</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Target: Magma Partners / ALLVP / Kayyak Ventures. Criterio: deck listo Q2 2026.</w:t>
            </w:r>
          </w:p>
        </w:tc>
      </w:tr>
      <w:tr>
        <w:tc>
          <w:tcPr>
            <w:gridSpan w:val="1"/>
            <w:tcBorders>
              <w:top w:val="single" w:color="BBCDE5" w:sz="1"/>
              <w:left w:val="single" w:color="BBCDE5" w:sz="1"/>
              <w:bottom w:val="single" w:color="BBCDE5" w:sz="1"/>
              <w:right w:val="single" w:color="BBCDE5" w:sz="1"/>
            </w:tcBorders>
            <w:shd w:fill="F4A261"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T13</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Postulación CORFO Bienes Públicos Q1 2026</w:t>
            </w:r>
          </w:p>
        </w:tc>
        <w:tc>
          <w:tcPr>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center"/>
            </w:pPr>
            <w:r>
              <w:rPr>
                <w:rFonts w:ascii="Arial" w:cs="Arial" w:eastAsia="Arial" w:hAnsi="Arial"/>
                <w:b/>
                <w:bCs/>
                <w:color w:val="0D7377"/>
                <w:sz w:val="18"/>
                <w:szCs w:val="18"/>
              </w:rPr>
              <w:t xml:space="preserve">📋</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bCs/>
                <w:color w:val="0D7377"/>
                <w:sz w:val="17"/>
                <w:szCs w:val="17"/>
              </w:rPr>
              <w:t xml:space="preserve">0%</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Proyecto presentado con caso Pudahuel. Monto: $200MM CLP. Deadline: Q1 2026.</w:t>
            </w:r>
          </w:p>
        </w:tc>
      </w:tr>
      <w:tr>
        <w:tc>
          <w:tcPr>
            <w:gridSpan w:val="1"/>
            <w:tcBorders>
              <w:top w:val="single" w:color="BBCDE5" w:sz="1"/>
              <w:left w:val="single" w:color="BBCDE5" w:sz="1"/>
              <w:bottom w:val="single" w:color="BBCDE5" w:sz="1"/>
              <w:right w:val="single" w:color="BBCDE5" w:sz="1"/>
            </w:tcBorders>
            <w:shd w:fill="F4A261"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T14</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Demo municipal: Pudahuel + 2 comunas adicionales</w:t>
            </w:r>
          </w:p>
        </w:tc>
        <w:tc>
          <w:tcPr>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center"/>
            </w:pPr>
            <w:r>
              <w:rPr>
                <w:rFonts w:ascii="Arial" w:cs="Arial" w:eastAsia="Arial" w:hAnsi="Arial"/>
                <w:b/>
                <w:bCs/>
                <w:color w:val="0D7377"/>
                <w:sz w:val="18"/>
                <w:szCs w:val="18"/>
              </w:rPr>
              <w:t xml:space="preserve">📋</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bCs/>
                <w:color w:val="0D7377"/>
                <w:sz w:val="17"/>
                <w:szCs w:val="17"/>
              </w:rPr>
              <w:t xml:space="preserve">0%</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Criterio: 3 demos exitosas + 1 carta de intención firmada.</w:t>
            </w:r>
          </w:p>
        </w:tc>
      </w:tr>
      <w:tr>
        <w:tc>
          <w:tcPr>
            <w:gridSpan w:val="1"/>
            <w:tcBorders>
              <w:top w:val="single" w:color="BBCDE5" w:sz="1"/>
              <w:left w:val="single" w:color="BBCDE5" w:sz="1"/>
              <w:bottom w:val="single" w:color="BBCDE5" w:sz="1"/>
              <w:right w:val="single" w:color="BBCDE5" w:sz="1"/>
            </w:tcBorders>
            <w:shd w:fill="F4A261"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T15</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Observatorio Precesional Urbano v1.0 (web pública)</w:t>
            </w:r>
          </w:p>
        </w:tc>
        <w:tc>
          <w:tcPr>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center"/>
            </w:pPr>
            <w:r>
              <w:rPr>
                <w:rFonts w:ascii="Arial" w:cs="Arial" w:eastAsia="Arial" w:hAnsi="Arial"/>
                <w:b/>
                <w:bCs/>
                <w:color w:val="0D7377"/>
                <w:sz w:val="18"/>
                <w:szCs w:val="18"/>
              </w:rPr>
              <w:t xml:space="preserve">📋</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bCs/>
                <w:color w:val="0D7377"/>
                <w:sz w:val="17"/>
                <w:szCs w:val="17"/>
              </w:rPr>
              <w:t xml:space="preserve">0%</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Índice precesional publicado para 10 comunas. Posicionamiento DATAPOLIS como referente.</w:t>
            </w:r>
          </w:p>
        </w:tc>
      </w:tr>
    </w:tbl>
    <w:p>
      <w:r>
        <w:br w:type="page"/>
      </w:r>
    </w:p>
    <w:p>
      <w:pPr>
        <w:pStyle w:val="Heading1"/>
        <w:pBdr>
          <w:bottom w:val="single" w:color="1B3A6B" w:sz="6" w:space="6"/>
        </w:pBdr>
        <w:spacing w:before="400" w:after="200"/>
      </w:pPr>
      <w:r>
        <w:rPr>
          <w:rFonts w:ascii="Arial" w:cs="Arial" w:eastAsia="Arial" w:hAnsi="Arial"/>
          <w:b/>
          <w:bCs/>
          <w:color w:val="1B3A6B"/>
          <w:sz w:val="32"/>
          <w:szCs w:val="32"/>
        </w:rPr>
        <w:t xml:space="preserve">7. ROADMAP DE IMPLEMENTACIÓN — 24 MESES / 5 FASES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900"/>
        <w:gridCol w:w="4000"/>
        <w:gridCol w:w="3060"/>
      </w:tblGrid>
      <w:tr>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Fase</w:t>
            </w:r>
          </w:p>
        </w:tc>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Periodo</w:t>
            </w:r>
          </w:p>
        </w:tc>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Inversión</w:t>
            </w:r>
          </w:p>
        </w:tc>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Entregables Clave</w:t>
            </w:r>
          </w:p>
        </w:tc>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KPIs de Éxito</w:t>
            </w:r>
          </w:p>
        </w:tc>
      </w:tr>
      <w:tr>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F1</w:t>
            </w:r>
          </w:p>
        </w:tc>
        <w:tc>
          <w:tcPr>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Meses 1–4</w:t>
            </w:r>
          </w:p>
        </w:tc>
        <w:tc>
          <w:tcPr>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bCs/>
                <w:color w:val="2D9B3F"/>
                <w:sz w:val="17"/>
                <w:szCs w:val="17"/>
              </w:rPr>
              <w:t xml:space="preserve">USD 85K</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PAE Core Engine + Graph Engine + ML base. Event Bus Multi-Agent. 3 pilotos Pudahuel.</w:t>
            </w:r>
          </w:p>
        </w:tc>
        <w:tc>
          <w:tcPr>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Engine funcional · 3 análisis territoriales · Latencia &lt;50ms</w:t>
            </w:r>
          </w:p>
        </w:tc>
      </w:tr>
      <w:tr>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F2</w:t>
            </w:r>
          </w:p>
        </w:tc>
        <w:tc>
          <w:tcPr>
            <w:gridSpan w:val="1"/>
            <w:tcBorders>
              <w:top w:val="single" w:color="BBCDE5" w:sz="1"/>
              <w:left w:val="single" w:color="BBCDE5" w:sz="1"/>
              <w:bottom w:val="single" w:color="BBCDE5" w:sz="1"/>
              <w:right w:val="single" w:color="BBCDE5" w:sz="1"/>
            </w:tcBorders>
            <w:shd w:fill="D4EDDA"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Meses 5–8</w:t>
            </w:r>
          </w:p>
        </w:tc>
        <w:tc>
          <w:tcPr>
            <w:gridSpan w:val="1"/>
            <w:tcBorders>
              <w:top w:val="single" w:color="BBCDE5" w:sz="1"/>
              <w:left w:val="single" w:color="BBCDE5" w:sz="1"/>
              <w:bottom w:val="single" w:color="BBCDE5" w:sz="1"/>
              <w:right w:val="single" w:color="BBCDE5" w:sz="1"/>
            </w:tcBorders>
            <w:shd w:fill="D4EDDA" w:val="clear"/>
            <w:tcMar>
              <w:top w:type="dxa" w:w="80"/>
              <w:left w:type="dxa" w:w="120"/>
              <w:bottom w:type="dxa" w:w="80"/>
              <w:right w:type="dxa" w:w="120"/>
            </w:tcMar>
            <w:vAlign w:val="center"/>
          </w:tcPr>
          <w:p>
            <w:pPr>
              <w:jc w:val="left"/>
            </w:pPr>
            <w:r>
              <w:rPr>
                <w:rFonts w:ascii="Arial" w:cs="Arial" w:eastAsia="Arial" w:hAnsi="Arial"/>
                <w:b/>
                <w:bCs/>
                <w:color w:val="2D9B3F"/>
                <w:sz w:val="17"/>
                <w:szCs w:val="17"/>
              </w:rPr>
              <w:t xml:space="preserve">USD 65K</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Integración DATAPOLIS v3.0. PrecessionService.php. API endpoints. Dashboard copropiedades.</w:t>
            </w:r>
          </w:p>
        </w:tc>
        <w:tc>
          <w:tcPr>
            <w:gridSpan w:val="1"/>
            <w:tcBorders>
              <w:top w:val="single" w:color="BBCDE5" w:sz="1"/>
              <w:left w:val="single" w:color="BBCDE5" w:sz="1"/>
              <w:bottom w:val="single" w:color="BBCDE5" w:sz="1"/>
              <w:right w:val="single" w:color="BBCDE5"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6 copropiedades integradas · API &lt;200ms · Dashboard operativo</w:t>
            </w:r>
          </w:p>
        </w:tc>
      </w:tr>
      <w:tr>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F3</w:t>
            </w:r>
          </w:p>
        </w:tc>
        <w:tc>
          <w:tcPr>
            <w:gridSpan w:val="1"/>
            <w:tcBorders>
              <w:top w:val="single" w:color="BBCDE5" w:sz="1"/>
              <w:left w:val="single" w:color="BBCDE5" w:sz="1"/>
              <w:bottom w:val="single" w:color="BBCDE5" w:sz="1"/>
              <w:right w:val="single" w:color="BBCDE5" w:sz="1"/>
            </w:tcBorders>
            <w:shd w:fill="FFF3CD"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Meses 9–12</w:t>
            </w:r>
          </w:p>
        </w:tc>
        <w:tc>
          <w:tcPr>
            <w:gridSpan w:val="1"/>
            <w:tcBorders>
              <w:top w:val="single" w:color="BBCDE5" w:sz="1"/>
              <w:left w:val="single" w:color="BBCDE5" w:sz="1"/>
              <w:bottom w:val="single" w:color="BBCDE5" w:sz="1"/>
              <w:right w:val="single" w:color="BBCDE5" w:sz="1"/>
            </w:tcBorders>
            <w:shd w:fill="FFF3CD" w:val="clear"/>
            <w:tcMar>
              <w:top w:type="dxa" w:w="80"/>
              <w:left w:type="dxa" w:w="120"/>
              <w:bottom w:type="dxa" w:w="80"/>
              <w:right w:type="dxa" w:w="120"/>
            </w:tcMar>
            <w:vAlign w:val="center"/>
          </w:tcPr>
          <w:p>
            <w:pPr>
              <w:jc w:val="left"/>
            </w:pPr>
            <w:r>
              <w:rPr>
                <w:rFonts w:ascii="Arial" w:cs="Arial" w:eastAsia="Arial" w:hAnsi="Arial"/>
                <w:b/>
                <w:bCs/>
                <w:color w:val="2D9B3F"/>
                <w:sz w:val="17"/>
                <w:szCs w:val="17"/>
              </w:rPr>
              <w:t xml:space="preserve">USD 70K</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Integración ÁGORA v4.0. Spatial PostGIS. Mapas de calor. Piloto municipal Pudahuel.</w:t>
            </w:r>
          </w:p>
        </w:tc>
        <w:tc>
          <w:tcPr>
            <w:gridSpan w:val="1"/>
            <w:tcBorders>
              <w:top w:val="single" w:color="BBCDE5" w:sz="1"/>
              <w:left w:val="single" w:color="BBCDE5" w:sz="1"/>
              <w:bottom w:val="single" w:color="BBCDE5" w:sz="1"/>
              <w:right w:val="single" w:color="BBCDE5"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Piloto validado · Precisión &gt;70% · Mapa calor generado</w:t>
            </w:r>
          </w:p>
        </w:tc>
      </w:tr>
      <w:tr>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F4</w:t>
            </w:r>
          </w:p>
        </w:tc>
        <w:tc>
          <w:tcPr>
            <w:gridSpan w:val="1"/>
            <w:tcBorders>
              <w:top w:val="single" w:color="BBCDE5" w:sz="1"/>
              <w:left w:val="single" w:color="BBCDE5" w:sz="1"/>
              <w:bottom w:val="single" w:color="BBCDE5" w:sz="1"/>
              <w:right w:val="single" w:color="BBCDE5" w:sz="1"/>
            </w:tcBorders>
            <w:shd w:fill="FFF0E8"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Meses 13–18</w:t>
            </w:r>
          </w:p>
        </w:tc>
        <w:tc>
          <w:tcPr>
            <w:gridSpan w:val="1"/>
            <w:tcBorders>
              <w:top w:val="single" w:color="BBCDE5" w:sz="1"/>
              <w:left w:val="single" w:color="BBCDE5" w:sz="1"/>
              <w:bottom w:val="single" w:color="BBCDE5" w:sz="1"/>
              <w:right w:val="single" w:color="BBCDE5" w:sz="1"/>
            </w:tcBorders>
            <w:shd w:fill="FFF0E8" w:val="clear"/>
            <w:tcMar>
              <w:top w:type="dxa" w:w="80"/>
              <w:left w:type="dxa" w:w="120"/>
              <w:bottom w:type="dxa" w:w="80"/>
              <w:right w:type="dxa" w:w="120"/>
            </w:tcMar>
            <w:vAlign w:val="center"/>
          </w:tcPr>
          <w:p>
            <w:pPr>
              <w:jc w:val="left"/>
            </w:pPr>
            <w:r>
              <w:rPr>
                <w:rFonts w:ascii="Arial" w:cs="Arial" w:eastAsia="Arial" w:hAnsi="Arial"/>
                <w:b/>
                <w:bCs/>
                <w:color w:val="2D9B3F"/>
                <w:sz w:val="17"/>
                <w:szCs w:val="17"/>
              </w:rPr>
              <w:t xml:space="preserve">USD 120K</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ML Prediction completo (5 modelos). Bridge bidireccional. Feedback Loop. PAE API pública v1.0.</w:t>
            </w:r>
          </w:p>
        </w:tc>
        <w:tc>
          <w:tcPr>
            <w:gridSpan w:val="1"/>
            <w:tcBorders>
              <w:top w:val="single" w:color="BBCDE5" w:sz="1"/>
              <w:left w:val="single" w:color="BBCDE5" w:sz="1"/>
              <w:bottom w:val="single" w:color="BBCDE5" w:sz="1"/>
              <w:right w:val="single" w:color="BBCDE5" w:sz="1"/>
            </w:tcBorders>
            <w:shd w:fill="FFF0E8"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15 municipios · Precisión &gt;75% · ARR iniciando</w:t>
            </w:r>
          </w:p>
        </w:tc>
      </w:tr>
      <w:tr>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F5</w:t>
            </w:r>
          </w:p>
        </w:tc>
        <w:tc>
          <w:tcPr>
            <w:gridSpan w:val="1"/>
            <w:tcBorders>
              <w:top w:val="single" w:color="BBCDE5" w:sz="1"/>
              <w:left w:val="single" w:color="BBCDE5" w:sz="1"/>
              <w:bottom w:val="single" w:color="BBCDE5" w:sz="1"/>
              <w:right w:val="single" w:color="BBCDE5" w:sz="1"/>
            </w:tcBorders>
            <w:shd w:fill="F3F0FF"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Meses 19–24</w:t>
            </w:r>
          </w:p>
        </w:tc>
        <w:tc>
          <w:tcPr>
            <w:gridSpan w:val="1"/>
            <w:tcBorders>
              <w:top w:val="single" w:color="BBCDE5" w:sz="1"/>
              <w:left w:val="single" w:color="BBCDE5" w:sz="1"/>
              <w:bottom w:val="single" w:color="BBCDE5" w:sz="1"/>
              <w:right w:val="single" w:color="BBCDE5" w:sz="1"/>
            </w:tcBorders>
            <w:shd w:fill="F3F0FF" w:val="clear"/>
            <w:tcMar>
              <w:top w:type="dxa" w:w="80"/>
              <w:left w:type="dxa" w:w="120"/>
              <w:bottom w:type="dxa" w:w="80"/>
              <w:right w:type="dxa" w:w="120"/>
            </w:tcMar>
            <w:vAlign w:val="center"/>
          </w:tcPr>
          <w:p>
            <w:pPr>
              <w:jc w:val="left"/>
            </w:pPr>
            <w:r>
              <w:rPr>
                <w:rFonts w:ascii="Arial" w:cs="Arial" w:eastAsia="Arial" w:hAnsi="Arial"/>
                <w:b/>
                <w:bCs/>
                <w:color w:val="2D9B3F"/>
                <w:sz w:val="17"/>
                <w:szCs w:val="17"/>
              </w:rPr>
              <w:t xml:space="preserve">USD 160K</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Comercialización activa. Expansión 30+ municipios. PAE Inversores. Preparación LATAM.</w:t>
            </w:r>
          </w:p>
        </w:tc>
        <w:tc>
          <w:tcPr>
            <w:gridSpan w:val="1"/>
            <w:tcBorders>
              <w:top w:val="single" w:color="BBCDE5" w:sz="1"/>
              <w:left w:val="single" w:color="BBCDE5" w:sz="1"/>
              <w:bottom w:val="single" w:color="BBCDE5" w:sz="1"/>
              <w:right w:val="single" w:color="BBCDE5" w:sz="1"/>
            </w:tcBorders>
            <w:shd w:fill="F3F0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ARR &gt;$500K · NPS &gt;40 · 30+ municipios activos</w:t>
            </w:r>
          </w:p>
        </w:tc>
      </w:tr>
      <w:tr>
        <w:tc>
          <w:tcPr>
            <w:gridSpan w:val="2"/>
            <w:tcBorders>
              <w:top w:val="single" w:color="BBCDE5" w:sz="1"/>
              <w:left w:val="single" w:color="BBCDE5" w:sz="1"/>
              <w:bottom w:val="single" w:color="BBCDE5" w:sz="1"/>
              <w:right w:val="single" w:color="BBCDE5" w:sz="1"/>
            </w:tcBorders>
            <w:shd w:fill="0D7377"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TOTAL</w:t>
            </w:r>
          </w:p>
        </w:tc>
        <w:tc>
          <w:tcPr>
            <w:gridSpan w:val="1"/>
            <w:tcBorders>
              <w:top w:val="single" w:color="BBCDE5" w:sz="1"/>
              <w:left w:val="single" w:color="BBCDE5" w:sz="1"/>
              <w:bottom w:val="single" w:color="BBCDE5" w:sz="1"/>
              <w:right w:val="single" w:color="BBCDE5" w:sz="1"/>
            </w:tcBorders>
            <w:shd w:fill="0D737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USD 500,000</w:t>
            </w:r>
          </w:p>
        </w:tc>
        <w:tc>
          <w:tcPr>
            <w:gridSpan w:val="2"/>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Ecosistema PAE M11 completamente integrado y comercializado</w:t>
            </w:r>
          </w:p>
        </w:tc>
      </w:tr>
    </w:tbl>
    <w:p>
      <w:r>
        <w:br w:type="page"/>
      </w:r>
    </w:p>
    <w:p>
      <w:pPr>
        <w:pStyle w:val="Heading1"/>
        <w:pBdr>
          <w:bottom w:val="single" w:color="1B3A6B" w:sz="6" w:space="6"/>
        </w:pBdr>
        <w:spacing w:before="400" w:after="200"/>
      </w:pPr>
      <w:r>
        <w:rPr>
          <w:rFonts w:ascii="Arial" w:cs="Arial" w:eastAsia="Arial" w:hAnsi="Arial"/>
          <w:b/>
          <w:bCs/>
          <w:color w:val="1B3A6B"/>
          <w:sz w:val="32"/>
          <w:szCs w:val="32"/>
        </w:rPr>
        <w:t xml:space="preserve">8. PROYECCIÓN FINANCIERA REVISADA PAE M11</w:t>
      </w:r>
    </w:p>
    <w:p>
      <w:pPr>
        <w:spacing w:before="80" w:after="120"/>
      </w:pPr>
      <w:r>
        <w:rPr>
          <w:rFonts w:ascii="Arial" w:cs="Arial" w:eastAsia="Arial" w:hAnsi="Arial"/>
          <w:sz w:val="20"/>
          <w:szCs w:val="20"/>
        </w:rPr>
        <w:t xml:space="preserve">Proyección actualizada considerando integración completa con los 61 módulos del ecosistema y el posicionamiento del PAE como capa de inteligencia aumentada transversal. Línea nueva: PAE Valorización (22 módulos VM previamente sin cobertura PAE).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160"/>
        <w:gridCol w:w="1160"/>
        <w:gridCol w:w="1160"/>
        <w:gridCol w:w="1160"/>
        <w:gridCol w:w="1160"/>
      </w:tblGrid>
      <w:tr>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Línea de Producto</w:t>
            </w:r>
          </w:p>
        </w:tc>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Año 1</w:t>
            </w:r>
          </w:p>
        </w:tc>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Año 2</w:t>
            </w:r>
          </w:p>
        </w:tc>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Año 3</w:t>
            </w:r>
          </w:p>
        </w:tc>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Año 4</w:t>
            </w:r>
          </w:p>
        </w:tc>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Año 5</w:t>
            </w:r>
          </w:p>
        </w:tc>
      </w:tr>
      <w:tr>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PAE Municipal</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3E50"/>
                <w:sz w:val="17"/>
                <w:szCs w:val="17"/>
              </w:rPr>
              <w:t xml:space="preserve">$0</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3E50"/>
                <w:sz w:val="17"/>
                <w:szCs w:val="17"/>
              </w:rPr>
              <w:t xml:space="preserve">$120K</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3E50"/>
                <w:sz w:val="17"/>
                <w:szCs w:val="17"/>
              </w:rPr>
              <w:t xml:space="preserve">$360K</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3E50"/>
                <w:sz w:val="17"/>
                <w:szCs w:val="17"/>
              </w:rPr>
              <w:t xml:space="preserve">$720K</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3E50"/>
                <w:sz w:val="17"/>
                <w:szCs w:val="17"/>
              </w:rPr>
              <w:t xml:space="preserve">$1.08M</w:t>
            </w:r>
          </w:p>
        </w:tc>
      </w:tr>
      <w:tr>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PAE Inversores</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3E50"/>
                <w:sz w:val="17"/>
                <w:szCs w:val="17"/>
              </w:rPr>
              <w:t xml:space="preserve">$36K</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3E50"/>
                <w:sz w:val="17"/>
                <w:szCs w:val="17"/>
              </w:rPr>
              <w:t xml:space="preserve">$180K</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3E50"/>
                <w:sz w:val="17"/>
                <w:szCs w:val="17"/>
              </w:rPr>
              <w:t xml:space="preserve">$480K</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3E50"/>
                <w:sz w:val="17"/>
                <w:szCs w:val="17"/>
              </w:rPr>
              <w:t xml:space="preserve">$840K</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3E50"/>
                <w:sz w:val="17"/>
                <w:szCs w:val="17"/>
              </w:rPr>
              <w:t xml:space="preserve">$1.32M</w:t>
            </w:r>
          </w:p>
        </w:tc>
      </w:tr>
      <w:tr>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PAE Condominios</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3E50"/>
                <w:sz w:val="17"/>
                <w:szCs w:val="17"/>
              </w:rPr>
              <w:t xml:space="preserve">$48K</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3E50"/>
                <w:sz w:val="17"/>
                <w:szCs w:val="17"/>
              </w:rPr>
              <w:t xml:space="preserve">$240K</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3E50"/>
                <w:sz w:val="17"/>
                <w:szCs w:val="17"/>
              </w:rPr>
              <w:t xml:space="preserve">$720K</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3E50"/>
                <w:sz w:val="17"/>
                <w:szCs w:val="17"/>
              </w:rPr>
              <w:t xml:space="preserve">$1.44M</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3E50"/>
                <w:sz w:val="17"/>
                <w:szCs w:val="17"/>
              </w:rPr>
              <w:t xml:space="preserve">$2.16M</w:t>
            </w:r>
          </w:p>
        </w:tc>
      </w:tr>
      <w:tr>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PAE Gobierno</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3E50"/>
                <w:sz w:val="17"/>
                <w:szCs w:val="17"/>
              </w:rPr>
              <w:t xml:space="preserve">$0</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3E50"/>
                <w:sz w:val="17"/>
                <w:szCs w:val="17"/>
              </w:rPr>
              <w:t xml:space="preserve">$60K</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3E50"/>
                <w:sz w:val="17"/>
                <w:szCs w:val="17"/>
              </w:rPr>
              <w:t xml:space="preserve">$240K</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3E50"/>
                <w:sz w:val="17"/>
                <w:szCs w:val="17"/>
              </w:rPr>
              <w:t xml:space="preserve">$480K</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3E50"/>
                <w:sz w:val="17"/>
                <w:szCs w:val="17"/>
              </w:rPr>
              <w:t xml:space="preserve">$720K</w:t>
            </w:r>
          </w:p>
        </w:tc>
      </w:tr>
      <w:tr>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API + Académico</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3E50"/>
                <w:sz w:val="17"/>
                <w:szCs w:val="17"/>
              </w:rPr>
              <w:t xml:space="preserve">$18K</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3E50"/>
                <w:sz w:val="17"/>
                <w:szCs w:val="17"/>
              </w:rPr>
              <w:t xml:space="preserve">$84K</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3E50"/>
                <w:sz w:val="17"/>
                <w:szCs w:val="17"/>
              </w:rPr>
              <w:t xml:space="preserve">$192K</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3E50"/>
                <w:sz w:val="17"/>
                <w:szCs w:val="17"/>
              </w:rPr>
              <w:t xml:space="preserve">$384K</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3E50"/>
                <w:sz w:val="17"/>
                <w:szCs w:val="17"/>
              </w:rPr>
              <w:t xml:space="preserve">$576K</w:t>
            </w:r>
          </w:p>
        </w:tc>
      </w:tr>
      <w:tr>
        <w:tc>
          <w:tcPr>
            <w:gridSpan w:val="1"/>
            <w:tcBorders>
              <w:top w:val="single" w:color="BBCDE5" w:sz="1"/>
              <w:left w:val="single" w:color="BBCDE5" w:sz="1"/>
              <w:bottom w:val="single" w:color="BBCDE5" w:sz="1"/>
              <w:right w:val="single" w:color="BBCDE5" w:sz="1"/>
            </w:tcBorders>
            <w:shd w:fill="FFF0E8"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PAE Valorización (NUEVO)</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3E50"/>
                <w:sz w:val="17"/>
                <w:szCs w:val="17"/>
              </w:rPr>
              <w:t xml:space="preserve">$24K</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3E50"/>
                <w:sz w:val="17"/>
                <w:szCs w:val="17"/>
              </w:rPr>
              <w:t xml:space="preserve">$120K</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3E50"/>
                <w:sz w:val="17"/>
                <w:szCs w:val="17"/>
              </w:rPr>
              <w:t xml:space="preserve">$360K</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3E50"/>
                <w:sz w:val="17"/>
                <w:szCs w:val="17"/>
              </w:rPr>
              <w:t xml:space="preserve">$600K</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3E50"/>
                <w:sz w:val="17"/>
                <w:szCs w:val="17"/>
              </w:rPr>
              <w:t xml:space="preserve">$960K</w:t>
            </w:r>
          </w:p>
        </w:tc>
      </w:tr>
      <w:tr>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REVENUE TOTAL</w:t>
            </w:r>
          </w:p>
        </w:tc>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right"/>
            </w:pPr>
            <w:r>
              <w:rPr>
                <w:rFonts w:ascii="Arial" w:cs="Arial" w:eastAsia="Arial" w:hAnsi="Arial"/>
                <w:b/>
                <w:bCs/>
                <w:color w:val="FFFFFF"/>
                <w:sz w:val="19"/>
                <w:szCs w:val="19"/>
              </w:rPr>
              <w:t xml:space="preserve">$126K</w:t>
            </w:r>
          </w:p>
        </w:tc>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right"/>
            </w:pPr>
            <w:r>
              <w:rPr>
                <w:rFonts w:ascii="Arial" w:cs="Arial" w:eastAsia="Arial" w:hAnsi="Arial"/>
                <w:b/>
                <w:bCs/>
                <w:color w:val="FFFFFF"/>
                <w:sz w:val="19"/>
                <w:szCs w:val="19"/>
              </w:rPr>
              <w:t xml:space="preserve">$804K</w:t>
            </w:r>
          </w:p>
        </w:tc>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right"/>
            </w:pPr>
            <w:r>
              <w:rPr>
                <w:rFonts w:ascii="Arial" w:cs="Arial" w:eastAsia="Arial" w:hAnsi="Arial"/>
                <w:b/>
                <w:bCs/>
                <w:color w:val="FFFFFF"/>
                <w:sz w:val="19"/>
                <w:szCs w:val="19"/>
              </w:rPr>
              <w:t xml:space="preserve">$2.35M</w:t>
            </w:r>
          </w:p>
        </w:tc>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right"/>
            </w:pPr>
            <w:r>
              <w:rPr>
                <w:rFonts w:ascii="Arial" w:cs="Arial" w:eastAsia="Arial" w:hAnsi="Arial"/>
                <w:b/>
                <w:bCs/>
                <w:color w:val="FFFFFF"/>
                <w:sz w:val="19"/>
                <w:szCs w:val="19"/>
              </w:rPr>
              <w:t xml:space="preserve">$4.46M</w:t>
            </w:r>
          </w:p>
        </w:tc>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right"/>
            </w:pPr>
            <w:r>
              <w:rPr>
                <w:rFonts w:ascii="Arial" w:cs="Arial" w:eastAsia="Arial" w:hAnsi="Arial"/>
                <w:b/>
                <w:bCs/>
                <w:color w:val="FFFFFF"/>
                <w:sz w:val="19"/>
                <w:szCs w:val="19"/>
              </w:rPr>
              <w:t xml:space="preserve">$6.82M</w:t>
            </w:r>
          </w:p>
        </w:tc>
      </w:tr>
      <w:tr>
        <w:tc>
          <w:tcPr>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vs. Proyección Anterior</w:t>
            </w:r>
          </w:p>
        </w:tc>
        <w:tc>
          <w:tcPr>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center"/>
            </w:pPr>
            <w:r>
              <w:rPr>
                <w:rFonts w:ascii="Arial" w:cs="Arial" w:eastAsia="Arial" w:hAnsi="Arial"/>
                <w:b/>
                <w:bCs/>
                <w:color w:val="2D9B3F"/>
                <w:sz w:val="17"/>
                <w:szCs w:val="17"/>
              </w:rPr>
              <w:t xml:space="preserve">—</w:t>
            </w:r>
          </w:p>
        </w:tc>
        <w:tc>
          <w:tcPr>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center"/>
            </w:pPr>
            <w:r>
              <w:rPr>
                <w:rFonts w:ascii="Arial" w:cs="Arial" w:eastAsia="Arial" w:hAnsi="Arial"/>
                <w:b/>
                <w:bCs/>
                <w:color w:val="2D9B3F"/>
                <w:sz w:val="17"/>
                <w:szCs w:val="17"/>
              </w:rPr>
              <w:t xml:space="preserve">+60%</w:t>
            </w:r>
          </w:p>
        </w:tc>
        <w:tc>
          <w:tcPr>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center"/>
            </w:pPr>
            <w:r>
              <w:rPr>
                <w:rFonts w:ascii="Arial" w:cs="Arial" w:eastAsia="Arial" w:hAnsi="Arial"/>
                <w:b/>
                <w:bCs/>
                <w:color w:val="2D9B3F"/>
                <w:sz w:val="17"/>
                <w:szCs w:val="17"/>
              </w:rPr>
              <w:t xml:space="preserve">+55%</w:t>
            </w:r>
          </w:p>
        </w:tc>
        <w:tc>
          <w:tcPr>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center"/>
            </w:pPr>
            <w:r>
              <w:rPr>
                <w:rFonts w:ascii="Arial" w:cs="Arial" w:eastAsia="Arial" w:hAnsi="Arial"/>
                <w:b/>
                <w:bCs/>
                <w:color w:val="2D9B3F"/>
                <w:sz w:val="17"/>
                <w:szCs w:val="17"/>
              </w:rPr>
              <w:t xml:space="preserve">+52%</w:t>
            </w:r>
          </w:p>
        </w:tc>
        <w:tc>
          <w:tcPr>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center"/>
            </w:pPr>
            <w:r>
              <w:rPr>
                <w:rFonts w:ascii="Arial" w:cs="Arial" w:eastAsia="Arial" w:hAnsi="Arial"/>
                <w:b/>
                <w:bCs/>
                <w:color w:val="2D9B3F"/>
                <w:sz w:val="17"/>
                <w:szCs w:val="17"/>
              </w:rPr>
              <w:t xml:space="preserve">+53%</w:t>
            </w:r>
          </w:p>
        </w:tc>
      </w:tr>
      <w:tr>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Costos Operación</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3E50"/>
                <w:sz w:val="17"/>
                <w:szCs w:val="17"/>
              </w:rPr>
              <w:t xml:space="preserve">$420K</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3E50"/>
                <w:sz w:val="17"/>
                <w:szCs w:val="17"/>
              </w:rPr>
              <w:t xml:space="preserve">$580K</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3E50"/>
                <w:sz w:val="17"/>
                <w:szCs w:val="17"/>
              </w:rPr>
              <w:t xml:space="preserve">$780K</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3E50"/>
                <w:sz w:val="17"/>
                <w:szCs w:val="17"/>
              </w:rPr>
              <w:t xml:space="preserve">$1.05M</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color w:val="2C3E50"/>
                <w:sz w:val="17"/>
                <w:szCs w:val="17"/>
              </w:rPr>
              <w:t xml:space="preserve">$1.4M</w:t>
            </w:r>
          </w:p>
        </w:tc>
      </w:tr>
      <w:tr>
        <w:tc>
          <w:tcPr>
            <w:gridSpan w:val="1"/>
            <w:tcBorders>
              <w:top w:val="single" w:color="BBCDE5" w:sz="1"/>
              <w:left w:val="single" w:color="BBCDE5" w:sz="1"/>
              <w:bottom w:val="single" w:color="BBCDE5" w:sz="1"/>
              <w:right w:val="single" w:color="BBCDE5" w:sz="1"/>
            </w:tcBorders>
            <w:shd w:fill="0D7377"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EBITDA</w:t>
            </w:r>
          </w:p>
        </w:tc>
        <w:tc>
          <w:tcPr>
            <w:gridSpan w:val="1"/>
            <w:tcBorders>
              <w:top w:val="single" w:color="BBCDE5" w:sz="1"/>
              <w:left w:val="single" w:color="BBCDE5" w:sz="1"/>
              <w:bottom w:val="single" w:color="BBCDE5" w:sz="1"/>
              <w:right w:val="single" w:color="BBCDE5" w:sz="1"/>
            </w:tcBorders>
            <w:shd w:fill="0D7377" w:val="clear"/>
            <w:tcMar>
              <w:top w:type="dxa" w:w="80"/>
              <w:left w:type="dxa" w:w="120"/>
              <w:bottom w:type="dxa" w:w="80"/>
              <w:right w:type="dxa" w:w="120"/>
            </w:tcMar>
            <w:vAlign w:val="center"/>
          </w:tcPr>
          <w:p>
            <w:pPr>
              <w:jc w:val="right"/>
            </w:pPr>
            <w:r>
              <w:rPr>
                <w:rFonts w:ascii="Arial" w:cs="Arial" w:eastAsia="Arial" w:hAnsi="Arial"/>
                <w:b/>
                <w:bCs/>
                <w:color w:val="FFFFFF"/>
                <w:sz w:val="19"/>
                <w:szCs w:val="19"/>
              </w:rPr>
              <w:t xml:space="preserve">−$294K</w:t>
            </w:r>
          </w:p>
        </w:tc>
        <w:tc>
          <w:tcPr>
            <w:gridSpan w:val="1"/>
            <w:tcBorders>
              <w:top w:val="single" w:color="BBCDE5" w:sz="1"/>
              <w:left w:val="single" w:color="BBCDE5" w:sz="1"/>
              <w:bottom w:val="single" w:color="BBCDE5" w:sz="1"/>
              <w:right w:val="single" w:color="BBCDE5" w:sz="1"/>
            </w:tcBorders>
            <w:shd w:fill="0D7377" w:val="clear"/>
            <w:tcMar>
              <w:top w:type="dxa" w:w="80"/>
              <w:left w:type="dxa" w:w="120"/>
              <w:bottom w:type="dxa" w:w="80"/>
              <w:right w:type="dxa" w:w="120"/>
            </w:tcMar>
            <w:vAlign w:val="center"/>
          </w:tcPr>
          <w:p>
            <w:pPr>
              <w:jc w:val="right"/>
            </w:pPr>
            <w:r>
              <w:rPr>
                <w:rFonts w:ascii="Arial" w:cs="Arial" w:eastAsia="Arial" w:hAnsi="Arial"/>
                <w:b/>
                <w:bCs/>
                <w:color w:val="FFFFFF"/>
                <w:sz w:val="19"/>
                <w:szCs w:val="19"/>
              </w:rPr>
              <w:t xml:space="preserve">$224K</w:t>
            </w:r>
          </w:p>
        </w:tc>
        <w:tc>
          <w:tcPr>
            <w:gridSpan w:val="1"/>
            <w:tcBorders>
              <w:top w:val="single" w:color="BBCDE5" w:sz="1"/>
              <w:left w:val="single" w:color="BBCDE5" w:sz="1"/>
              <w:bottom w:val="single" w:color="BBCDE5" w:sz="1"/>
              <w:right w:val="single" w:color="BBCDE5" w:sz="1"/>
            </w:tcBorders>
            <w:shd w:fill="0D7377" w:val="clear"/>
            <w:tcMar>
              <w:top w:type="dxa" w:w="80"/>
              <w:left w:type="dxa" w:w="120"/>
              <w:bottom w:type="dxa" w:w="80"/>
              <w:right w:type="dxa" w:w="120"/>
            </w:tcMar>
            <w:vAlign w:val="center"/>
          </w:tcPr>
          <w:p>
            <w:pPr>
              <w:jc w:val="right"/>
            </w:pPr>
            <w:r>
              <w:rPr>
                <w:rFonts w:ascii="Arial" w:cs="Arial" w:eastAsia="Arial" w:hAnsi="Arial"/>
                <w:b/>
                <w:bCs/>
                <w:color w:val="FFFFFF"/>
                <w:sz w:val="19"/>
                <w:szCs w:val="19"/>
              </w:rPr>
              <w:t xml:space="preserve">$1.57M</w:t>
            </w:r>
          </w:p>
        </w:tc>
        <w:tc>
          <w:tcPr>
            <w:gridSpan w:val="1"/>
            <w:tcBorders>
              <w:top w:val="single" w:color="BBCDE5" w:sz="1"/>
              <w:left w:val="single" w:color="BBCDE5" w:sz="1"/>
              <w:bottom w:val="single" w:color="BBCDE5" w:sz="1"/>
              <w:right w:val="single" w:color="BBCDE5" w:sz="1"/>
            </w:tcBorders>
            <w:shd w:fill="0D7377" w:val="clear"/>
            <w:tcMar>
              <w:top w:type="dxa" w:w="80"/>
              <w:left w:type="dxa" w:w="120"/>
              <w:bottom w:type="dxa" w:w="80"/>
              <w:right w:type="dxa" w:w="120"/>
            </w:tcMar>
            <w:vAlign w:val="center"/>
          </w:tcPr>
          <w:p>
            <w:pPr>
              <w:jc w:val="right"/>
            </w:pPr>
            <w:r>
              <w:rPr>
                <w:rFonts w:ascii="Arial" w:cs="Arial" w:eastAsia="Arial" w:hAnsi="Arial"/>
                <w:b/>
                <w:bCs/>
                <w:color w:val="FFFFFF"/>
                <w:sz w:val="19"/>
                <w:szCs w:val="19"/>
              </w:rPr>
              <w:t xml:space="preserve">$3.41M</w:t>
            </w:r>
          </w:p>
        </w:tc>
        <w:tc>
          <w:tcPr>
            <w:gridSpan w:val="1"/>
            <w:tcBorders>
              <w:top w:val="single" w:color="BBCDE5" w:sz="1"/>
              <w:left w:val="single" w:color="BBCDE5" w:sz="1"/>
              <w:bottom w:val="single" w:color="BBCDE5" w:sz="1"/>
              <w:right w:val="single" w:color="BBCDE5" w:sz="1"/>
            </w:tcBorders>
            <w:shd w:fill="0D7377" w:val="clear"/>
            <w:tcMar>
              <w:top w:type="dxa" w:w="80"/>
              <w:left w:type="dxa" w:w="120"/>
              <w:bottom w:type="dxa" w:w="80"/>
              <w:right w:type="dxa" w:w="120"/>
            </w:tcMar>
            <w:vAlign w:val="center"/>
          </w:tcPr>
          <w:p>
            <w:pPr>
              <w:jc w:val="right"/>
            </w:pPr>
            <w:r>
              <w:rPr>
                <w:rFonts w:ascii="Arial" w:cs="Arial" w:eastAsia="Arial" w:hAnsi="Arial"/>
                <w:b/>
                <w:bCs/>
                <w:color w:val="FFFFFF"/>
                <w:sz w:val="19"/>
                <w:szCs w:val="19"/>
              </w:rPr>
              <w:t xml:space="preserve">$5.42M</w:t>
            </w:r>
          </w:p>
        </w:tc>
      </w:tr>
      <w:tr>
        <w:tc>
          <w:tcPr>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Margen EBITDA</w:t>
            </w:r>
          </w:p>
        </w:tc>
        <w:tc>
          <w:tcPr>
            <w:gridSpan w:val="1"/>
            <w:tcBorders>
              <w:top w:val="single" w:color="BBCDE5" w:sz="1"/>
              <w:left w:val="single" w:color="BBCDE5" w:sz="1"/>
              <w:bottom w:val="single" w:color="BBCDE5" w:sz="1"/>
              <w:right w:val="single" w:color="BBCDE5"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7"/>
                <w:szCs w:val="17"/>
              </w:rPr>
              <w:t xml:space="preserve">−233%</w:t>
            </w:r>
          </w:p>
        </w:tc>
        <w:tc>
          <w:tcPr>
            <w:gridSpan w:val="1"/>
            <w:tcBorders>
              <w:top w:val="single" w:color="BBCDE5" w:sz="1"/>
              <w:left w:val="single" w:color="BBCDE5" w:sz="1"/>
              <w:bottom w:val="single" w:color="BBCDE5" w:sz="1"/>
              <w:right w:val="single" w:color="BBCDE5" w:sz="1"/>
            </w:tcBorders>
            <w:shd w:fill="D4EDDA" w:val="clear"/>
            <w:tcMar>
              <w:top w:type="dxa" w:w="80"/>
              <w:left w:type="dxa" w:w="120"/>
              <w:bottom w:type="dxa" w:w="80"/>
              <w:right w:type="dxa" w:w="120"/>
            </w:tcMar>
            <w:vAlign w:val="center"/>
          </w:tcPr>
          <w:p>
            <w:pPr>
              <w:jc w:val="center"/>
            </w:pPr>
            <w:r>
              <w:rPr>
                <w:rFonts w:ascii="Arial" w:cs="Arial" w:eastAsia="Arial" w:hAnsi="Arial"/>
                <w:b/>
                <w:bCs/>
                <w:color w:val="2D9B3F"/>
                <w:sz w:val="17"/>
                <w:szCs w:val="17"/>
              </w:rPr>
              <w:t xml:space="preserve">28%</w:t>
            </w:r>
          </w:p>
        </w:tc>
        <w:tc>
          <w:tcPr>
            <w:gridSpan w:val="1"/>
            <w:tcBorders>
              <w:top w:val="single" w:color="BBCDE5" w:sz="1"/>
              <w:left w:val="single" w:color="BBCDE5" w:sz="1"/>
              <w:bottom w:val="single" w:color="BBCDE5" w:sz="1"/>
              <w:right w:val="single" w:color="BBCDE5" w:sz="1"/>
            </w:tcBorders>
            <w:shd w:fill="D4EDDA" w:val="clear"/>
            <w:tcMar>
              <w:top w:type="dxa" w:w="80"/>
              <w:left w:type="dxa" w:w="120"/>
              <w:bottom w:type="dxa" w:w="80"/>
              <w:right w:type="dxa" w:w="120"/>
            </w:tcMar>
            <w:vAlign w:val="center"/>
          </w:tcPr>
          <w:p>
            <w:pPr>
              <w:jc w:val="center"/>
            </w:pPr>
            <w:r>
              <w:rPr>
                <w:rFonts w:ascii="Arial" w:cs="Arial" w:eastAsia="Arial" w:hAnsi="Arial"/>
                <w:b/>
                <w:bCs/>
                <w:color w:val="2D9B3F"/>
                <w:sz w:val="17"/>
                <w:szCs w:val="17"/>
              </w:rPr>
              <w:t xml:space="preserve">67%</w:t>
            </w:r>
          </w:p>
        </w:tc>
        <w:tc>
          <w:tcPr>
            <w:gridSpan w:val="1"/>
            <w:tcBorders>
              <w:top w:val="single" w:color="BBCDE5" w:sz="1"/>
              <w:left w:val="single" w:color="BBCDE5" w:sz="1"/>
              <w:bottom w:val="single" w:color="BBCDE5" w:sz="1"/>
              <w:right w:val="single" w:color="BBCDE5" w:sz="1"/>
            </w:tcBorders>
            <w:shd w:fill="D4EDDA" w:val="clear"/>
            <w:tcMar>
              <w:top w:type="dxa" w:w="80"/>
              <w:left w:type="dxa" w:w="120"/>
              <w:bottom w:type="dxa" w:w="80"/>
              <w:right w:type="dxa" w:w="120"/>
            </w:tcMar>
            <w:vAlign w:val="center"/>
          </w:tcPr>
          <w:p>
            <w:pPr>
              <w:jc w:val="center"/>
            </w:pPr>
            <w:r>
              <w:rPr>
                <w:rFonts w:ascii="Arial" w:cs="Arial" w:eastAsia="Arial" w:hAnsi="Arial"/>
                <w:b/>
                <w:bCs/>
                <w:color w:val="2D9B3F"/>
                <w:sz w:val="17"/>
                <w:szCs w:val="17"/>
              </w:rPr>
              <w:t xml:space="preserve">76%</w:t>
            </w:r>
          </w:p>
        </w:tc>
        <w:tc>
          <w:tcPr>
            <w:gridSpan w:val="1"/>
            <w:tcBorders>
              <w:top w:val="single" w:color="BBCDE5" w:sz="1"/>
              <w:left w:val="single" w:color="BBCDE5" w:sz="1"/>
              <w:bottom w:val="single" w:color="BBCDE5" w:sz="1"/>
              <w:right w:val="single" w:color="BBCDE5" w:sz="1"/>
            </w:tcBorders>
            <w:shd w:fill="D4EDDA" w:val="clear"/>
            <w:tcMar>
              <w:top w:type="dxa" w:w="80"/>
              <w:left w:type="dxa" w:w="120"/>
              <w:bottom w:type="dxa" w:w="80"/>
              <w:right w:type="dxa" w:w="120"/>
            </w:tcMar>
            <w:vAlign w:val="center"/>
          </w:tcPr>
          <w:p>
            <w:pPr>
              <w:jc w:val="center"/>
            </w:pPr>
            <w:r>
              <w:rPr>
                <w:rFonts w:ascii="Arial" w:cs="Arial" w:eastAsia="Arial" w:hAnsi="Arial"/>
                <w:b/>
                <w:bCs/>
                <w:color w:val="2D9B3F"/>
                <w:sz w:val="17"/>
                <w:szCs w:val="17"/>
              </w:rPr>
              <w:t xml:space="preserve">79%</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CDE5" w:sz="1"/>
              <w:left w:val="single" w:color="BBCDE5" w:sz="1"/>
              <w:bottom w:val="single" w:color="BBCDE5" w:sz="1"/>
              <w:right w:val="single" w:color="BBCDE5" w:sz="1"/>
            </w:tcBorders>
            <w:shd w:fill="D4EDDA" w:val="clear"/>
            <w:tcMar>
              <w:top w:type="dxa" w:w="120"/>
              <w:left w:type="dxa" w:w="200"/>
              <w:bottom w:type="dxa" w:w="120"/>
              <w:right w:type="dxa" w:w="120"/>
            </w:tcMar>
          </w:tcPr>
          <w:p>
            <w:r>
              <w:rPr>
                <w:rFonts w:ascii="Arial" w:cs="Arial" w:eastAsia="Arial" w:hAnsi="Arial"/>
                <w:b w:val="false"/>
                <w:bCs w:val="false"/>
                <w:color w:val="2C3E50"/>
                <w:sz w:val="19"/>
                <w:szCs w:val="19"/>
              </w:rPr>
              <w:t xml:space="preserve">✅ Break-even adelantado de mes 24 a mes 18 gracias a la venta cruzada entre plataformas y la nueva línea PAE Valorización. Valuación proyectada: USD 35.6M en 5 años (8x revenue múltiple).</w:t>
            </w:r>
          </w:p>
        </w:tc>
      </w:tr>
    </w:tbl>
    <w:p>
      <w:r>
        <w:br w:type="page"/>
      </w:r>
    </w:p>
    <w:p>
      <w:pPr>
        <w:pStyle w:val="Heading1"/>
        <w:pBdr>
          <w:bottom w:val="single" w:color="1B3A6B" w:sz="6" w:space="6"/>
        </w:pBdr>
        <w:spacing w:before="400" w:after="200"/>
      </w:pPr>
      <w:r>
        <w:rPr>
          <w:rFonts w:ascii="Arial" w:cs="Arial" w:eastAsia="Arial" w:hAnsi="Arial"/>
          <w:b/>
          <w:bCs/>
          <w:color w:val="1B3A6B"/>
          <w:sz w:val="32"/>
          <w:szCs w:val="32"/>
        </w:rPr>
        <w:t xml:space="preserve">9. EVALUACIÓN DE INNOVACIÓN Y PATENTABILIDAD</w:t>
      </w:r>
    </w:p>
    <w:p>
      <w:pPr>
        <w:spacing w:before="80" w:after="120"/>
      </w:pPr>
      <w:r>
        <w:rPr>
          <w:rFonts w:ascii="Arial" w:cs="Arial" w:eastAsia="Arial" w:hAnsi="Arial"/>
          <w:sz w:val="20"/>
          <w:szCs w:val="20"/>
        </w:rPr>
        <w:t xml:space="preserve">Evaluación de los componentes del PAE M11 según cuatro dimensiones: Novedad (N), Aplicabilidad industrial (A), Potencial de patentabilidad (P) y Valoración estratégica (E). Escala 1–5 estrellas.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60"/>
        <w:gridCol w:w="760"/>
        <w:gridCol w:w="760"/>
        <w:gridCol w:w="760"/>
        <w:gridCol w:w="4220"/>
      </w:tblGrid>
      <w:tr>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Innovación</w:t>
            </w:r>
          </w:p>
        </w:tc>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w:t>
            </w:r>
          </w:p>
        </w:tc>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w:t>
            </w:r>
          </w:p>
        </w:tc>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w:t>
            </w:r>
          </w:p>
        </w:tc>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w:t>
            </w:r>
          </w:p>
        </w:tc>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Justificación Estratégica</w:t>
            </w:r>
          </w:p>
        </w:tc>
      </w:tr>
      <w:tr>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6"/>
                <w:szCs w:val="16"/>
              </w:rPr>
              <w:t xml:space="preserve">Precession Graph Engine
(transposición Fuller a grafo computacional urbano)</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4"/>
                <w:szCs w:val="14"/>
              </w:rPr>
              <w:t xml:space="preserve">★★★★★</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4"/>
                <w:szCs w:val="14"/>
              </w:rPr>
              <w:t xml:space="preserve">★★★★</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4"/>
                <w:szCs w:val="14"/>
              </w:rPr>
              <w:t xml:space="preserve">★★★★</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4"/>
                <w:szCs w:val="14"/>
              </w:rPr>
              <w:t xml:space="preserve">★★★★★</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Sin precedentes en PropTech/GovTech global. Método computacional novedoso industrialmente aplicable. Candidato principal a patente de invención INAPI + PCT.</w:t>
            </w:r>
          </w:p>
        </w:tc>
      </w:tr>
      <w:tr>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6"/>
                <w:szCs w:val="16"/>
              </w:rPr>
              <w:t xml:space="preserve">Multiplicador Precesional
(fórmula cuantificada de efectos +90°)</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4"/>
                <w:szCs w:val="14"/>
              </w:rPr>
              <w:t xml:space="preserve">★★★★★</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4"/>
                <w:szCs w:val="14"/>
              </w:rPr>
              <w:t xml:space="preserve">★★★★★</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4"/>
                <w:szCs w:val="14"/>
              </w:rPr>
              <w:t xml:space="preserve">★★★★</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4"/>
                <w:szCs w:val="14"/>
              </w:rPr>
              <w:t xml:space="preserve">★★★★★</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Fórmula original: ratio entre valor directo y valor precesional neto. Nueva métrica económica. Caso Pudahuel 4.76x valida industrialmente.</w:t>
            </w:r>
          </w:p>
        </w:tc>
      </w:tr>
      <w:tr>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6"/>
                <w:szCs w:val="16"/>
              </w:rPr>
              <w:t xml:space="preserve">Zonas de influencia precesional concéntricas
(5 anillos por ángulo + decaimiento PostGIS)</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4"/>
                <w:szCs w:val="14"/>
              </w:rPr>
              <w:t xml:space="preserve">★★★★</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4"/>
                <w:szCs w:val="14"/>
              </w:rPr>
              <w:t xml:space="preserve">★★★★★</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4"/>
                <w:szCs w:val="14"/>
              </w:rPr>
              <w:t xml:space="preserve">★★★</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4"/>
                <w:szCs w:val="14"/>
              </w:rPr>
              <w:t xml:space="preserve">★★★★</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Método espacial único: 5 anillos con decaimiento calibrado por ángulo precesional. Alta aplicabilidad planificación urbana y EIA.</w:t>
            </w:r>
          </w:p>
        </w:tc>
      </w:tr>
      <w:tr>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6"/>
                <w:szCs w:val="16"/>
              </w:rPr>
              <w:t xml:space="preserve">Arquitectura dual cores independientes
(PHP + Python + ontología compartida Event Bus)</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4"/>
                <w:szCs w:val="14"/>
              </w:rPr>
              <w:t xml:space="preserve">★★★★</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4"/>
                <w:szCs w:val="14"/>
              </w:rPr>
              <w:t xml:space="preserve">★★★★</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4"/>
                <w:szCs w:val="14"/>
              </w:rPr>
              <w:t xml:space="preserve">★★★</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4"/>
                <w:szCs w:val="14"/>
              </w:rPr>
              <w:t xml:space="preserve">★★★★</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Arquitectura de sincronización ontológica via Event Bus Redis entre lenguajes diferentes. Escalable y replicable.</w:t>
            </w:r>
          </w:p>
        </w:tc>
      </w:tr>
      <w:tr>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6"/>
                <w:szCs w:val="16"/>
              </w:rPr>
              <w:t xml:space="preserve">VAN Precesional
(extensión VAN clásico + externalidades +90°)</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4"/>
                <w:szCs w:val="14"/>
              </w:rPr>
              <w:t xml:space="preserve">★★★★★</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4"/>
                <w:szCs w:val="14"/>
              </w:rPr>
              <w:t xml:space="preserve">★★★★★</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4"/>
                <w:szCs w:val="14"/>
              </w:rPr>
              <w:t xml:space="preserve">★★★★</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4"/>
                <w:szCs w:val="14"/>
              </w:rPr>
              <w:t xml:space="preserve">★★★★★</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Extensión del VAN clásico incorporando flujos precesionales. Nuevo método de valorización financiera con alto potencial de adopción en banca e inversiones.</w:t>
            </w:r>
          </w:p>
        </w:tc>
      </w:tr>
      <w:tr>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6"/>
                <w:szCs w:val="16"/>
              </w:rPr>
              <w:t xml:space="preserve">Compliance precesional predictivo
(predicción cambios normativos por efectos detectados)</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4"/>
                <w:szCs w:val="14"/>
              </w:rPr>
              <w:t xml:space="preserve">★★★★</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4"/>
                <w:szCs w:val="14"/>
              </w:rPr>
              <w:t xml:space="preserve">★★★★★</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4"/>
                <w:szCs w:val="14"/>
              </w:rPr>
              <w:t xml:space="preserve">★★★</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4"/>
                <w:szCs w:val="14"/>
              </w:rPr>
              <w:t xml:space="preserve">★★★★</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Predicción de cambios normativos a partir de efectos precesionales detectados. Alta demanda en mercado RegTech chileno.</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CDE5" w:sz="1"/>
              <w:left w:val="single" w:color="BBCDE5" w:sz="1"/>
              <w:bottom w:val="single" w:color="BBCDE5" w:sz="1"/>
              <w:right w:val="single" w:color="BBCDE5" w:sz="1"/>
            </w:tcBorders>
            <w:shd w:fill="FFF3CD" w:val="clear"/>
            <w:tcMar>
              <w:top w:type="dxa" w:w="120"/>
              <w:left w:type="dxa" w:w="200"/>
              <w:bottom w:type="dxa" w:w="120"/>
              <w:right w:type="dxa" w:w="120"/>
            </w:tcMar>
          </w:tcPr>
          <w:p>
            <w:r>
              <w:rPr>
                <w:rFonts w:ascii="Arial" w:cs="Arial" w:eastAsia="Arial" w:hAnsi="Arial"/>
                <w:b w:val="false"/>
                <w:bCs w:val="false"/>
                <w:color w:val="2C3E50"/>
                <w:sz w:val="19"/>
                <w:szCs w:val="19"/>
              </w:rPr>
              <w:t xml:space="preserve">⚠️ RECOMENDACIÓN PRIORITARIA: Patente de invención INAPI (métodos Precession Graph Engine + Multiplicador Precesional + VAN Precesional). Complementar con registro DIBAM del software. Costo estimado: $2–4M CLP patente nacional + $8–15M CLP PCT internacional. Ventana temporal: 12 meses antes de publicación académica.</w:t>
            </w:r>
          </w:p>
        </w:tc>
      </w:tr>
    </w:tbl>
    <w:p>
      <w:r>
        <w:br w:type="page"/>
      </w:r>
    </w:p>
    <w:p>
      <w:pPr>
        <w:pStyle w:val="Heading1"/>
        <w:pBdr>
          <w:bottom w:val="single" w:color="1B3A6B" w:sz="6" w:space="6"/>
        </w:pBdr>
        <w:spacing w:before="400" w:after="200"/>
      </w:pPr>
      <w:r>
        <w:rPr>
          <w:rFonts w:ascii="Arial" w:cs="Arial" w:eastAsia="Arial" w:hAnsi="Arial"/>
          <w:b/>
          <w:bCs/>
          <w:color w:val="1B3A6B"/>
          <w:sz w:val="32"/>
          <w:szCs w:val="32"/>
        </w:rPr>
        <w:t xml:space="preserve">10. MAPA DE INVERSIONISTAS Y FUENTES DE FINANCIAMIENTO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1200"/>
        <w:gridCol w:w="1800"/>
        <w:gridCol w:w="1400"/>
        <w:gridCol w:w="2360"/>
      </w:tblGrid>
      <w:tr>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Fuente</w:t>
            </w:r>
          </w:p>
        </w:tc>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Tipo</w:t>
            </w:r>
          </w:p>
        </w:tc>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Monto</w:t>
            </w:r>
          </w:p>
        </w:tc>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Alineación PAE</w:t>
            </w:r>
          </w:p>
        </w:tc>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Timing</w:t>
            </w:r>
          </w:p>
        </w:tc>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Acción Recomendada</w:t>
            </w:r>
          </w:p>
        </w:tc>
      </w:tr>
      <w:tr>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CORFO Bienes Públicos</w:t>
            </w:r>
          </w:p>
        </w:tc>
        <w:tc>
          <w:tcPr>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Grant</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D9B3F"/>
                <w:sz w:val="16"/>
                <w:szCs w:val="16"/>
              </w:rPr>
              <w:t xml:space="preserve">$200MM CLP</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Herramientas predictivas planificación urbana municipal</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C0392B"/>
                <w:sz w:val="16"/>
                <w:szCs w:val="16"/>
              </w:rPr>
              <w:t xml:space="preserve">Q1 2026 URGENTE</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Postulación con caso Pudahuel + demo municipal</w:t>
            </w:r>
          </w:p>
        </w:tc>
      </w:tr>
      <w:tr>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BID Lab Innovation Fund</w:t>
            </w:r>
          </w:p>
        </w:tc>
        <w:tc>
          <w:tcPr>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Grant/Equity</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D9B3F"/>
                <w:sz w:val="16"/>
                <w:szCs w:val="16"/>
              </w:rPr>
              <w:t xml:space="preserve">USD 100–500K</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PropTech ciudades sostenibles LATAM</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Q2 2026</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Pitch multiplicador precesional + impacto regional</w:t>
            </w:r>
          </w:p>
        </w:tc>
      </w:tr>
      <w:tr>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CAF Ciudades con Futuro</w:t>
            </w:r>
          </w:p>
        </w:tc>
        <w:tc>
          <w:tcPr>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Grant</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D9B3F"/>
                <w:sz w:val="16"/>
                <w:szCs w:val="16"/>
              </w:rPr>
              <w:t xml:space="preserve">USD 300K–1M</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GovTech herramientas municipales + resiliencia urbana</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Q2–Q3 2026</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Propuesta formal + demo Pudahuel + 2 comunas</w:t>
            </w:r>
          </w:p>
        </w:tc>
      </w:tr>
      <w:tr>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StartUp Chile Scale</w:t>
            </w:r>
          </w:p>
        </w:tc>
        <w:tc>
          <w:tcPr>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Equity-free</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D9B3F"/>
                <w:sz w:val="16"/>
                <w:szCs w:val="16"/>
              </w:rPr>
              <w:t xml:space="preserve">USD 100K</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Tracción demostrable en mercado chileno</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6"/>
                <w:szCs w:val="16"/>
              </w:rPr>
              <w:t xml:space="preserve">Q1 2026</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Aplicar con 3+ municipios piloto y métricas PAE</w:t>
            </w:r>
          </w:p>
        </w:tc>
      </w:tr>
      <w:tr>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ANID Fondef IDeA</w:t>
            </w:r>
          </w:p>
        </w:tc>
        <w:tc>
          <w:tcPr>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Grant I+D</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D9B3F"/>
                <w:sz w:val="16"/>
                <w:szCs w:val="16"/>
              </w:rPr>
              <w:t xml:space="preserve">$200MM CLP</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Investigación inteligencia territorial con validación académica</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Convocatoria anual</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Paper académico + convenio universidad</w:t>
            </w:r>
          </w:p>
        </w:tc>
      </w:tr>
      <w:tr>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Google for Startups</w:t>
            </w:r>
          </w:p>
        </w:tc>
        <w:tc>
          <w:tcPr>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Cloud Credits</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D9B3F"/>
                <w:sz w:val="16"/>
                <w:szCs w:val="16"/>
              </w:rPr>
              <w:t xml:space="preserve">USD 100K créditos</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Infraestructura cloud + ML global</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Q2 2026 aplicación directa</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Aplicación directa. Validar eligibilidad actual.</w:t>
            </w:r>
          </w:p>
        </w:tc>
      </w:tr>
      <w:tr>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Magma Partners</w:t>
            </w:r>
          </w:p>
        </w:tc>
        <w:tc>
          <w:tcPr>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Seed VC</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D9B3F"/>
                <w:sz w:val="16"/>
                <w:szCs w:val="16"/>
              </w:rPr>
              <w:t xml:space="preserve">USD 200–500K</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PropTech LATAM seed stage + red contactos Chile</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Q3–Q4 2026</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Pitch deck con métricas PAE + tracción piloto</w:t>
            </w:r>
          </w:p>
        </w:tc>
      </w:tr>
      <w:tr>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ALLVP</w:t>
            </w:r>
          </w:p>
        </w:tc>
        <w:tc>
          <w:tcPr>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Seed VC</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D9B3F"/>
                <w:sz w:val="16"/>
                <w:szCs w:val="16"/>
              </w:rPr>
              <w:t xml:space="preserve">USD 500K–1.5M</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Impacto LATAM, tecnología para ciudades sostenibles</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Q3–Q4 2026</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Intro vía demo day StartUp Chile</w:t>
            </w:r>
          </w:p>
        </w:tc>
      </w:tr>
      <w:tr>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Kayyak Ventures</w:t>
            </w:r>
          </w:p>
        </w:tc>
        <w:tc>
          <w:tcPr>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Pre-seed</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D9B3F"/>
                <w:sz w:val="16"/>
                <w:szCs w:val="16"/>
              </w:rPr>
              <w:t xml:space="preserve">USD 100–300K</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Deep tech LATAM, algoritmos propietarios</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Q2–Q3 2026</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Pitch enfocado en IP precesional (pre-patente)</w:t>
            </w:r>
          </w:p>
        </w:tc>
      </w:tr>
      <w:tr>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Fifth Wall</w:t>
            </w:r>
          </w:p>
        </w:tc>
        <w:tc>
          <w:tcPr>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Series A</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D9B3F"/>
                <w:sz w:val="16"/>
                <w:szCs w:val="16"/>
              </w:rPr>
              <w:t xml:space="preserve">USD 5–15M</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PropTech global, real estate technology</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Post-validación LATAM 2027–2028</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Post-validación Chile + LATAM traction</w:t>
            </w:r>
          </w:p>
        </w:tc>
      </w:tr>
    </w:tbl>
    <w:p>
      <w:r>
        <w:br w:type="page"/>
      </w:r>
    </w:p>
    <w:p>
      <w:pPr>
        <w:pStyle w:val="Heading1"/>
        <w:pBdr>
          <w:bottom w:val="single" w:color="1B3A6B" w:sz="6" w:space="6"/>
        </w:pBdr>
        <w:spacing w:before="400" w:after="200"/>
      </w:pPr>
      <w:r>
        <w:rPr>
          <w:rFonts w:ascii="Arial" w:cs="Arial" w:eastAsia="Arial" w:hAnsi="Arial"/>
          <w:b/>
          <w:bCs/>
          <w:color w:val="1B3A6B"/>
          <w:sz w:val="32"/>
          <w:szCs w:val="32"/>
        </w:rPr>
        <w:t xml:space="preserve">11. PROYECCIONES PRECESIONALES DEL PAE SOBRE DATAPOLIS</w:t>
      </w:r>
    </w:p>
    <w:p>
      <w:pPr>
        <w:spacing w:before="80" w:after="120"/>
      </w:pPr>
      <w:r>
        <w:rPr>
          <w:rFonts w:ascii="Arial" w:cs="Arial" w:eastAsia="Arial" w:hAnsi="Arial"/>
          <w:sz w:val="20"/>
          <w:szCs w:val="20"/>
        </w:rPr>
        <w:t xml:space="preserve">Aplicando la propia teoría del PAE a su posicionamiento estratégico: efectos indirectos (+90°) que genera la existencia del motor sobre el ecosistema DATAPOLIS y el mercado PropTech/GovTech latinoamericano: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600"/>
        <w:gridCol w:w="1400"/>
        <w:gridCol w:w="900"/>
        <w:gridCol w:w="1460"/>
      </w:tblGrid>
      <w:tr>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Ángulo</w:t>
            </w:r>
          </w:p>
        </w:tc>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Acción Directa</w:t>
            </w:r>
          </w:p>
        </w:tc>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Efecto Precesional (+90°)</w:t>
            </w:r>
          </w:p>
        </w:tc>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Horizonte</w:t>
            </w:r>
          </w:p>
        </w:tc>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w:t>
            </w:r>
          </w:p>
        </w:tc>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Clasificación</w:t>
            </w:r>
          </w:p>
        </w:tc>
      </w:tr>
      <w:tr>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0°</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Lanzamiento PAE como módulo</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Revenue directo por suscripciones PAE</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6"/>
                <w:szCs w:val="16"/>
              </w:rPr>
              <w:t xml:space="preserve">0–12 meses</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bCs/>
                <w:color w:val="2D9B3F"/>
                <w:sz w:val="17"/>
                <w:szCs w:val="17"/>
              </w:rPr>
              <w:t xml:space="preserve">95%</w:t>
            </w:r>
          </w:p>
        </w:tc>
        <w:tc>
          <w:tcPr>
            <w:gridSpan w:val="1"/>
            <w:tcBorders>
              <w:top w:val="single" w:color="BBCDE5" w:sz="1"/>
              <w:left w:val="single" w:color="BBCDE5" w:sz="1"/>
              <w:bottom w:val="single" w:color="BBCDE5" w:sz="1"/>
              <w:right w:val="single" w:color="BBCDE5"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Alta probabilidad</w:t>
            </w:r>
          </w:p>
        </w:tc>
      </w:tr>
      <w:tr>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+45°</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PAE genera datos de predicción territorial</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Dataset propietario de efectos precesionales urbanos chilenos</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6"/>
                <w:szCs w:val="16"/>
              </w:rPr>
              <w:t xml:space="preserve">6–18 meses</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bCs/>
                <w:color w:val="2D9B3F"/>
                <w:sz w:val="17"/>
                <w:szCs w:val="17"/>
              </w:rPr>
              <w:t xml:space="preserve">85%</w:t>
            </w:r>
          </w:p>
        </w:tc>
        <w:tc>
          <w:tcPr>
            <w:gridSpan w:val="1"/>
            <w:tcBorders>
              <w:top w:val="single" w:color="BBCDE5" w:sz="1"/>
              <w:left w:val="single" w:color="BBCDE5" w:sz="1"/>
              <w:bottom w:val="single" w:color="BBCDE5" w:sz="1"/>
              <w:right w:val="single" w:color="BBCDE5" w:sz="1"/>
            </w:tcBorders>
            <w:shd w:fill="D4EDDA"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Alta probabilidad</w:t>
            </w:r>
          </w:p>
        </w:tc>
      </w:tr>
      <w:tr>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+90°</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Dataset atrae investigadores y universidades</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Publicaciones académicas que validan el modelo = credibilidad institucional</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6"/>
                <w:szCs w:val="16"/>
              </w:rPr>
              <w:t xml:space="preserve">12–30 meses</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bCs/>
                <w:color w:val="2D9B3F"/>
                <w:sz w:val="17"/>
                <w:szCs w:val="17"/>
              </w:rPr>
              <w:t xml:space="preserve">70%</w:t>
            </w:r>
          </w:p>
        </w:tc>
        <w:tc>
          <w:tcPr>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Alta probabilidad</w:t>
            </w:r>
          </w:p>
        </w:tc>
      </w:tr>
      <w:tr>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+90°</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Municipios adoptan PAE como estándar</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DATAPOLIS como estándar de planificación urbana chilena</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6"/>
                <w:szCs w:val="16"/>
              </w:rPr>
              <w:t xml:space="preserve">18–36 meses</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bCs/>
                <w:color w:val="E07B00"/>
                <w:sz w:val="17"/>
                <w:szCs w:val="17"/>
              </w:rPr>
              <w:t xml:space="preserve">55%</w:t>
            </w:r>
          </w:p>
        </w:tc>
        <w:tc>
          <w:tcPr>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Probabilidad media</w:t>
            </w:r>
          </w:p>
        </w:tc>
      </w:tr>
      <w:tr>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+135°</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Modelo precesional aplicado a LATAM</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DATAPOLIS como referente regional en inteligencia territorial</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6"/>
                <w:szCs w:val="16"/>
              </w:rPr>
              <w:t xml:space="preserve">24–48 meses</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bCs/>
                <w:color w:val="E07B00"/>
                <w:sz w:val="17"/>
                <w:szCs w:val="17"/>
              </w:rPr>
              <w:t xml:space="preserve">45%</w:t>
            </w:r>
          </w:p>
        </w:tc>
        <w:tc>
          <w:tcPr>
            <w:gridSpan w:val="1"/>
            <w:tcBorders>
              <w:top w:val="single" w:color="BBCDE5" w:sz="1"/>
              <w:left w:val="single" w:color="BBCDE5" w:sz="1"/>
              <w:bottom w:val="single" w:color="BBCDE5" w:sz="1"/>
              <w:right w:val="single" w:color="BBCDE5"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Probabilidad media</w:t>
            </w:r>
          </w:p>
        </w:tc>
      </w:tr>
      <w:tr>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+135°</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Datos precesionales como commodity</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Nuevo mercado de datos predictivos urbanos en Chile y LATAM</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6"/>
                <w:szCs w:val="16"/>
              </w:rPr>
              <w:t xml:space="preserve">36–60 meses</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17"/>
                <w:szCs w:val="17"/>
              </w:rPr>
              <w:t xml:space="preserve">35%</w:t>
            </w:r>
          </w:p>
        </w:tc>
        <w:tc>
          <w:tcPr>
            <w:gridSpan w:val="1"/>
            <w:tcBorders>
              <w:top w:val="single" w:color="BBCDE5" w:sz="1"/>
              <w:left w:val="single" w:color="BBCDE5" w:sz="1"/>
              <w:bottom w:val="single" w:color="BBCDE5" w:sz="1"/>
              <w:right w:val="single" w:color="BBCDE5" w:sz="1"/>
            </w:tcBorders>
            <w:shd w:fill="FFF3CD"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Escenario disruptivo</w:t>
            </w:r>
          </w:p>
        </w:tc>
      </w:tr>
      <w:tr>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180°</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Regulación incorpora análisis precesional</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Normativa exige evaluación de efectos indirectos en EIA</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6"/>
                <w:szCs w:val="16"/>
              </w:rPr>
              <w:t xml:space="preserve">48–120 meses</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17"/>
                <w:szCs w:val="17"/>
              </w:rPr>
              <w:t xml:space="preserve">20%</w:t>
            </w:r>
          </w:p>
        </w:tc>
        <w:tc>
          <w:tcPr>
            <w:gridSpan w:val="1"/>
            <w:tcBorders>
              <w:top w:val="single" w:color="BBCDE5" w:sz="1"/>
              <w:left w:val="single" w:color="BBCDE5" w:sz="1"/>
              <w:bottom w:val="single" w:color="BBCDE5" w:sz="1"/>
              <w:right w:val="single" w:color="BBCDE5" w:sz="1"/>
            </w:tcBorders>
            <w:shd w:fill="FFF0E8"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Escenario disruptivo</w:t>
            </w:r>
          </w:p>
        </w:tc>
      </w:tr>
    </w:tbl>
    <w:p>
      <w:r>
        <w:br w:type="page"/>
      </w:r>
    </w:p>
    <w:p>
      <w:pPr>
        <w:pStyle w:val="Heading1"/>
        <w:pBdr>
          <w:bottom w:val="single" w:color="1B3A6B" w:sz="6" w:space="6"/>
        </w:pBdr>
        <w:spacing w:before="400" w:after="200"/>
      </w:pPr>
      <w:r>
        <w:rPr>
          <w:rFonts w:ascii="Arial" w:cs="Arial" w:eastAsia="Arial" w:hAnsi="Arial"/>
          <w:b/>
          <w:bCs/>
          <w:color w:val="1B3A6B"/>
          <w:sz w:val="32"/>
          <w:szCs w:val="32"/>
        </w:rPr>
        <w:t xml:space="preserve">12. MÉTRICAS CLAVE DEL ECOSISTEMA Y CREDENCIALES DE VALIDACIÓN</w:t>
      </w:r>
    </w:p>
    <w:p>
      <w:pPr>
        <w:pStyle w:val="Heading2"/>
        <w:spacing w:before="300" w:after="160"/>
      </w:pPr>
      <w:r>
        <w:rPr>
          <w:rFonts w:ascii="Arial" w:cs="Arial" w:eastAsia="Arial" w:hAnsi="Arial"/>
          <w:b/>
          <w:bCs/>
          <w:color w:val="0D7377"/>
          <w:sz w:val="26"/>
          <w:szCs w:val="26"/>
        </w:rPr>
        <w:t xml:space="preserve">12.1 Métricas Técnicas del Ecosistema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Métrica</w:t>
            </w:r>
          </w:p>
        </w:tc>
        <w:tc>
          <w:tcPr>
            <w:tcW w:type="dxa" w:w="6160"/>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Valor / Detalle</w:t>
            </w:r>
          </w:p>
        </w:tc>
      </w:tr>
      <w:tr>
        <w:tc>
          <w:tcPr>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Módulos totales</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61 (17 PRO + 23 VM + 8 AG + 13 IA + 1 PAE transversal)</w:t>
            </w:r>
          </w:p>
        </w:tc>
      </w:tr>
      <w:tr>
        <w:tc>
          <w:tcPr>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Endpoints API</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150+</w:t>
            </w:r>
          </w:p>
        </w:tc>
      </w:tr>
      <w:tr>
        <w:tc>
          <w:tcPr>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Leyes integradas</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25+ (Ley 21.442, 21.713, 21.719, urbanismo, medio ambiente, tributación)</w:t>
            </w:r>
          </w:p>
        </w:tc>
      </w:tr>
      <w:tr>
        <w:tc>
          <w:tcPr>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Líneas de código</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78,000+</w:t>
            </w:r>
          </w:p>
        </w:tc>
      </w:tr>
      <w:tr>
        <w:tc>
          <w:tcPr>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Tablas base de datos</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32</w:t>
            </w:r>
          </w:p>
        </w:tc>
      </w:tr>
      <w:tr>
        <w:tc>
          <w:tcPr>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Multiplicador PAE validado</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4.76x (Caso Pudahuel, Convenio CEPAL-UN)</w:t>
            </w:r>
          </w:p>
        </w:tc>
      </w:tr>
      <w:tr>
        <w:tc>
          <w:tcPr>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Precisión predictiva PAE</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75–88% (pipeline K-Fold CV documentado)</w:t>
            </w:r>
          </w:p>
        </w:tc>
      </w:tr>
      <w:tr>
        <w:tc>
          <w:tcPr>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Horizonte predictivo</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5–20 años</w:t>
            </w:r>
          </w:p>
        </w:tc>
      </w:tr>
      <w:tr>
        <w:tc>
          <w:tcPr>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Costo LLM</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$0 (Ollama local — ventaja competitiva sobre competidores con USD 500–5K/mes)</w:t>
            </w:r>
          </w:p>
        </w:tc>
      </w:tr>
      <w:tr>
        <w:tc>
          <w:tcPr>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Variables PAE interconectadas</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200+ (vs. 15–30 análisis lineal de la competencia LATAM)</w:t>
            </w:r>
          </w:p>
        </w:tc>
      </w:tr>
      <w:tr>
        <w:tc>
          <w:tcPr>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Municipios potenciales Chile</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346</w:t>
            </w:r>
          </w:p>
        </w:tc>
      </w:tr>
      <w:tr>
        <w:tc>
          <w:tcPr>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Administradores target Chile</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12,000+</w:t>
            </w:r>
          </w:p>
        </w:tc>
      </w:tr>
      <w:tr>
        <w:tc>
          <w:tcPr>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bCs/>
                <w:color w:val="2C3E50"/>
                <w:sz w:val="18"/>
                <w:szCs w:val="18"/>
              </w:rPr>
              <w:t xml:space="preserve">Mercado PropTech LATAM</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8"/>
                <w:szCs w:val="18"/>
              </w:rPr>
              <w:t xml:space="preserve">USD 2.8B (analytics territorial)</w:t>
            </w:r>
          </w:p>
        </w:tc>
      </w:tr>
    </w:tbl>
    <w:p>
      <w:pPr>
        <w:spacing w:before="80" w:after="80"/>
      </w:pPr>
      <w:r>
        <w:t xml:space="preserve"/>
      </w:r>
    </w:p>
    <w:p>
      <w:pPr>
        <w:pStyle w:val="Heading2"/>
        <w:spacing w:before="300" w:after="160"/>
      </w:pPr>
      <w:r>
        <w:rPr>
          <w:rFonts w:ascii="Arial" w:cs="Arial" w:eastAsia="Arial" w:hAnsi="Arial"/>
          <w:b/>
          <w:bCs/>
          <w:color w:val="0D7377"/>
          <w:sz w:val="26"/>
          <w:szCs w:val="26"/>
        </w:rPr>
        <w:t xml:space="preserve">12.2 Credenciales de Validación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360"/>
        <w:gridCol w:w="1400"/>
      </w:tblGrid>
      <w:tr>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Credencial</w:t>
            </w:r>
          </w:p>
        </w:tc>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Detalle</w:t>
            </w:r>
          </w:p>
        </w:tc>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Status</w:t>
            </w:r>
          </w:p>
        </w:tc>
      </w:tr>
      <w:tr>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Convenio CEPAL-UN / I.M. Pudahuel</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Diagnóstico Estratégico Valles Lo Aguirre / El Noviciado. Caso piloto PAE con datos reales. Multiplicador 4.76x calculado con datos oficiales.</w:t>
            </w:r>
          </w:p>
        </w:tc>
        <w:tc>
          <w:tcPr>
            <w:gridSpan w:val="1"/>
            <w:tcBorders>
              <w:top w:val="single" w:color="BBCDE5" w:sz="1"/>
              <w:left w:val="single" w:color="BBCDE5" w:sz="1"/>
              <w:bottom w:val="single" w:color="BBCDE5" w:sz="1"/>
              <w:right w:val="single" w:color="BBCDE5" w:sz="1"/>
            </w:tcBorders>
            <w:shd w:fill="D4EDDA" w:val="clear"/>
            <w:tcMar>
              <w:top w:type="dxa" w:w="80"/>
              <w:left w:type="dxa" w:w="120"/>
              <w:bottom w:type="dxa" w:w="80"/>
              <w:right w:type="dxa" w:w="120"/>
            </w:tcMar>
            <w:vAlign w:val="center"/>
          </w:tcPr>
          <w:p>
            <w:pPr>
              <w:jc w:val="center"/>
            </w:pPr>
            <w:r>
              <w:rPr>
                <w:rFonts w:ascii="Arial" w:cs="Arial" w:eastAsia="Arial" w:hAnsi="Arial"/>
                <w:b/>
                <w:bCs/>
                <w:color w:val="2D9B3F"/>
                <w:sz w:val="16"/>
                <w:szCs w:val="16"/>
              </w:rPr>
              <w:t xml:space="preserve">ACTIVO</w:t>
            </w:r>
          </w:p>
        </w:tc>
      </w:tr>
      <w:tr>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Bloomberg Philanthropies Mayor's Challenge</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3er lugar. USD 50,000 premio. Reconocimiento internacional en innovación urbana y gestión municipal.</w:t>
            </w:r>
          </w:p>
        </w:tc>
        <w:tc>
          <w:tcPr>
            <w:gridSpan w:val="1"/>
            <w:tcBorders>
              <w:top w:val="single" w:color="BBCDE5" w:sz="1"/>
              <w:left w:val="single" w:color="BBCDE5" w:sz="1"/>
              <w:bottom w:val="single" w:color="BBCDE5" w:sz="1"/>
              <w:right w:val="single" w:color="BBCDE5" w:sz="1"/>
            </w:tcBorders>
            <w:shd w:fill="D4EDDA" w:val="clear"/>
            <w:tcMar>
              <w:top w:type="dxa" w:w="80"/>
              <w:left w:type="dxa" w:w="120"/>
              <w:bottom w:type="dxa" w:w="80"/>
              <w:right w:type="dxa" w:w="120"/>
            </w:tcMar>
            <w:vAlign w:val="center"/>
          </w:tcPr>
          <w:p>
            <w:pPr>
              <w:jc w:val="center"/>
            </w:pPr>
            <w:r>
              <w:rPr>
                <w:rFonts w:ascii="Arial" w:cs="Arial" w:eastAsia="Arial" w:hAnsi="Arial"/>
                <w:b/>
                <w:bCs/>
                <w:color w:val="2D9B3F"/>
                <w:sz w:val="16"/>
                <w:szCs w:val="16"/>
              </w:rPr>
              <w:t xml:space="preserve">VALIDADO</w:t>
            </w:r>
          </w:p>
        </w:tc>
      </w:tr>
      <w:tr>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345 soluciones habitacionales SERVIU</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Viviendas gestionadas mediante programas SERVIU. Track record en gestión habitacional masiva escala nacional.</w:t>
            </w:r>
          </w:p>
        </w:tc>
        <w:tc>
          <w:tcPr>
            <w:gridSpan w:val="1"/>
            <w:tcBorders>
              <w:top w:val="single" w:color="BBCDE5" w:sz="1"/>
              <w:left w:val="single" w:color="BBCDE5" w:sz="1"/>
              <w:bottom w:val="single" w:color="BBCDE5" w:sz="1"/>
              <w:right w:val="single" w:color="BBCDE5" w:sz="1"/>
            </w:tcBorders>
            <w:shd w:fill="D4EDDA" w:val="clear"/>
            <w:tcMar>
              <w:top w:type="dxa" w:w="80"/>
              <w:left w:type="dxa" w:w="120"/>
              <w:bottom w:type="dxa" w:w="80"/>
              <w:right w:type="dxa" w:w="120"/>
            </w:tcMar>
            <w:vAlign w:val="center"/>
          </w:tcPr>
          <w:p>
            <w:pPr>
              <w:jc w:val="center"/>
            </w:pPr>
            <w:r>
              <w:rPr>
                <w:rFonts w:ascii="Arial" w:cs="Arial" w:eastAsia="Arial" w:hAnsi="Arial"/>
                <w:b/>
                <w:bCs/>
                <w:color w:val="2D9B3F"/>
                <w:sz w:val="16"/>
                <w:szCs w:val="16"/>
              </w:rPr>
              <w:t xml:space="preserve">HISTÓRICO</w:t>
            </w:r>
          </w:p>
        </w:tc>
      </w:tr>
      <w:tr>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18 años experiencia multidisciplinar</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Arquitectura + Urbanismo + Tributación inmobiliaria + Derecho (estudios) + Tecnología. Perfil único en el mercado.</w:t>
            </w:r>
          </w:p>
        </w:tc>
        <w:tc>
          <w:tcPr>
            <w:gridSpan w:val="1"/>
            <w:tcBorders>
              <w:top w:val="single" w:color="BBCDE5" w:sz="1"/>
              <w:left w:val="single" w:color="BBCDE5" w:sz="1"/>
              <w:bottom w:val="single" w:color="BBCDE5" w:sz="1"/>
              <w:right w:val="single" w:color="BBCDE5" w:sz="1"/>
            </w:tcBorders>
            <w:shd w:fill="D4EDDA" w:val="clear"/>
            <w:tcMar>
              <w:top w:type="dxa" w:w="80"/>
              <w:left w:type="dxa" w:w="120"/>
              <w:bottom w:type="dxa" w:w="80"/>
              <w:right w:type="dxa" w:w="120"/>
            </w:tcMar>
            <w:vAlign w:val="center"/>
          </w:tcPr>
          <w:p>
            <w:pPr>
              <w:jc w:val="center"/>
            </w:pPr>
            <w:r>
              <w:rPr>
                <w:rFonts w:ascii="Arial" w:cs="Arial" w:eastAsia="Arial" w:hAnsi="Arial"/>
                <w:b/>
                <w:bCs/>
                <w:color w:val="2D9B3F"/>
                <w:sz w:val="16"/>
                <w:szCs w:val="16"/>
              </w:rPr>
              <w:t xml:space="preserve">DIFERENCIADOR</w:t>
            </w:r>
          </w:p>
        </w:tc>
      </w:tr>
      <w:tr>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25+ leyes integradas en plataforma</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Marco normativo completo: copropiedad, tributación, urbanismo, finanzas, ambiente. Barrera de entrada significativa para competidores.</w:t>
            </w:r>
          </w:p>
        </w:tc>
        <w:tc>
          <w:tcPr>
            <w:gridSpan w:val="1"/>
            <w:tcBorders>
              <w:top w:val="single" w:color="BBCDE5" w:sz="1"/>
              <w:left w:val="single" w:color="BBCDE5" w:sz="1"/>
              <w:bottom w:val="single" w:color="BBCDE5" w:sz="1"/>
              <w:right w:val="single" w:color="BBCDE5" w:sz="1"/>
            </w:tcBorders>
            <w:shd w:fill="D4EDDA" w:val="clear"/>
            <w:tcMar>
              <w:top w:type="dxa" w:w="80"/>
              <w:left w:type="dxa" w:w="120"/>
              <w:bottom w:type="dxa" w:w="80"/>
              <w:right w:type="dxa" w:w="120"/>
            </w:tcMar>
            <w:vAlign w:val="center"/>
          </w:tcPr>
          <w:p>
            <w:pPr>
              <w:jc w:val="center"/>
            </w:pPr>
            <w:r>
              <w:rPr>
                <w:rFonts w:ascii="Arial" w:cs="Arial" w:eastAsia="Arial" w:hAnsi="Arial"/>
                <w:b/>
                <w:bCs/>
                <w:color w:val="2D9B3F"/>
                <w:sz w:val="16"/>
                <w:szCs w:val="16"/>
              </w:rPr>
              <w:t xml:space="preserve">COMPETITIVO</w:t>
            </w:r>
          </w:p>
        </w:tc>
      </w:tr>
    </w:tbl>
    <w:p>
      <w:r>
        <w:br w:type="page"/>
      </w:r>
    </w:p>
    <w:p>
      <w:pPr>
        <w:pStyle w:val="Heading1"/>
        <w:pBdr>
          <w:bottom w:val="single" w:color="1B3A6B" w:sz="6" w:space="6"/>
        </w:pBdr>
        <w:spacing w:before="400" w:after="200"/>
      </w:pPr>
      <w:r>
        <w:rPr>
          <w:rFonts w:ascii="Arial" w:cs="Arial" w:eastAsia="Arial" w:hAnsi="Arial"/>
          <w:b/>
          <w:bCs/>
          <w:color w:val="1B3A6B"/>
          <w:sz w:val="32"/>
          <w:szCs w:val="32"/>
        </w:rPr>
        <w:t xml:space="preserve">13. RECOMENDACIONES ESTRATÉGICAS DE ALTA PRIORIDAD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1000"/>
        <w:gridCol w:w="2100"/>
        <w:gridCol w:w="5840"/>
      </w:tblGrid>
      <w:tr>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Prioridad</w:t>
            </w:r>
          </w:p>
        </w:tc>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Acción</w:t>
            </w:r>
          </w:p>
        </w:tc>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Descripción y Racional</w:t>
            </w:r>
          </w:p>
        </w:tc>
      </w:tr>
      <w:tr>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R1</w:t>
            </w:r>
          </w:p>
        </w:tc>
        <w:tc>
          <w:tcPr>
            <w:gridSpan w:val="1"/>
            <w:tcBorders>
              <w:top w:val="single" w:color="BBCDE5" w:sz="1"/>
              <w:left w:val="single" w:color="BBCDE5" w:sz="1"/>
              <w:bottom w:val="single" w:color="BBCDE5" w:sz="1"/>
              <w:right w:val="single" w:color="BBCDE5"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6"/>
                <w:szCs w:val="16"/>
              </w:rPr>
              <w:t xml:space="preserve">CRÍTICO</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Iniciar Sprint 2 inmediatamente</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La documentación está 100% consolidada. El próximo bottleneck crítico es la implementación técnica del PrecessionGraphEngine.php (T6) y precession_graph_engine.py (T7). Sin estos, la plataforma sigue siendo promesa documental. Target: versión funcional en 8 semanas.</w:t>
            </w:r>
          </w:p>
        </w:tc>
      </w:tr>
      <w:tr>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R2</w:t>
            </w:r>
          </w:p>
        </w:tc>
        <w:tc>
          <w:tcPr>
            <w:gridSpan w:val="1"/>
            <w:tcBorders>
              <w:top w:val="single" w:color="BBCDE5" w:sz="1"/>
              <w:left w:val="single" w:color="BBCDE5" w:sz="1"/>
              <w:bottom w:val="single" w:color="BBCDE5" w:sz="1"/>
              <w:right w:val="single" w:color="BBCDE5" w:sz="1"/>
            </w:tcBorders>
            <w:shd w:fill="FDECEA" w:val="clear"/>
            <w:tcMar>
              <w:top w:type="dxa" w:w="80"/>
              <w:left w:type="dxa" w:w="120"/>
              <w:bottom w:type="dxa" w:w="80"/>
              <w:right w:type="dxa" w:w="120"/>
            </w:tcMar>
            <w:vAlign w:val="center"/>
          </w:tcPr>
          <w:p>
            <w:pPr>
              <w:jc w:val="center"/>
            </w:pPr>
            <w:r>
              <w:rPr>
                <w:rFonts w:ascii="Arial" w:cs="Arial" w:eastAsia="Arial" w:hAnsi="Arial"/>
                <w:b/>
                <w:bCs/>
                <w:color w:val="C0392B"/>
                <w:sz w:val="16"/>
                <w:szCs w:val="16"/>
              </w:rPr>
              <w:t xml:space="preserve">CRÍTICO</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Postulación CORFO Q1 2026</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La convocatoria Bienes Públicos es la oportunidad de financiamiento más alineada y urgente. El caso Pudahuel + Convenio CEPAL-UN es el argumento perfecto. Preparar aplicación en paralelo al Sprint 2. No esperar validación técnica completa.</w:t>
            </w:r>
          </w:p>
        </w:tc>
      </w:tr>
      <w:tr>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R3</w:t>
            </w:r>
          </w:p>
        </w:tc>
        <w:tc>
          <w:tcPr>
            <w:gridSpan w:val="1"/>
            <w:tcBorders>
              <w:top w:val="single" w:color="BBCDE5" w:sz="1"/>
              <w:left w:val="single" w:color="BBCDE5" w:sz="1"/>
              <w:bottom w:val="single" w:color="BBCDE5" w:sz="1"/>
              <w:right w:val="single" w:color="BBCDE5" w:sz="1"/>
            </w:tcBorders>
            <w:shd w:fill="FFF3CD" w:val="clear"/>
            <w:tcMar>
              <w:top w:type="dxa" w:w="80"/>
              <w:left w:type="dxa" w:w="120"/>
              <w:bottom w:type="dxa" w:w="80"/>
              <w:right w:type="dxa" w:w="120"/>
            </w:tcMar>
            <w:vAlign w:val="center"/>
          </w:tcPr>
          <w:p>
            <w:pPr>
              <w:jc w:val="center"/>
            </w:pPr>
            <w:r>
              <w:rPr>
                <w:rFonts w:ascii="Arial" w:cs="Arial" w:eastAsia="Arial" w:hAnsi="Arial"/>
                <w:b/>
                <w:bCs/>
                <w:color w:val="E07B00"/>
                <w:sz w:val="16"/>
                <w:szCs w:val="16"/>
              </w:rPr>
              <w:t xml:space="preserve">ALTO</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Iniciar proceso de patente INAPI</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Ventana de 12 meses antes de publicación académica. Las 3 innovaciones identificadas (Precession Graph Engine, Multiplicador Precesional, VAN Precesional) tienen alta probabilidad de patentabilidad. Costo total: $10–19M CLP para protección nacional + PCT.</w:t>
            </w:r>
          </w:p>
        </w:tc>
      </w:tr>
      <w:tr>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R4</w:t>
            </w:r>
          </w:p>
        </w:tc>
        <w:tc>
          <w:tcPr>
            <w:gridSpan w:val="1"/>
            <w:tcBorders>
              <w:top w:val="single" w:color="BBCDE5" w:sz="1"/>
              <w:left w:val="single" w:color="BBCDE5" w:sz="1"/>
              <w:bottom w:val="single" w:color="BBCDE5" w:sz="1"/>
              <w:right w:val="single" w:color="BBCDE5" w:sz="1"/>
            </w:tcBorders>
            <w:shd w:fill="FFF3CD" w:val="clear"/>
            <w:tcMar>
              <w:top w:type="dxa" w:w="80"/>
              <w:left w:type="dxa" w:w="120"/>
              <w:bottom w:type="dxa" w:w="80"/>
              <w:right w:type="dxa" w:w="120"/>
            </w:tcMar>
            <w:vAlign w:val="center"/>
          </w:tcPr>
          <w:p>
            <w:pPr>
              <w:jc w:val="center"/>
            </w:pPr>
            <w:r>
              <w:rPr>
                <w:rFonts w:ascii="Arial" w:cs="Arial" w:eastAsia="Arial" w:hAnsi="Arial"/>
                <w:b/>
                <w:bCs/>
                <w:color w:val="E07B00"/>
                <w:sz w:val="16"/>
                <w:szCs w:val="16"/>
              </w:rPr>
              <w:t xml:space="preserve">ALTO</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Lanzar Observatorio Precesional Urbano</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Publicar índice precesional para 10 comunas como herramienta de posicionamiento de marca y credibilidad académica. Genera tracción sin requerir ventas. Atrae investigadores, municipios e inversores simultáneamente.</w:t>
            </w:r>
          </w:p>
        </w:tc>
      </w:tr>
      <w:tr>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R5</w:t>
            </w:r>
          </w:p>
        </w:tc>
        <w:tc>
          <w:tcPr>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center"/>
            </w:pPr>
            <w:r>
              <w:rPr>
                <w:rFonts w:ascii="Arial" w:cs="Arial" w:eastAsia="Arial" w:hAnsi="Arial"/>
                <w:b/>
                <w:bCs/>
                <w:color w:val="0D7377"/>
                <w:sz w:val="16"/>
                <w:szCs w:val="16"/>
              </w:rPr>
              <w:t xml:space="preserve">MEDIO</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Actualizar Landing a 61+ módulos</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Corrección menor (D3) con impacto en credibilidad técnica. La Landing es la primera impresión de inversores y clientes. Actualizar también el posicionamiento competitivo con datos PAE (200+ variables, 75-88% precisión, $0 LLM).</w:t>
            </w:r>
          </w:p>
        </w:tc>
      </w:tr>
      <w:tr>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R6</w:t>
            </w:r>
          </w:p>
        </w:tc>
        <w:tc>
          <w:tcPr>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center"/>
            </w:pPr>
            <w:r>
              <w:rPr>
                <w:rFonts w:ascii="Arial" w:cs="Arial" w:eastAsia="Arial" w:hAnsi="Arial"/>
                <w:b/>
                <w:bCs/>
                <w:color w:val="0D7377"/>
                <w:sz w:val="16"/>
                <w:szCs w:val="16"/>
              </w:rPr>
              <w:t xml:space="preserve">MEDIO</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Desarrollar pitch deck inversores seed</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Target Q2 2026: Magma Partners, ALLVP, Kayyak Ventures. El deck debe incluir demo interactiva del caso Pudahuel con multiplicador 4.76x como elemento diferenciador principal. Incluir pipeline de validación ML (resuelto en D7).</w:t>
            </w:r>
          </w:p>
        </w:tc>
      </w:tr>
      <w:tr>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R7</w:t>
            </w:r>
          </w:p>
        </w:tc>
        <w:tc>
          <w:tcPr>
            <w:gridSpan w:val="1"/>
            <w:tcBorders>
              <w:top w:val="single" w:color="BBCDE5" w:sz="1"/>
              <w:left w:val="single" w:color="BBCDE5" w:sz="1"/>
              <w:bottom w:val="single" w:color="BBCDE5" w:sz="1"/>
              <w:right w:val="single" w:color="BBCDE5" w:sz="1"/>
            </w:tcBorders>
            <w:shd w:fill="F3F0FF" w:val="clear"/>
            <w:tcMar>
              <w:top w:type="dxa" w:w="80"/>
              <w:left w:type="dxa" w:w="120"/>
              <w:bottom w:type="dxa" w:w="80"/>
              <w:right w:type="dxa" w:w="120"/>
            </w:tcMar>
            <w:vAlign w:val="center"/>
          </w:tcPr>
          <w:p>
            <w:pPr>
              <w:jc w:val="center"/>
            </w:pPr>
            <w:r>
              <w:rPr>
                <w:rFonts w:ascii="Arial" w:cs="Arial" w:eastAsia="Arial" w:hAnsi="Arial"/>
                <w:b/>
                <w:bCs/>
                <w:color w:val="6B4EFF"/>
                <w:sz w:val="16"/>
                <w:szCs w:val="16"/>
              </w:rPr>
              <w:t xml:space="preserve">ESTRATÉGICO</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Establecer convenios universitarios</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Formalizar colaboración con Universidad de Chile y/o PUC para paper académico sobre análisis precesional urbano computacional. El paper valida el método, genera credibilidad y abre puertas a ANID Fondef IDeA ($200MM CLP disponibles).</w:t>
            </w:r>
          </w:p>
        </w:tc>
      </w:tr>
      <w:tr>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R8</w:t>
            </w:r>
          </w:p>
        </w:tc>
        <w:tc>
          <w:tcPr>
            <w:gridSpan w:val="1"/>
            <w:tcBorders>
              <w:top w:val="single" w:color="BBCDE5" w:sz="1"/>
              <w:left w:val="single" w:color="BBCDE5" w:sz="1"/>
              <w:bottom w:val="single" w:color="BBCDE5" w:sz="1"/>
              <w:right w:val="single" w:color="BBCDE5" w:sz="1"/>
            </w:tcBorders>
            <w:shd w:fill="FFF0E8" w:val="clear"/>
            <w:tcMar>
              <w:top w:type="dxa" w:w="80"/>
              <w:left w:type="dxa" w:w="120"/>
              <w:bottom w:type="dxa" w:w="80"/>
              <w:right w:type="dxa" w:w="120"/>
            </w:tcMar>
            <w:vAlign w:val="center"/>
          </w:tcPr>
          <w:p>
            <w:pPr>
              <w:jc w:val="center"/>
            </w:pPr>
            <w:r>
              <w:rPr>
                <w:rFonts w:ascii="Arial" w:cs="Arial" w:eastAsia="Arial" w:hAnsi="Arial"/>
                <w:b/>
                <w:bCs/>
                <w:color w:val="F4A261"/>
                <w:sz w:val="16"/>
                <w:szCs w:val="16"/>
              </w:rPr>
              <w:t xml:space="preserve">OPORTUNIDAD</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PAE como API independiente (SaaS)</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6"/>
                <w:szCs w:val="16"/>
              </w:rPr>
              <w:t xml:space="preserve">Oportunidad emergente: ofrecer el motor precesional como API-first product para cualquier plataforma inmobiliaria o urbana de LATAM. Modelo USD 0.05-0.15/request. Mercado proptech analytics: USD 2.8B global. Abrir antes del lanzamiento plataforma completa.</w:t>
            </w:r>
          </w:p>
        </w:tc>
      </w:tr>
    </w:tbl>
    <w:p>
      <w:r>
        <w:br w:type="page"/>
      </w:r>
    </w:p>
    <w:p>
      <w:pPr>
        <w:pStyle w:val="Heading1"/>
        <w:pBdr>
          <w:bottom w:val="single" w:color="1B3A6B" w:sz="6" w:space="6"/>
        </w:pBdr>
        <w:spacing w:before="400" w:after="200"/>
      </w:pPr>
      <w:r>
        <w:rPr>
          <w:rFonts w:ascii="Arial" w:cs="Arial" w:eastAsia="Arial" w:hAnsi="Arial"/>
          <w:b/>
          <w:bCs/>
          <w:color w:val="1B3A6B"/>
          <w:sz w:val="32"/>
          <w:szCs w:val="32"/>
        </w:rPr>
        <w:t xml:space="preserve">14. VISIÓN ESTRATÉGICA 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CDE5" w:sz="1"/>
              <w:left w:val="single" w:color="BBCDE5" w:sz="1"/>
              <w:bottom w:val="single" w:color="BBCDE5" w:sz="1"/>
              <w:right w:val="single" w:color="BBCDE5" w:sz="1"/>
            </w:tcBorders>
            <w:shd w:fill="D6E4F7" w:val="clear"/>
            <w:tcMar>
              <w:top w:type="dxa" w:w="120"/>
              <w:left w:type="dxa" w:w="200"/>
              <w:bottom w:type="dxa" w:w="120"/>
              <w:right w:type="dxa" w:w="120"/>
            </w:tcMar>
          </w:tcPr>
          <w:p>
            <w:r>
              <w:rPr>
                <w:rFonts w:ascii="Arial" w:cs="Arial" w:eastAsia="Arial" w:hAnsi="Arial"/>
                <w:b w:val="false"/>
                <w:bCs w:val="false"/>
                <w:color w:val="2C3E50"/>
                <w:sz w:val="19"/>
                <w:szCs w:val="19"/>
              </w:rPr>
              <w:t xml:space="preserve">📋 DATAPOLIS como el estándar de inteligencia territorial aumentada en América Latina, con el PAE M11 como el motor analítico que ningún competidor ha logrado replicar — porque ningún otro sistema integra análisis precesional sistémico con datos operativos reales de copropiedades, valorización financiera e inteligencia geoespacial en una sola plataforma.</w:t>
            </w:r>
          </w:p>
        </w:tc>
      </w:tr>
    </w:tbl>
    <w:p>
      <w:pPr>
        <w:spacing w:before="80" w:after="80"/>
      </w:pPr>
      <w:r>
        <w:t xml:space="preserve"/>
      </w:r>
    </w:p>
    <w:p>
      <w:pPr>
        <w:spacing w:before="80" w:after="120"/>
      </w:pPr>
      <w:r>
        <w:rPr>
          <w:rFonts w:ascii="Arial" w:cs="Arial" w:eastAsia="Arial" w:hAnsi="Arial"/>
          <w:sz w:val="20"/>
          <w:szCs w:val="20"/>
        </w:rPr>
        <w:t xml:space="preserve">La integración del PAE como capa transversal transforma la ecuación de valor de la industria: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900"/>
        <w:gridCol w:w="2100"/>
        <w:gridCol w:w="1060"/>
      </w:tblGrid>
      <w:tr>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Dimensión</w:t>
            </w:r>
          </w:p>
        </w:tc>
        <w:tc>
          <w:tcPr>
            <w:gridSpan w:val="1"/>
            <w:tcBorders>
              <w:top w:val="single" w:color="BBCDE5" w:sz="1"/>
              <w:left w:val="single" w:color="BBCDE5" w:sz="1"/>
              <w:bottom w:val="single" w:color="BBCDE5" w:sz="1"/>
              <w:right w:val="single" w:color="BBCDE5" w:sz="1"/>
            </w:tcBorders>
            <w:shd w:fill="0D7377"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Competencia LATAM</w:t>
            </w:r>
          </w:p>
        </w:tc>
        <w:tc>
          <w:tcPr>
            <w:gridSpan w:val="1"/>
            <w:tcBorders>
              <w:top w:val="single" w:color="BBCDE5" w:sz="1"/>
              <w:left w:val="single" w:color="BBCDE5" w:sz="1"/>
              <w:bottom w:val="single" w:color="BBCDE5" w:sz="1"/>
              <w:right w:val="single" w:color="BBCDE5" w:sz="1"/>
            </w:tcBorders>
            <w:shd w:fill="0D7377"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DATAPOLIS sin PAE</w:t>
            </w:r>
          </w:p>
        </w:tc>
        <w:tc>
          <w:tcPr>
            <w:gridSpan w:val="1"/>
            <w:tcBorders>
              <w:top w:val="single" w:color="BBCDE5" w:sz="1"/>
              <w:left w:val="single" w:color="BBCDE5" w:sz="1"/>
              <w:bottom w:val="single" w:color="BBCDE5" w:sz="1"/>
              <w:right w:val="single" w:color="BBCDE5" w:sz="1"/>
            </w:tcBorders>
            <w:shd w:fill="F4A261"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DATAPOLIS con PAE M11</w:t>
            </w:r>
          </w:p>
        </w:tc>
        <w:tc>
          <w:tcPr>
            <w:gridSpan w:val="1"/>
            <w:tcBorders>
              <w:top w:val="single" w:color="BBCDE5" w:sz="1"/>
              <w:left w:val="single" w:color="BBCDE5" w:sz="1"/>
              <w:bottom w:val="single" w:color="BBCDE5" w:sz="1"/>
              <w:right w:val="single" w:color="BBCDE5"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Ventaja</w:t>
            </w:r>
          </w:p>
        </w:tc>
      </w:tr>
      <w:tr>
        <w:tc>
          <w:tcPr>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Variables analizadas</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10–20</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30–50</w:t>
            </w:r>
          </w:p>
        </w:tc>
        <w:tc>
          <w:tcPr>
            <w:gridSpan w:val="1"/>
            <w:tcBorders>
              <w:top w:val="single" w:color="BBCDE5" w:sz="1"/>
              <w:left w:val="single" w:color="BBCDE5" w:sz="1"/>
              <w:bottom w:val="single" w:color="BBCDE5" w:sz="1"/>
              <w:right w:val="single" w:color="BBCDE5" w:sz="1"/>
            </w:tcBorders>
            <w:shd w:fill="FFF0E8" w:val="clear"/>
            <w:tcMar>
              <w:top w:type="dxa" w:w="80"/>
              <w:left w:type="dxa" w:w="120"/>
              <w:bottom w:type="dxa" w:w="80"/>
              <w:right w:type="dxa" w:w="120"/>
            </w:tcMar>
            <w:vAlign w:val="center"/>
          </w:tcPr>
          <w:p>
            <w:pPr>
              <w:jc w:val="left"/>
            </w:pPr>
            <w:r>
              <w:rPr>
                <w:rFonts w:ascii="Arial" w:cs="Arial" w:eastAsia="Arial" w:hAnsi="Arial"/>
                <w:b/>
                <w:bCs/>
                <w:color w:val="1B3A6B"/>
                <w:sz w:val="17"/>
                <w:szCs w:val="17"/>
              </w:rPr>
              <w:t xml:space="preserve">200+</w:t>
            </w:r>
          </w:p>
        </w:tc>
        <w:tc>
          <w:tcPr>
            <w:gridSpan w:val="1"/>
            <w:tcBorders>
              <w:top w:val="single" w:color="BBCDE5" w:sz="1"/>
              <w:left w:val="single" w:color="BBCDE5" w:sz="1"/>
              <w:bottom w:val="single" w:color="BBCDE5" w:sz="1"/>
              <w:right w:val="single" w:color="BBCDE5"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w:t>
            </w:r>
          </w:p>
        </w:tc>
      </w:tr>
      <w:tr>
        <w:tc>
          <w:tcPr>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Horizonte predictivo</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0–1 año</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1–3 años</w:t>
            </w:r>
          </w:p>
        </w:tc>
        <w:tc>
          <w:tcPr>
            <w:gridSpan w:val="1"/>
            <w:tcBorders>
              <w:top w:val="single" w:color="BBCDE5" w:sz="1"/>
              <w:left w:val="single" w:color="BBCDE5" w:sz="1"/>
              <w:bottom w:val="single" w:color="BBCDE5" w:sz="1"/>
              <w:right w:val="single" w:color="BBCDE5" w:sz="1"/>
            </w:tcBorders>
            <w:shd w:fill="FFF0E8" w:val="clear"/>
            <w:tcMar>
              <w:top w:type="dxa" w:w="80"/>
              <w:left w:type="dxa" w:w="120"/>
              <w:bottom w:type="dxa" w:w="80"/>
              <w:right w:type="dxa" w:w="120"/>
            </w:tcMar>
            <w:vAlign w:val="center"/>
          </w:tcPr>
          <w:p>
            <w:pPr>
              <w:jc w:val="left"/>
            </w:pPr>
            <w:r>
              <w:rPr>
                <w:rFonts w:ascii="Arial" w:cs="Arial" w:eastAsia="Arial" w:hAnsi="Arial"/>
                <w:b/>
                <w:bCs/>
                <w:color w:val="1B3A6B"/>
                <w:sz w:val="17"/>
                <w:szCs w:val="17"/>
              </w:rPr>
              <w:t xml:space="preserve">5–20 años</w:t>
            </w:r>
          </w:p>
        </w:tc>
        <w:tc>
          <w:tcPr>
            <w:gridSpan w:val="1"/>
            <w:tcBorders>
              <w:top w:val="single" w:color="BBCDE5" w:sz="1"/>
              <w:left w:val="single" w:color="BBCDE5" w:sz="1"/>
              <w:bottom w:val="single" w:color="BBCDE5" w:sz="1"/>
              <w:right w:val="single" w:color="BBCDE5"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w:t>
            </w:r>
          </w:p>
        </w:tc>
      </w:tr>
      <w:tr>
        <w:tc>
          <w:tcPr>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Precisión valorización</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40–55%</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55–65%</w:t>
            </w:r>
          </w:p>
        </w:tc>
        <w:tc>
          <w:tcPr>
            <w:gridSpan w:val="1"/>
            <w:tcBorders>
              <w:top w:val="single" w:color="BBCDE5" w:sz="1"/>
              <w:left w:val="single" w:color="BBCDE5" w:sz="1"/>
              <w:bottom w:val="single" w:color="BBCDE5" w:sz="1"/>
              <w:right w:val="single" w:color="BBCDE5" w:sz="1"/>
            </w:tcBorders>
            <w:shd w:fill="FFF0E8" w:val="clear"/>
            <w:tcMar>
              <w:top w:type="dxa" w:w="80"/>
              <w:left w:type="dxa" w:w="120"/>
              <w:bottom w:type="dxa" w:w="80"/>
              <w:right w:type="dxa" w:w="120"/>
            </w:tcMar>
            <w:vAlign w:val="center"/>
          </w:tcPr>
          <w:p>
            <w:pPr>
              <w:jc w:val="left"/>
            </w:pPr>
            <w:r>
              <w:rPr>
                <w:rFonts w:ascii="Arial" w:cs="Arial" w:eastAsia="Arial" w:hAnsi="Arial"/>
                <w:b/>
                <w:bCs/>
                <w:color w:val="1B3A6B"/>
                <w:sz w:val="17"/>
                <w:szCs w:val="17"/>
              </w:rPr>
              <w:t xml:space="preserve">75–88%</w:t>
            </w:r>
          </w:p>
        </w:tc>
        <w:tc>
          <w:tcPr>
            <w:gridSpan w:val="1"/>
            <w:tcBorders>
              <w:top w:val="single" w:color="BBCDE5" w:sz="1"/>
              <w:left w:val="single" w:color="BBCDE5" w:sz="1"/>
              <w:bottom w:val="single" w:color="BBCDE5" w:sz="1"/>
              <w:right w:val="single" w:color="BBCDE5"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w:t>
            </w:r>
          </w:p>
        </w:tc>
      </w:tr>
      <w:tr>
        <w:tc>
          <w:tcPr>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Leyes integradas</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2–5</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25+</w:t>
            </w:r>
          </w:p>
        </w:tc>
        <w:tc>
          <w:tcPr>
            <w:gridSpan w:val="1"/>
            <w:tcBorders>
              <w:top w:val="single" w:color="BBCDE5" w:sz="1"/>
              <w:left w:val="single" w:color="BBCDE5" w:sz="1"/>
              <w:bottom w:val="single" w:color="BBCDE5" w:sz="1"/>
              <w:right w:val="single" w:color="BBCDE5" w:sz="1"/>
            </w:tcBorders>
            <w:shd w:fill="FFF0E8" w:val="clear"/>
            <w:tcMar>
              <w:top w:type="dxa" w:w="80"/>
              <w:left w:type="dxa" w:w="120"/>
              <w:bottom w:type="dxa" w:w="80"/>
              <w:right w:type="dxa" w:w="120"/>
            </w:tcMar>
            <w:vAlign w:val="center"/>
          </w:tcPr>
          <w:p>
            <w:pPr>
              <w:jc w:val="left"/>
            </w:pPr>
            <w:r>
              <w:rPr>
                <w:rFonts w:ascii="Arial" w:cs="Arial" w:eastAsia="Arial" w:hAnsi="Arial"/>
                <w:b/>
                <w:bCs/>
                <w:color w:val="1B3A6B"/>
                <w:sz w:val="17"/>
                <w:szCs w:val="17"/>
              </w:rPr>
              <w:t xml:space="preserve">25+ con predicción</w:t>
            </w:r>
          </w:p>
        </w:tc>
        <w:tc>
          <w:tcPr>
            <w:gridSpan w:val="1"/>
            <w:tcBorders>
              <w:top w:val="single" w:color="BBCDE5" w:sz="1"/>
              <w:left w:val="single" w:color="BBCDE5" w:sz="1"/>
              <w:bottom w:val="single" w:color="BBCDE5" w:sz="1"/>
              <w:right w:val="single" w:color="BBCDE5"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w:t>
            </w:r>
          </w:p>
        </w:tc>
      </w:tr>
      <w:tr>
        <w:tc>
          <w:tcPr>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Costo LLM mensual</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USD 500–5K/mes</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$0 (Ollama)</w:t>
            </w:r>
          </w:p>
        </w:tc>
        <w:tc>
          <w:tcPr>
            <w:gridSpan w:val="1"/>
            <w:tcBorders>
              <w:top w:val="single" w:color="BBCDE5" w:sz="1"/>
              <w:left w:val="single" w:color="BBCDE5" w:sz="1"/>
              <w:bottom w:val="single" w:color="BBCDE5" w:sz="1"/>
              <w:right w:val="single" w:color="BBCDE5" w:sz="1"/>
            </w:tcBorders>
            <w:shd w:fill="FFF0E8" w:val="clear"/>
            <w:tcMar>
              <w:top w:type="dxa" w:w="80"/>
              <w:left w:type="dxa" w:w="120"/>
              <w:bottom w:type="dxa" w:w="80"/>
              <w:right w:type="dxa" w:w="120"/>
            </w:tcMar>
            <w:vAlign w:val="center"/>
          </w:tcPr>
          <w:p>
            <w:pPr>
              <w:jc w:val="left"/>
            </w:pPr>
            <w:r>
              <w:rPr>
                <w:rFonts w:ascii="Arial" w:cs="Arial" w:eastAsia="Arial" w:hAnsi="Arial"/>
                <w:b/>
                <w:bCs/>
                <w:color w:val="1B3A6B"/>
                <w:sz w:val="17"/>
                <w:szCs w:val="17"/>
              </w:rPr>
              <w:t xml:space="preserve">$0 (Ollama)</w:t>
            </w:r>
          </w:p>
        </w:tc>
        <w:tc>
          <w:tcPr>
            <w:gridSpan w:val="1"/>
            <w:tcBorders>
              <w:top w:val="single" w:color="BBCDE5" w:sz="1"/>
              <w:left w:val="single" w:color="BBCDE5" w:sz="1"/>
              <w:bottom w:val="single" w:color="BBCDE5" w:sz="1"/>
              <w:right w:val="single" w:color="BBCDE5"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w:t>
            </w:r>
          </w:p>
        </w:tc>
      </w:tr>
      <w:tr>
        <w:tc>
          <w:tcPr>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Análisis precesional</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No existe</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Parcial</w:t>
            </w:r>
          </w:p>
        </w:tc>
        <w:tc>
          <w:tcPr>
            <w:gridSpan w:val="1"/>
            <w:tcBorders>
              <w:top w:val="single" w:color="BBCDE5" w:sz="1"/>
              <w:left w:val="single" w:color="BBCDE5" w:sz="1"/>
              <w:bottom w:val="single" w:color="BBCDE5" w:sz="1"/>
              <w:right w:val="single" w:color="BBCDE5" w:sz="1"/>
            </w:tcBorders>
            <w:shd w:fill="FFF0E8" w:val="clear"/>
            <w:tcMar>
              <w:top w:type="dxa" w:w="80"/>
              <w:left w:type="dxa" w:w="120"/>
              <w:bottom w:type="dxa" w:w="80"/>
              <w:right w:type="dxa" w:w="120"/>
            </w:tcMar>
            <w:vAlign w:val="center"/>
          </w:tcPr>
          <w:p>
            <w:pPr>
              <w:jc w:val="left"/>
            </w:pPr>
            <w:r>
              <w:rPr>
                <w:rFonts w:ascii="Arial" w:cs="Arial" w:eastAsia="Arial" w:hAnsi="Arial"/>
                <w:b/>
                <w:bCs/>
                <w:color w:val="1B3A6B"/>
                <w:sz w:val="17"/>
                <w:szCs w:val="17"/>
              </w:rPr>
              <w:t xml:space="preserve">Completo (200+ var.)</w:t>
            </w:r>
          </w:p>
        </w:tc>
        <w:tc>
          <w:tcPr>
            <w:gridSpan w:val="1"/>
            <w:tcBorders>
              <w:top w:val="single" w:color="BBCDE5" w:sz="1"/>
              <w:left w:val="single" w:color="BBCDE5" w:sz="1"/>
              <w:bottom w:val="single" w:color="BBCDE5" w:sz="1"/>
              <w:right w:val="single" w:color="BBCDE5"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w:t>
            </w:r>
          </w:p>
        </w:tc>
      </w:tr>
      <w:tr>
        <w:tc>
          <w:tcPr>
            <w:gridSpan w:val="1"/>
            <w:tcBorders>
              <w:top w:val="single" w:color="BBCDE5" w:sz="1"/>
              <w:left w:val="single" w:color="BBCDE5" w:sz="1"/>
              <w:bottom w:val="single" w:color="BBCDE5" w:sz="1"/>
              <w:right w:val="single" w:color="BBCDE5" w:sz="1"/>
            </w:tcBorders>
            <w:shd w:fill="D6E4F7" w:val="clear"/>
            <w:tcMar>
              <w:top w:type="dxa" w:w="80"/>
              <w:left w:type="dxa" w:w="120"/>
              <w:bottom w:type="dxa" w:w="80"/>
              <w:right w:type="dxa" w:w="120"/>
            </w:tcMar>
            <w:vAlign w:val="center"/>
          </w:tcPr>
          <w:p>
            <w:pPr>
              <w:jc w:val="left"/>
            </w:pPr>
            <w:r>
              <w:rPr>
                <w:rFonts w:ascii="Arial" w:cs="Arial" w:eastAsia="Arial" w:hAnsi="Arial"/>
                <w:b/>
                <w:bCs/>
                <w:color w:val="2C3E50"/>
                <w:sz w:val="17"/>
                <w:szCs w:val="17"/>
              </w:rPr>
              <w:t xml:space="preserve">Municipios alcanzables</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Limitado</w:t>
            </w:r>
          </w:p>
        </w:tc>
        <w:tc>
          <w:tcPr>
            <w:gridSpan w:val="1"/>
            <w:tcBorders>
              <w:top w:val="single" w:color="BBCDE5" w:sz="1"/>
              <w:left w:val="single" w:color="BBCDE5" w:sz="1"/>
              <w:bottom w:val="single" w:color="BBCDE5" w:sz="1"/>
              <w:right w:val="single" w:color="BBCDE5"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C3E50"/>
                <w:sz w:val="17"/>
                <w:szCs w:val="17"/>
              </w:rPr>
              <w:t xml:space="preserve">Regional</w:t>
            </w:r>
          </w:p>
        </w:tc>
        <w:tc>
          <w:tcPr>
            <w:gridSpan w:val="1"/>
            <w:tcBorders>
              <w:top w:val="single" w:color="BBCDE5" w:sz="1"/>
              <w:left w:val="single" w:color="BBCDE5" w:sz="1"/>
              <w:bottom w:val="single" w:color="BBCDE5" w:sz="1"/>
              <w:right w:val="single" w:color="BBCDE5" w:sz="1"/>
            </w:tcBorders>
            <w:shd w:fill="FFF0E8" w:val="clear"/>
            <w:tcMar>
              <w:top w:type="dxa" w:w="80"/>
              <w:left w:type="dxa" w:w="120"/>
              <w:bottom w:type="dxa" w:w="80"/>
              <w:right w:type="dxa" w:w="120"/>
            </w:tcMar>
            <w:vAlign w:val="center"/>
          </w:tcPr>
          <w:p>
            <w:pPr>
              <w:jc w:val="left"/>
            </w:pPr>
            <w:r>
              <w:rPr>
                <w:rFonts w:ascii="Arial" w:cs="Arial" w:eastAsia="Arial" w:hAnsi="Arial"/>
                <w:b/>
                <w:bCs/>
                <w:color w:val="1B3A6B"/>
                <w:sz w:val="17"/>
                <w:szCs w:val="17"/>
              </w:rPr>
              <w:t xml:space="preserve">346 (Chile) + LATAM</w:t>
            </w:r>
          </w:p>
        </w:tc>
        <w:tc>
          <w:tcPr>
            <w:gridSpan w:val="1"/>
            <w:tcBorders>
              <w:top w:val="single" w:color="BBCDE5" w:sz="1"/>
              <w:left w:val="single" w:color="BBCDE5" w:sz="1"/>
              <w:bottom w:val="single" w:color="BBCDE5" w:sz="1"/>
              <w:right w:val="single" w:color="BBCDE5" w:sz="1"/>
            </w:tcBorders>
            <w:shd w:fill="D4EDDA" w:val="clear"/>
            <w:tcMar>
              <w:top w:type="dxa" w:w="80"/>
              <w:left w:type="dxa" w:w="120"/>
              <w:bottom w:type="dxa" w:w="80"/>
              <w:right w:type="dxa" w:w="120"/>
            </w:tcMar>
            <w:vAlign w:val="center"/>
          </w:tcPr>
          <w:p>
            <w:pPr>
              <w:jc w:val="center"/>
            </w:pPr>
            <w:r>
              <w:rPr>
                <w:rFonts w:ascii="Arial" w:cs="Arial" w:eastAsia="Arial" w:hAnsi="Arial"/>
                <w:b w:val="false"/>
                <w:bCs w:val="false"/>
                <w:color w:val="2C3E50"/>
                <w:sz w:val="18"/>
                <w:szCs w:val="18"/>
              </w:rPr>
              <w:t xml:space="preserve">★★★★★</w:t>
            </w:r>
          </w:p>
        </w:tc>
      </w:tr>
    </w:tbl>
    <w:p>
      <w:pPr>
        <w:spacing w:before="80" w:after="80"/>
      </w:pPr>
      <w:r>
        <w:t xml:space="preserve"/>
      </w:r>
    </w:p>
    <w:p>
      <w:pPr>
        <w:spacing w:before="300" w:after="200"/>
        <w:jc w:val="center"/>
      </w:pPr>
      <w:r>
        <w:rPr>
          <w:rFonts w:ascii="Arial" w:cs="Arial" w:eastAsia="Arial" w:hAnsi="Arial"/>
          <w:color w:val="6C757D"/>
          <w:sz w:val="18"/>
          <w:szCs w:val="18"/>
        </w:rPr>
        <w:t xml:space="preserve">© 2026 DATAPOLIS SpA · Santiago, Chile</w:t>
      </w:r>
    </w:p>
    <w:p>
      <w:pPr>
        <w:jc w:val="center"/>
      </w:pPr>
      <w:r>
        <w:rPr>
          <w:rFonts w:ascii="Arial" w:cs="Arial" w:eastAsia="Arial" w:hAnsi="Arial"/>
          <w:b/>
          <w:bCs/>
          <w:i/>
          <w:iCs/>
          <w:color w:val="1B3A6B"/>
          <w:sz w:val="22"/>
          <w:szCs w:val="22"/>
        </w:rPr>
        <w:t xml:space="preserve">« Weniger, aber besser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4"/>
      </w:pBdr>
      <w:jc w:val="right"/>
    </w:pPr>
    <w:r>
      <w:rPr>
        <w:rFonts w:ascii="Arial" w:cs="Arial" w:eastAsia="Arial" w:hAnsi="Arial"/>
        <w:color w:val="6C757D"/>
        <w:sz w:val="16"/>
        <w:szCs w:val="16"/>
      </w:rPr>
      <w:t xml:space="preserve">© 2026 DATAPOLIS SpA  ·  Confidencial  ·  Pág. </w:t>
    </w:r>
    <w:r>
      <w:rPr>
        <w:rFonts w:ascii="Arial" w:cs="Arial" w:eastAsia="Arial" w:hAnsi="Arial"/>
        <w:color w:val="6C757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pPr>
    <w:r>
      <w:rPr>
        <w:rFonts w:ascii="Arial" w:cs="Arial" w:eastAsia="Arial" w:hAnsi="Arial"/>
        <w:color w:val="6C757D"/>
        <w:sz w:val="16"/>
        <w:szCs w:val="16"/>
      </w:rPr>
      <w:t xml:space="preserve">DATAPOLIS SpA  ·  PAE M11 — Precession Analytics Engine  ·  Diagnóstico Integral v4.0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0D7377"/>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2026-02-26T19:45:10.447Z</dcterms:created>
  <dcterms:modified xsi:type="dcterms:W3CDTF">2026-02-26T19:45:10.448Z</dcterms:modified>
</cp:coreProperties>
</file>

<file path=docProps/custom.xml><?xml version="1.0" encoding="utf-8"?>
<Properties xmlns="http://schemas.openxmlformats.org/officeDocument/2006/custom-properties" xmlns:vt="http://schemas.openxmlformats.org/officeDocument/2006/docPropsVTypes"/>
</file>