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before="0"/>
        <w:jc w:val="center"/>
      </w:pPr>
      <w:r>
        <w:rPr>
          <w:rFonts w:ascii="Arial" w:cs="Arial" w:eastAsia="Arial" w:hAnsi="Arial"/>
          <w:b/>
          <w:bCs/>
          <w:color w:val="999999"/>
          <w:sz w:val="28"/>
          <w:szCs w:val="28"/>
        </w:rPr>
        <w:t xml:space="preserve">DATAPOLIS SpA</w:t>
      </w:r>
    </w:p>
    <w:p>
      <w:pPr>
        <w:spacing w:after="400"/>
      </w:pPr>
    </w:p>
    <w:p>
      <w:pPr>
        <w:spacing w:after="120" w:before="0"/>
        <w:jc w:val="center"/>
      </w:pPr>
      <w:r>
        <w:rPr>
          <w:rFonts w:ascii="Arial" w:cs="Arial" w:eastAsia="Arial" w:hAnsi="Arial"/>
          <w:b/>
          <w:bCs/>
          <w:color w:val="1A1A1A"/>
          <w:sz w:val="52"/>
          <w:szCs w:val="52"/>
        </w:rPr>
        <w:t xml:space="preserve">INTEGACIÓN PAE M11</w:t>
      </w:r>
    </w:p>
    <w:p>
      <w:pPr>
        <w:spacing w:after="120" w:before="0"/>
        <w:jc w:val="center"/>
      </w:pPr>
      <w:r>
        <w:rPr>
          <w:rFonts w:ascii="Arial" w:cs="Arial" w:eastAsia="Arial" w:hAnsi="Arial"/>
          <w:b/>
          <w:bCs/>
          <w:color w:val="C8A14E"/>
          <w:sz w:val="36"/>
          <w:szCs w:val="36"/>
        </w:rPr>
        <w:t xml:space="preserve">PRECESSION ANALYTICS ENGINE</w:t>
      </w:r>
    </w:p>
    <w:p>
      <w:pPr>
        <w:spacing w:after="200"/>
      </w:pPr>
    </w:p>
    <w:p>
      <w:pPr>
        <w:spacing w:after="120" w:before="0"/>
        <w:jc w:val="center"/>
      </w:pPr>
      <w:r>
        <w:rPr>
          <w:rFonts w:ascii="Arial" w:cs="Arial" w:eastAsia="Arial" w:hAnsi="Arial"/>
          <w:i/>
          <w:iCs/>
          <w:color w:val="666666"/>
          <w:sz w:val="26"/>
          <w:szCs w:val="26"/>
        </w:rPr>
        <w:t xml:space="preserve">Motor de Inteligencia Aumentada Integrado</w:t>
      </w:r>
    </w:p>
    <w:p>
      <w:pPr>
        <w:spacing w:after="120" w:before="0"/>
        <w:jc w:val="center"/>
      </w:pPr>
      <w:r>
        <w:rPr>
          <w:rFonts w:ascii="Arial" w:cs="Arial" w:eastAsia="Arial" w:hAnsi="Arial"/>
          <w:color w:val="666666"/>
          <w:sz w:val="22"/>
          <w:szCs w:val="22"/>
        </w:rPr>
        <w:t xml:space="preserve">Análisis de Modificaciones, Ajustes y Proyecciones Sistémicas Globales</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Versión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Fecha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24 de Febrero de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Autor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Daniel / DATAPOLIS SpA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Clasificación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Estratégico — Inversores + Equipo Técnico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Plataformas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DATAPOLIS v3.0 + ÁGORA v4.0 + Multi-Agent IA v2.0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Chat Origen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Precesión: análisis multidimensional</w:t>
            </w:r>
          </w:p>
        </w:tc>
      </w:tr>
    </w:tbl>
    <w:p>
      <w:pPr>
        <w:spacing w:after="400"/>
      </w:pPr>
    </w:p>
    <w:p>
      <w:pPr>
        <w:spacing w:after="120" w:before="0"/>
        <w:jc w:val="center"/>
      </w:pPr>
      <w:r>
        <w:rPr>
          <w:rFonts w:ascii="Arial" w:cs="Arial" w:eastAsia="Arial" w:hAnsi="Arial"/>
          <w:i/>
          <w:iCs/>
          <w:color w:val="999999"/>
          <w:sz w:val="20"/>
          <w:szCs w:val="20"/>
        </w:rPr>
        <w:t xml:space="preserve">Weniger, aber besser</w:t>
      </w:r>
    </w:p>
    <w:p>
      <w:r>
        <w:br w:type="page"/>
      </w:r>
    </w:p>
    <w:p>
      <w:pPr>
        <w:pStyle w:val="Heading1"/>
      </w:pPr>
      <w:r>
        <w:t xml:space="preserve">1.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14E" w:sz="3"/>
              <w:left w:val="single" w:color="C8A14E" w:sz="3"/>
              <w:bottom w:val="none" w:sz="0"/>
              <w:right w:val="none" w:sz="0"/>
            </w:tcBorders>
            <w:shd w:fill="FFF8E7" w:val="clear"/>
            <w:tcMar>
              <w:top w:type="dxa" w:w="120"/>
              <w:left w:type="dxa" w:w="200"/>
              <w:bottom w:type="dxa" w:w="120"/>
              <w:right w:type="dxa" w:w="200"/>
            </w:tcMar>
          </w:tcPr>
          <w:p>
            <w:pPr>
              <w:spacing w:after="120" w:before="0"/>
              <w:jc w:val="left"/>
            </w:pPr>
            <w:r>
              <w:rPr>
                <w:rFonts w:ascii="Arial" w:cs="Arial" w:eastAsia="Arial" w:hAnsi="Arial"/>
                <w:i/>
                <w:iCs/>
                <w:color w:val="7B6B3A"/>
                <w:sz w:val="22"/>
                <w:szCs w:val="22"/>
              </w:rPr>
              <w:t xml:space="preserve">Este documento analiza la integración completa del PAE M11 (Precession Analytics Engine) como motor transversal de inteligencia aumentada del ecosistema DATAPOLIS, evaluando modificaciones críticas, ajustes arquitectónicos y proyecciones sistémicas globales derivadas de su posicionamiento como plataforma de análisis predictivo única en América Latina.</w:t>
            </w:r>
          </w:p>
        </w:tc>
      </w:tr>
    </w:tbl>
    <w:p>
      <w:pPr>
        <w:spacing w:after="200"/>
      </w:pPr>
    </w:p>
    <w:p>
      <w:pPr>
        <w:pStyle w:val="Heading2"/>
      </w:pPr>
      <w:r>
        <w:t xml:space="preserve">1.1 Contexto de Integración</w:t>
      </w:r>
    </w:p>
    <w:p>
      <w:pPr>
        <w:spacing w:after="120" w:before="0"/>
        <w:jc w:val="left"/>
      </w:pPr>
      <w:r>
        <w:rPr>
          <w:rFonts w:ascii="Arial" w:cs="Arial" w:eastAsia="Arial" w:hAnsi="Arial"/>
          <w:color w:val="3D3D3D"/>
          <w:sz w:val="22"/>
          <w:szCs w:val="22"/>
        </w:rPr>
        <w:t xml:space="preserve">El PAE M11 fue conceptualizado en el chat «Precesión: análisis multidimensional y aplicaciones territoriales» como una transposición computacional de la teoría de precesión sistémica de R. Buckminster Fuller al análisis territorial. La arquitectura evolucionó de un core centralizado a cores independientes (M11-DP en PHP nativo + M11-AG en Python nativo) sincronizados vía Event Bus. Los tres archivos adjuntos representan el estado actual consolidado: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Archivo</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Contenido</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Rol en Integración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Landing v3 Rams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HTML ecosistema completo: 5 plataformas, 60+ módulos, arquitectura 5 capas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Capa de presentación y posicionamiento comercial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Spec Técnica M11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Especificación completa: Graph Engine, Spatial Engine, ML Engine, modelo datos, caso Pudahuel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Core técnico del motor predictivo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Prompts Impl.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 prompts secuenciales (A-G) + checklists + prompts de rectificación H-I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Guía operativa de implementación</w:t>
            </w:r>
          </w:p>
        </w:tc>
      </w:tr>
    </w:tbl>
    <w:p>
      <w:pPr>
        <w:spacing w:after="200"/>
      </w:pPr>
    </w:p>
    <w:p>
      <w:pPr>
        <w:pStyle w:val="Heading2"/>
      </w:pPr>
      <w:r>
        <w:t xml:space="preserve">1.2 Hallazgos Principales</w:t>
      </w:r>
    </w:p>
    <w:p>
      <w:pPr>
        <w:spacing w:after="120" w:before="0"/>
        <w:jc w:val="left"/>
      </w:pPr>
      <w:r>
        <w:rPr>
          <w:rFonts w:ascii="Arial" w:cs="Arial" w:eastAsia="Arial" w:hAnsi="Arial"/>
          <w:color w:val="3D3D3D"/>
          <w:sz w:val="22"/>
          <w:szCs w:val="22"/>
        </w:rPr>
        <w:t xml:space="preserve">Del análisis cruzado de los tres documentos con el contexto del chat original y la evolución arquitectónica documentada, se identifican 14 modificaciones críticas, 8 ajustes de optimización, y 6 oportunidades estratégicas emergentes que transforman el PAE de motor predictivo a plataforma de inteligencia aumentada.</w:t>
      </w:r>
    </w:p>
    <w:p>
      <w:r>
        <w:br w:type="page"/>
      </w:r>
    </w:p>
    <w:p>
      <w:pPr>
        <w:pStyle w:val="Heading1"/>
      </w:pPr>
      <w:r>
        <w:t xml:space="preserve">2. ANÁLISIS DE COHERENCIA ENTRE DOCUMENTOS</w:t>
      </w:r>
    </w:p>
    <w:p>
      <w:pPr>
        <w:spacing w:after="120" w:before="0"/>
        <w:jc w:val="left"/>
      </w:pPr>
      <w:r>
        <w:rPr>
          <w:rFonts w:ascii="Arial" w:cs="Arial" w:eastAsia="Arial" w:hAnsi="Arial"/>
          <w:color w:val="3D3D3D"/>
          <w:sz w:val="22"/>
          <w:szCs w:val="22"/>
        </w:rPr>
        <w:t xml:space="preserve">Evaluación sistémica de consistencia entre los tres archivos y el contexto del chat de precesión original, identificando discrepancias, brechas y oportunidades de sincronización.</w:t>
      </w:r>
    </w:p>
    <w:p>
      <w:pPr>
        <w:spacing w:after="200"/>
      </w:pPr>
    </w:p>
    <w:p>
      <w:pPr>
        <w:pStyle w:val="Heading2"/>
      </w:pPr>
      <w:r>
        <w:t xml:space="preserve">2.1 Discrepancias Detectadas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049" w:sz="3"/>
              <w:left w:val="single" w:color="8B4049" w:sz="3"/>
              <w:bottom w:val="none" w:sz="0"/>
              <w:right w:val="none" w:sz="0"/>
            </w:tcBorders>
            <w:shd w:fill="FDE8E8" w:val="clear"/>
            <w:tcMar>
              <w:top w:type="dxa" w:w="120"/>
              <w:left w:type="dxa" w:w="200"/>
              <w:bottom w:type="dxa" w:w="120"/>
              <w:right w:type="dxa" w:w="200"/>
            </w:tcMar>
          </w:tcPr>
          <w:p>
            <w:pPr>
              <w:spacing w:after="120" w:before="0"/>
              <w:jc w:val="left"/>
            </w:pPr>
            <w:r>
              <w:rPr>
                <w:rFonts w:ascii="Arial" w:cs="Arial" w:eastAsia="Arial" w:hAnsi="Arial"/>
                <w:b/>
                <w:bCs/>
                <w:color w:val="8B4049"/>
                <w:sz w:val="22"/>
                <w:szCs w:val="22"/>
              </w:rPr>
              <w:t xml:space="preserve">MODIFICACIONES CRÍTICAS REQUERIDAS: Se detectan 7 inconsistencias entre documentos que requieren resolución inmediata para mantener integridad del ecosistema.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1800"/>
        <w:gridCol w:w="1960"/>
      </w:tblGrid>
      <w:tr>
        <w:tc>
          <w:tcPr>
            <w:tcW w:type="dxa" w:w="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Discrepancia</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Detalle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Impacto</w:t>
            </w:r>
          </w:p>
        </w:tc>
        <w:tc>
          <w:tcPr>
            <w:tcW w:type="dxa" w:w="1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Resolución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Arquitectura PAE en Spec vs Landing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Spec M11 §4 aún describe PrecessionService.php como cliente HTTP del PAE Core FastAPI. Landing ya refleja cores independientes. Los prompts de implementación A-C también usan arquitectura centralizada.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ALTO: Prompts generan código con dependencia externa que fue eliminada en rectificación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Actualizar Spec §4 y Prompts A-C para reflejar M11-DP PHP nativo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Numeración módulos PRO vs Valoriz.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Landing muestra M09 Tributario en PRO, Spec muestra M04 Tributario en integración PAE. Tabla §4.2 usa M04-M16, pero PRO usa M09-M17.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MEDIO: Confusión en mapeo de integraciones PAE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Unificar numeración: PRO=M01-M17, Valoriz.=VM00-VM17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Conteo módulos totales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Landing dice 60+. PRO=17 + Valoriz.=22 + ÁGORA=8 + IA=13 = 60. Pero PAE M11 es transversal y no está contado separadamente.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BAJO: Métrica de marketing vs técnica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Actualizar a 61+ incluyendo PAE explícitamente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Spec §3.1 diagrama arquitectónico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Diagrama ASCII muestra Multi-Agent como capa intermedia con PAE Core centralizado. Ya no corresponde a cores independientes.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ALTO: Diagrama desinforma arquitectura real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Regenerar diagrama con M11-DP y M11-AG separados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Prompts D-F refieren Multi-Agent como dependencia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Prompt D instruye implementar PAE como parte del Multi-Agent System. Con cores independientes, PAE es nativo de ÁGORA.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ALTO: Prompts generan arquitectura incorrecta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Reescribir Prompts D-F para PAE nativo ÁGORA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Caso Pudahuel: datos de inversión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Spec §6 muestra UF 12.5M inversión. No hay actualización post-Diagnóstico Estratégico CEPAL-UN.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MEDIO: Cifras pueden variar con datos actualizados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Recalibrar con datos CEPAL-UN actualizados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ML Models: accuracy estimada vs validada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Spec muestra 75-88% precisión pero es estimada. No hay pipeline de validación documentado.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ALTO: Claims de precisión sin metodología de validación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Agregar sección de validación y backtesting</w:t>
            </w:r>
          </w:p>
        </w:tc>
      </w:tr>
    </w:tbl>
    <w:p>
      <w:pPr>
        <w:spacing w:after="200"/>
      </w:pPr>
    </w:p>
    <w:p>
      <w:pPr>
        <w:pStyle w:val="Heading2"/>
      </w:pPr>
      <w:r>
        <w:t xml:space="preserve">2.2 Coherencias Confirmadas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7A5F" w:sz="3"/>
              <w:left w:val="single" w:color="3D7A5F" w:sz="3"/>
              <w:bottom w:val="none" w:sz="0"/>
              <w:right w:val="none" w:sz="0"/>
            </w:tcBorders>
            <w:shd w:fill="E8F5EE" w:val="clear"/>
            <w:tcMar>
              <w:top w:type="dxa" w:w="120"/>
              <w:left w:type="dxa" w:w="200"/>
              <w:bottom w:type="dxa" w:w="120"/>
              <w:right w:type="dxa" w:w="200"/>
            </w:tcMar>
          </w:tcPr>
          <w:p>
            <w:pPr>
              <w:spacing w:after="120" w:before="0"/>
              <w:jc w:val="left"/>
            </w:pPr>
            <w:r>
              <w:rPr>
                <w:rFonts w:ascii="Arial" w:cs="Arial" w:eastAsia="Arial" w:hAnsi="Arial"/>
                <w:color w:val="3D7A5F"/>
                <w:sz w:val="22"/>
                <w:szCs w:val="22"/>
              </w:rPr>
              <w:t xml:space="preserve">ELEMENTOS CONSISTENTES: 12 aspectos mantienen coherencia total entre documentos, landing y chat original.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960"/>
        <w:gridCol w:w="3000"/>
      </w:tblGrid>
      <w:tr>
        <w:tc>
          <w:tcPr>
            <w:tcW w:type="dxa" w:w="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Elemento</w:t>
            </w:r>
          </w:p>
        </w:tc>
        <w:tc>
          <w:tcPr>
            <w:tcW w:type="dxa" w:w="2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Estado</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Verificación</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C1</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Teoría de precesión Fuller</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 Consistente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Misma base teórica en Spec, Landing y chat</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C2</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Ángulos precesionales 0°-180°</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 Consistente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5 niveles idénticos en todos los documentos</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C3</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Stack tecnológico</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 Consistente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Laravel 11 + FastAPI + PostGIS + Ollama</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C4</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Event Bus pub/sub</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 Consistente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Mismo patrón en Spec, Prompts y Landing</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C5</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Multiplicador 4.76x Pudahuel</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 Consistente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Valor idéntico en Landing y Spec §6</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C6</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25+ leyes integradas</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 Consistente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Catálogo normativo completo en Landing</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C7</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Modelo de negocio PAE (6 productos)</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 Consistente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Municipal, Inversores, Condominios, Gobierno, API, Académico</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C8</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Roadmap 5 fases / 24 meses</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 Consistente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500K inversión total proyectada</w:t>
            </w:r>
          </w:p>
        </w:tc>
      </w:tr>
    </w:tbl>
    <w:p>
      <w:r>
        <w:br w:type="page"/>
      </w:r>
    </w:p>
    <w:p>
      <w:pPr>
        <w:pStyle w:val="Heading1"/>
      </w:pPr>
      <w:r>
        <w:t xml:space="preserve">3. MODIFICACIONES CRÍTICAS AL ECOSISTEMA</w:t>
      </w:r>
    </w:p>
    <w:p>
      <w:pPr>
        <w:spacing w:after="120" w:before="0"/>
        <w:jc w:val="left"/>
      </w:pPr>
      <w:r>
        <w:rPr>
          <w:rFonts w:ascii="Arial" w:cs="Arial" w:eastAsia="Arial" w:hAnsi="Arial"/>
          <w:color w:val="3D3D3D"/>
          <w:sz w:val="22"/>
          <w:szCs w:val="22"/>
        </w:rPr>
        <w:t xml:space="preserve">Ajustes necesarios para que el PAE M11 funcione como motor de inteligencia aumentada integrado a todos los módulos, generando proyecciones sistémicas globales.</w:t>
      </w:r>
    </w:p>
    <w:p>
      <w:pPr>
        <w:spacing w:after="200"/>
      </w:pPr>
    </w:p>
    <w:p>
      <w:pPr>
        <w:pStyle w:val="Heading2"/>
      </w:pPr>
      <w:r>
        <w:t xml:space="preserve">3.1 Rectificación Arquitectónica Definitiva</w:t>
      </w:r>
    </w:p>
    <w:p>
      <w:pPr>
        <w:spacing w:after="120" w:before="0"/>
        <w:jc w:val="left"/>
      </w:pPr>
      <w:r>
        <w:rPr>
          <w:rFonts w:ascii="Arial" w:cs="Arial" w:eastAsia="Arial" w:hAnsi="Arial"/>
          <w:color w:val="3D3D3D"/>
          <w:sz w:val="22"/>
          <w:szCs w:val="22"/>
        </w:rPr>
        <w:t xml:space="preserve">La evolución documentada en el chat de precesión estableció la arquitectura híbrida de cores independientes con sincronización. Esta debe consolidarse como la úNICA arquitectura válida en todos los documentos: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14E" w:sz="3"/>
              <w:left w:val="single" w:color="C8A14E" w:sz="3"/>
              <w:bottom w:val="none" w:sz="0"/>
              <w:right w:val="none" w:sz="0"/>
            </w:tcBorders>
            <w:shd w:fill="FFF8E7" w:val="clear"/>
            <w:tcMar>
              <w:top w:type="dxa" w:w="120"/>
              <w:left w:type="dxa" w:w="200"/>
              <w:bottom w:type="dxa" w:w="120"/>
              <w:right w:type="dxa" w:w="200"/>
            </w:tcMar>
          </w:tcPr>
          <w:p>
            <w:pPr>
              <w:spacing w:after="120" w:before="0"/>
              <w:jc w:val="left"/>
            </w:pPr>
            <w:r>
              <w:rPr>
                <w:rFonts w:ascii="Arial" w:cs="Arial" w:eastAsia="Arial" w:hAnsi="Arial"/>
                <w:i/>
                <w:iCs/>
                <w:color w:val="7B6B3A"/>
                <w:sz w:val="22"/>
                <w:szCs w:val="22"/>
              </w:rPr>
              <w:t xml:space="preserve">ARQUITECTURA DEFINITIVA: M11-DP (PHP nativo en Laravel 11) + M11-AG (Python nativo en FastAPI) + Sincronización Inteligente via Event Bus Redis. Cada core es autónomo. El Multi-Agent System consume PAE como servicio interno, NO lo contiene.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Componente</w:t>
            </w:r>
          </w:p>
        </w:tc>
        <w:tc>
          <w:tcPr>
            <w:tcW w:type="dxa" w:w="37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M11-DP (DATAPOLIS)</w:t>
            </w:r>
          </w:p>
        </w:tc>
        <w:tc>
          <w:tcPr>
            <w:tcW w:type="dxa" w:w="37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M11-AG (ÁGORA)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Lenguaje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PHP 8.3 nativo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Python 3.11 nativo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Framework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Laravel 11 Service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FastAPI Router/Service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Graph Engine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PHP con SplPriorityQueue + arrays asociativos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NetworkX + numpy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Scoring Engine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PHP nativo (cálculos financieros)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numpy + scipy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ML Engine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Ollama HTTP connector (inferencia)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sklearn, Prophet, XGBoost nativos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Spatial Engine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PostGIS via Eloquent/raw SQL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PostGIS via GeoAlchemy2 + Shapely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Alert Engine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PHP nativo + Laravel Notifications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Python nativo + Celery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Narrative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Ollama HTTP para texto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Ollama nativo + LangChain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Dominio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Copropiedades, compliance, tributario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Territorial, zonificación, plusvalías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Sincronización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Redis Event Bus publish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Redis Event Bus subscribe/publish</w:t>
            </w:r>
          </w:p>
        </w:tc>
      </w:tr>
    </w:tbl>
    <w:p>
      <w:pPr>
        <w:spacing w:after="200"/>
      </w:pPr>
    </w:p>
    <w:p>
      <w:pPr>
        <w:pStyle w:val="Heading2"/>
      </w:pPr>
      <w:r>
        <w:t xml:space="preserve">3.2 Nuevas Integraciones PAE → Módulos Faltantes</w:t>
      </w:r>
    </w:p>
    <w:p>
      <w:pPr>
        <w:spacing w:after="120" w:before="0"/>
        <w:jc w:val="left"/>
      </w:pPr>
      <w:r>
        <w:rPr>
          <w:rFonts w:ascii="Arial" w:cs="Arial" w:eastAsia="Arial" w:hAnsi="Arial"/>
          <w:color w:val="3D3D3D"/>
          <w:sz w:val="22"/>
          <w:szCs w:val="22"/>
        </w:rPr>
        <w:t xml:space="preserve">La Spec M11 documenta integración con 6 módulos PRO y 6 módulos ÁGORA. Sin embargo, el ecosistema actual tiene 60+ módulos. Se requiere expandir la cobertura del PAE para que sea verdaderamente transversal: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049" w:sz="3"/>
              <w:left w:val="single" w:color="8B4049" w:sz="3"/>
              <w:bottom w:val="none" w:sz="0"/>
              <w:right w:val="none" w:sz="0"/>
            </w:tcBorders>
            <w:shd w:fill="FDE8E8" w:val="clear"/>
            <w:tcMar>
              <w:top w:type="dxa" w:w="120"/>
              <w:left w:type="dxa" w:w="200"/>
              <w:bottom w:type="dxa" w:w="120"/>
              <w:right w:type="dxa" w:w="200"/>
            </w:tcMar>
          </w:tcPr>
          <w:p>
            <w:pPr>
              <w:spacing w:after="120" w:before="0"/>
              <w:jc w:val="left"/>
            </w:pPr>
            <w:r>
              <w:rPr>
                <w:rFonts w:ascii="Arial" w:cs="Arial" w:eastAsia="Arial" w:hAnsi="Arial"/>
                <w:b/>
                <w:bCs/>
                <w:color w:val="8B4049"/>
                <w:sz w:val="22"/>
                <w:szCs w:val="22"/>
              </w:rPr>
              <w:t xml:space="preserve">MÓDULOS SIN INTEGRACIÓN PAE DOCUMENTADA: 22 módulos de Valorización (VM00-VM17 + IE/MS/RR/M22) no tienen conexión PAE especificada. Esto representa el 36% del ecosistema sin capacidad precesional.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Módulo</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Nombre</w:t>
            </w:r>
          </w:p>
        </w:tc>
        <w:tc>
          <w:tcPr>
            <w:tcW w:type="dxa" w:w="2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Input al PAE</w:t>
            </w:r>
          </w:p>
        </w:tc>
        <w:tc>
          <w:tcPr>
            <w:tcW w:type="dxa" w:w="2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Output del PAE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Expediente Universal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Ficha inmobiliaria centralizada, historial transaccional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Scoring precesional del activo, alertas de transformación zona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Open Finance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Consentimientos, transacciones, datos financieros NCG 514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Predicción de riesgo crediticio ajustado por precesión territorial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Credit Scoring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PD, rating, score inmobiliario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Score ajustado por multiplicador precesional de zona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Supply Chain Finance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Factoring, confirming, scoring ESG proveedores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Riesgo cadena suministro por efectos precesionales en zona logística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Liquidación Patrimonial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Masa activa/pasiva, prelación acreedores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Valoración precesional de activos en liquidación (valor real vs fiscal)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Herencias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Masa hereditaria, tramos impositivos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Proyección valor precesional de bienes heredados a 5-20 años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Expropiaciones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Indemnización, avalúo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Indemnización justa incluyendo valor precesional no capturado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Due Diligence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Checklist legal/técnico/financiero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Due diligence precesional: riesgos y oportunidades sistémicos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Proyectos Inmob.</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VAN, TIR, Monte Carlo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VAN precesional: incluyendo externalidades +90° en flujos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VM17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GIRES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Alertas SENAPRED, zonas riesgo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Riesgo precesional de desastres: cascada de efectos post-evento</w:t>
            </w:r>
          </w:p>
        </w:tc>
      </w:tr>
    </w:tbl>
    <w:p>
      <w:pPr>
        <w:spacing w:after="200"/>
      </w:pPr>
    </w:p>
    <w:p>
      <w:pPr>
        <w:pStyle w:val="Heading2"/>
      </w:pPr>
      <w:r>
        <w:t xml:space="preserve">3.3 PAE como Capa de Inteligencia Aumentada</w:t>
      </w:r>
    </w:p>
    <w:p>
      <w:pPr>
        <w:spacing w:after="120" w:before="0"/>
        <w:jc w:val="left"/>
      </w:pPr>
      <w:r>
        <w:rPr>
          <w:rFonts w:ascii="Arial" w:cs="Arial" w:eastAsia="Arial" w:hAnsi="Arial"/>
          <w:color w:val="3D3D3D"/>
          <w:sz w:val="22"/>
          <w:szCs w:val="22"/>
        </w:rPr>
        <w:t xml:space="preserve">La transformación fundamental es posicionar al PAE no como un módulo más, sino como una CAPA TRANSVERSAL de inteligencia que aumenta la capacidad analítica de CADA módulo existente. Esto implica: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Nivel</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Función PAE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Efecto en Ecosistema</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Valor Agregado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Micro (Unidad)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Scoring precesional por copropiedad/activo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Cada activo tiene predicción de efectos indirectos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Diferenciación radical vs competidores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Meso (Zona)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Análisis precesional por zona/comuna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Zonas con mapas de calor de efectos futuros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Herramienta de planificación municipal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Macro (Territorio)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Proyección sistémica regional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Regiones con modelos de transformación a 20 años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Insumo para política pública nacional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Meta (Ecosistema)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Auto-calibración predictiva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El sistema aprende de sus propias predicciones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IA que mejora con el uso (flywheel data)</w:t>
            </w:r>
          </w:p>
        </w:tc>
      </w:tr>
    </w:tbl>
    <w:p>
      <w:r>
        <w:br w:type="page"/>
      </w:r>
    </w:p>
    <w:p>
      <w:pPr>
        <w:pStyle w:val="Heading1"/>
      </w:pPr>
      <w:r>
        <w:t xml:space="preserve">4. PROYECCIONES SISTÉMICAS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14E" w:sz="3"/>
              <w:left w:val="single" w:color="C8A14E" w:sz="3"/>
              <w:bottom w:val="none" w:sz="0"/>
              <w:right w:val="none" w:sz="0"/>
            </w:tcBorders>
            <w:shd w:fill="FFF8E7" w:val="clear"/>
            <w:tcMar>
              <w:top w:type="dxa" w:w="120"/>
              <w:left w:type="dxa" w:w="200"/>
              <w:bottom w:type="dxa" w:w="120"/>
              <w:right w:type="dxa" w:w="200"/>
            </w:tcMar>
          </w:tcPr>
          <w:p>
            <w:pPr>
              <w:spacing w:after="120" w:before="0"/>
              <w:jc w:val="left"/>
            </w:pPr>
            <w:r>
              <w:rPr>
                <w:rFonts w:ascii="Arial" w:cs="Arial" w:eastAsia="Arial" w:hAnsi="Arial"/>
                <w:i/>
                <w:iCs/>
                <w:color w:val="7B6B3A"/>
                <w:sz w:val="22"/>
                <w:szCs w:val="22"/>
              </w:rPr>
              <w:t xml:space="preserve">Análisis de la precesión del propio PAE: efectos indirectos (+90°) que genera la existencia de un motor predictivo precesional sobre el ecosistema DATAPOLIS y el mercado PropTech/GovTech latinoamericano.</w:t>
            </w:r>
          </w:p>
        </w:tc>
      </w:tr>
    </w:tbl>
    <w:p>
      <w:pPr>
        <w:spacing w:after="200"/>
      </w:pPr>
    </w:p>
    <w:p>
      <w:pPr>
        <w:pStyle w:val="Heading2"/>
      </w:pPr>
      <w:r>
        <w:t xml:space="preserve">4.1 Efectos Precesionales del PAE sobre DATAPOLIS</w:t>
      </w:r>
    </w:p>
    <w:p>
      <w:pPr>
        <w:spacing w:after="120" w:before="0"/>
        <w:jc w:val="left"/>
      </w:pPr>
      <w:r>
        <w:rPr>
          <w:rFonts w:ascii="Arial" w:cs="Arial" w:eastAsia="Arial" w:hAnsi="Arial"/>
          <w:color w:val="3D3D3D"/>
          <w:sz w:val="22"/>
          <w:szCs w:val="22"/>
        </w:rPr>
        <w:t xml:space="preserve">Aplicando la propia teoría del PAE a su posicionamiento estratégico: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1600"/>
        <w:gridCol w:w="1560"/>
      </w:tblGrid>
      <w:t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Ángulo</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Acción</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Efecto Precesional</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Horizonte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Probabilidad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Lanzamiento PAE como módulo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Revenue directo por suscripciones PAE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0-12 meses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95%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genera datos de predicción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Dataset propietario de efectos precesionales urbanos chilenos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6-18 meses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85%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Dataset atrae investigadores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Publicaciones académicas que validan el modelo = credibilidad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12-30 meses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Municipios adoptan PAE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DATAPOLIS se convierte en estándar de planificación urbana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18-36 meses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55%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Modelo precesional aplicado a LATAM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DATAPOLIS como referente regional en inteligencia territorial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24-48 meses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45%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Datos precesionales como commodity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Nuevo mercado de datos predictivos urbanos en Chile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36-60 meses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Regulación incorpora análisis precesional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Normativa exige evaluación de efectos indirectos en EIA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48-120 meses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20%</w:t>
            </w:r>
          </w:p>
        </w:tc>
      </w:tr>
    </w:tbl>
    <w:p>
      <w:pPr>
        <w:spacing w:after="200"/>
      </w:pPr>
    </w:p>
    <w:p>
      <w:pPr>
        <w:pStyle w:val="Heading2"/>
      </w:pPr>
      <w:r>
        <w:t xml:space="preserve">4.2 Proyección Financiera Revisada</w:t>
      </w:r>
    </w:p>
    <w:p>
      <w:pPr>
        <w:spacing w:after="120" w:before="0"/>
        <w:jc w:val="left"/>
      </w:pPr>
      <w:r>
        <w:rPr>
          <w:rFonts w:ascii="Arial" w:cs="Arial" w:eastAsia="Arial" w:hAnsi="Arial"/>
          <w:color w:val="3D3D3D"/>
          <w:sz w:val="22"/>
          <w:szCs w:val="22"/>
        </w:rPr>
        <w:t xml:space="preserve">Actualización de la proyección financiera PAE considerando la integración completa con los 60+ módulos y el posicionamiento como plataforma de inteligencia aumentada: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Concepto</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Año 1</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Año 2</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Año 3</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Año 4</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Año 5</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Municipal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$120K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$360K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$720K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$1.08M</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Inversores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$36K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$180K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$480K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$840K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$1.32M</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Condominios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$48K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$240K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$720K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$1.44M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$2.16M</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Gobierno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$60K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$240K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$480K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$720K</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API + Académico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$18K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$84K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$192K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$384K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$576K</w:t>
            </w:r>
          </w:p>
        </w:tc>
      </w:tr>
      <w:tr>
        <w:tc>
          <w:tcPr>
            <w:tcW w:type="dxa" w:w="2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Valorización (NUEVO)</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$24K</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$120K</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$360K</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$600K</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$960K</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REVENUE TOTAL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$126K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$804K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$2.35M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$4.46M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$6.82M</w:t>
            </w:r>
          </w:p>
        </w:tc>
      </w:tr>
      <w:tr>
        <w:tc>
          <w:tcPr>
            <w:tcW w:type="dxa" w:w="2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7A5F"/>
                <w:sz w:val="18"/>
                <w:szCs w:val="18"/>
              </w:rPr>
              <w:t xml:space="preserve">vs. Proyección Anterior</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7A5F"/>
                <w:sz w:val="18"/>
                <w:szCs w:val="18"/>
              </w:rPr>
              <w:t xml:space="preserve">+75%</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7A5F"/>
                <w:sz w:val="18"/>
                <w:szCs w:val="18"/>
              </w:rPr>
              <w:t xml:space="preserve">+60%</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7A5F"/>
                <w:sz w:val="18"/>
                <w:szCs w:val="18"/>
              </w:rPr>
              <w:t xml:space="preserve">+55%</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7A5F"/>
                <w:sz w:val="18"/>
                <w:szCs w:val="18"/>
              </w:rPr>
              <w:t xml:space="preserve">+52%</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after="120" w:before="0"/>
              <w:jc w:val="left"/>
            </w:pPr>
            <w:r>
              <w:rPr>
                <w:rFonts w:ascii="Arial" w:cs="Arial" w:eastAsia="Arial" w:hAnsi="Arial"/>
                <w:b w:val="false"/>
                <w:bCs w:val="false"/>
                <w:color w:val="3D7A5F"/>
                <w:sz w:val="18"/>
                <w:szCs w:val="18"/>
              </w:rPr>
              <w:t xml:space="preserve">+53%</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Costos operación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$420K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$580K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$780K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$1.05M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$1.4M</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EBITDA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-$294K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$224K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$1.57M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$3.41M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before="0"/>
              <w:jc w:val="left"/>
            </w:pPr>
            <w:r>
              <w:rPr>
                <w:rFonts w:ascii="Arial" w:cs="Arial" w:eastAsia="Arial" w:hAnsi="Arial"/>
                <w:b/>
                <w:bCs/>
                <w:color w:val="3D3D3D"/>
                <w:sz w:val="18"/>
                <w:szCs w:val="18"/>
              </w:rPr>
              <w:t xml:space="preserve">$5.42M</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Margen EBITDA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-233%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67%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79%</w:t>
            </w:r>
          </w:p>
        </w:tc>
      </w:tr>
    </w:tbl>
    <w:p>
      <w:pPr>
        <w:spacing w:after="200"/>
      </w:pPr>
    </w:p>
    <w:p>
      <w:pPr>
        <w:spacing w:after="120" w:before="0"/>
        <w:jc w:val="left"/>
      </w:pPr>
      <w:r>
        <w:rPr>
          <w:rFonts w:ascii="Arial" w:cs="Arial" w:eastAsia="Arial" w:hAnsi="Arial"/>
          <w:b/>
          <w:bCs/>
          <w:color w:val="1A1A1A"/>
          <w:sz w:val="22"/>
          <w:szCs w:val="22"/>
        </w:rPr>
        <w:t xml:space="preserve">Incremento clave: </w:t>
      </w:r>
      <w:r>
        <w:rPr>
          <w:rFonts w:ascii="Arial" w:cs="Arial" w:eastAsia="Arial" w:hAnsi="Arial"/>
          <w:color w:val="3D3D3D"/>
          <w:sz w:val="22"/>
          <w:szCs w:val="22"/>
        </w:rPr>
        <w:t xml:space="preserve">La línea PAE Valorización (nueva) captura la integración con los 22 módulos financieros que no estaban contemplados en la proyección original. El break-even se adelanta de mes 24 a mes 18 gracias a la venta cruzada entre plataformas.</w:t>
      </w:r>
    </w:p>
    <w:p>
      <w:r>
        <w:br w:type="page"/>
      </w:r>
    </w:p>
    <w:p>
      <w:pPr>
        <w:pStyle w:val="Heading1"/>
      </w:pPr>
      <w:r>
        <w:t xml:space="preserve">5. OPORTUNIDADES ESTRATÉGICAS E INVERSIONISTAS</w:t>
      </w:r>
    </w:p>
    <w:p>
      <w:pPr>
        <w:pStyle w:val="Heading2"/>
      </w:pPr>
      <w:r>
        <w:t xml:space="preserve">5.1 Oportunidades Emergentes por Integración PAE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2200"/>
        <w:gridCol w:w="1960"/>
      </w:tblGrid>
      <w:tr>
        <w:tc>
          <w:tcPr>
            <w:tcW w:type="dxa" w:w="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Oportunidad</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Descripción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Mercado Potencial</w:t>
            </w:r>
          </w:p>
        </w:tc>
        <w:tc>
          <w:tcPr>
            <w:tcW w:type="dxa" w:w="1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Timing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como SaaS independiente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El motor precesional como API-first product para cualquier plataforma inmobiliaria o urbana, no solo DATAPOLIS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2.8B global PropTech analytics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Q4 2026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Datos precesionales como servicio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Venta de datasets de predicciones precesionales urbanas para fondos de inversión, aseguradoras, bancos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500M alternative data market LATAM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Q2 2027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Certificación PAE para EIA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Incorporar análisis precesional como complemento a Evaluación de Impacto Ambiental regulatoria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346 municipios + SEA Chile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Q1 2027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PAE + Seguros paramétricos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Modelos precesionales para pricing de seguros inmobiliarios basados en efectos sistémicos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1.2B seguros inmob. Chile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Q3 2027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White-label para gobiernos LATAM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Licencia PAE territorial a gobiernos de México, Colombia, Perú, Argentina para planificación urbana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20+ ciudades &gt;1M hab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2028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Observatorio Precesional Urbano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Publicación periódica de índices precesionales por ciudad, posicionando DATAPOLIS como referente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Visibilidad + credibilidad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Q3 2026</w:t>
            </w:r>
          </w:p>
        </w:tc>
      </w:tr>
    </w:tbl>
    <w:p>
      <w:pPr>
        <w:spacing w:after="200"/>
      </w:pPr>
    </w:p>
    <w:p>
      <w:pPr>
        <w:pStyle w:val="Heading2"/>
      </w:pPr>
      <w:r>
        <w:t xml:space="preserve">5.2 Mapa de Inversionistas Estratégicos</w:t>
      </w:r>
    </w:p>
    <w:p>
      <w:pPr>
        <w:spacing w:after="120" w:before="0"/>
        <w:jc w:val="left"/>
      </w:pPr>
      <w:r>
        <w:rPr>
          <w:rFonts w:ascii="Arial" w:cs="Arial" w:eastAsia="Arial" w:hAnsi="Arial"/>
          <w:color w:val="3D3D3D"/>
          <w:sz w:val="22"/>
          <w:szCs w:val="22"/>
        </w:rPr>
        <w:t xml:space="preserve">Inversionistas alineados con el PAE como plataforma de inteligencia aumentada territorial: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2600"/>
        <w:gridCol w:w="2560"/>
      </w:tblGrid>
      <w:tr>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Inversor / Fondo</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Tipo</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Ticket</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Alineación con PAE</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Acción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CORFO Bienes Públicos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Grant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$200MM CLP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Herramientas predictivas para planificación urbana municipal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Postulación Q1 2026 con caso Pudahuel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BID Lab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Grant/Equity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100-500K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Ciudades sostenibles, innovación urbana data-driven LATAM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Pitch con multiplicador precesional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CAF Ciudades con Futuro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Grant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300K-1M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GovTech para planificación territorial, resiliencia urbana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Propuesta formal con demo Pudahuel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StartUp Chile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Equity-free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100K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Tracción demostrable en mercado chileno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Aplicar con 3+ municipios piloto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ANID Fondef IDeA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Grant 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$200MM CLP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Investigación en inteligencia territorial con validación académica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Paper + convenio universidad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Google for Startups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Credits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100K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Cloud + ML infrastructure, exposición global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Aplicación directa Q2 2026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Magma Partners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Seed VC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200-500K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PropTech LATAM seed stage, red de contactos Chile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Pitch deck con métricas PAE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ALLVP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Seed VC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500K-1.5M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Impacto LATAM, tecnología para ciudades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Intro vía demo day StartUp Chile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Kayyak Ventures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Pre-seed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100-300K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Deep tech LATAM, algoritmos propietarios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Pitch enfocado en IP precesional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Fifth Wall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Series 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USD 5-15M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PropTech global, real estate technology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Post-validación LATAM (2027-2028)</w:t>
            </w:r>
          </w:p>
        </w:tc>
      </w:tr>
    </w:tbl>
    <w:p>
      <w:r>
        <w:br w:type="page"/>
      </w:r>
    </w:p>
    <w:p>
      <w:pPr>
        <w:pStyle w:val="Heading1"/>
      </w:pPr>
      <w:r>
        <w:t xml:space="preserve">6. PLAN DE ACCIÓN INMEDIATO</w:t>
      </w:r>
    </w:p>
    <w:p>
      <w:pPr>
        <w:spacing w:after="120" w:before="0"/>
        <w:jc w:val="left"/>
      </w:pPr>
      <w:r>
        <w:rPr>
          <w:rFonts w:ascii="Arial" w:cs="Arial" w:eastAsia="Arial" w:hAnsi="Arial"/>
          <w:color w:val="3D3D3D"/>
          <w:sz w:val="22"/>
          <w:szCs w:val="22"/>
        </w:rPr>
        <w:t xml:space="preserve">Priorización de acciones para ejecutar las modificaciones críticas e iniciar las oportunidades estratégicas:</w:t>
      </w:r>
    </w:p>
    <w:p>
      <w:pPr>
        <w:spacing w:after="200"/>
      </w:pPr>
    </w:p>
    <w:p>
      <w:pPr>
        <w:pStyle w:val="Heading2"/>
      </w:pPr>
      <w:r>
        <w:t xml:space="preserve">6.1 Sprint 1: Consolidación Documental (Semanas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600"/>
        <w:gridCol w:w="2860"/>
      </w:tblGrid>
      <w:tr>
        <w:tc>
          <w:tcPr>
            <w:tcW w:type="dxa" w:w="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Tarea</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Responsable</w:t>
            </w:r>
          </w:p>
        </w:tc>
        <w:tc>
          <w:tcPr>
            <w:tcW w:type="dxa" w:w="2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Criterio de Éxito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Actualizar Spec M11 §4: eliminar arquitectura centralizada, documentar cores independientes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Daniel/Claude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Diagrama §3.1 refleja M11-DP + M11-AG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Reescribir Prompts A-C para M11-DP PHP nativo (sin HTTP a FastAPI)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Daniel/Claude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Prompt A genera PrecessionGraphEngine.php nativo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Reescribir Prompts D-F para M11-AG Python nativo (sin dependencia Multi-Agent)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Daniel/Claude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Prompt D genera core nativo con PostGIS directo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Documentar integración PAE con 22 módulos Valorización (tabla §3.2 de este doc)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Daniel/Claude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Cada VM tiene input/output PAE definido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Agregar sección de validación ML a Spec (backtesting, métricas, pipeline)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Daniel/Claude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Methodology de validación documentada</w:t>
            </w:r>
          </w:p>
        </w:tc>
      </w:tr>
    </w:tbl>
    <w:p>
      <w:pPr>
        <w:spacing w:after="200"/>
      </w:pPr>
    </w:p>
    <w:p>
      <w:pPr>
        <w:pStyle w:val="Heading2"/>
      </w:pPr>
      <w:r>
        <w:t xml:space="preserve">6.2 Sprint 2: Implementación Core (Semanas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600"/>
        <w:gridCol w:w="2860"/>
      </w:tblGrid>
      <w:tr>
        <w:tc>
          <w:tcPr>
            <w:tcW w:type="dxa" w:w="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Tarea</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Plataforma</w:t>
            </w:r>
          </w:p>
        </w:tc>
        <w:tc>
          <w:tcPr>
            <w:tcW w:type="dxa" w:w="2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Criterio de Éxito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Implementar PrecessionGraphEngine.php nativo con ontología 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DATAPOLIS v3.0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BFS funcional, 20+ nodos, análisis retorna JSON válido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Implementar precession_graph_engine.py nativo con NetworkX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ÁGORA v4.0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Graph Engine funcional con zonas PostGIS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Event Bus bridge bidireccional DATAPOLIS ↔ ÁGORA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Ambas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Eventos se propagan correctamente en ambas direcciones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Caso Pudahuel completo con datos reales CEPAL-UN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ÁGORA v4.0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Multiplicador ~4.76x reproducible, heatmap generado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Dashboard precesional 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DATAPOLIS v3.0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Radar chart, timeline, alertas funcionales</w:t>
            </w:r>
          </w:p>
        </w:tc>
      </w:tr>
    </w:tbl>
    <w:p>
      <w:pPr>
        <w:spacing w:after="200"/>
      </w:pPr>
    </w:p>
    <w:p>
      <w:pPr>
        <w:pStyle w:val="Heading2"/>
      </w:pPr>
      <w:r>
        <w:t xml:space="preserve">6.3 Sprint 3: Validación y Go-to-Market (Semanas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600"/>
        <w:gridCol w:w="2860"/>
      </w:tblGrid>
      <w:tr>
        <w:tc>
          <w:tcPr>
            <w:tcW w:type="dxa" w:w="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Tarea</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Canal</w:t>
            </w:r>
          </w:p>
        </w:tc>
        <w:tc>
          <w:tcPr>
            <w:tcW w:type="dxa" w:w="2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Criterio de Éxito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Paper académico: Análisis precesional urbano computacional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Universidad Chile/PUC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Paper aceptado en conferencia/journal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Pitch deck PAE para inversores seed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Magma/ALLVP/Kayyak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Deck de 12 slides con demo interactiva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Postulación CORFO Bienes Públicos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CORFO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Proyecto presentado con caso Pudahuel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Demo municipal: Pudahuel + 2 comunas adicionales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Municipios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3 demos exitosas, 1+ carta de intención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Observatorio Precesional Urbano v1.0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Web pública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Índice precesional publicado para 10 comunas</w:t>
            </w:r>
          </w:p>
        </w:tc>
      </w:tr>
    </w:tbl>
    <w:p>
      <w:r>
        <w:br w:type="page"/>
      </w:r>
    </w:p>
    <w:p>
      <w:pPr>
        <w:pStyle w:val="Heading1"/>
      </w:pPr>
      <w:r>
        <w:t xml:space="preserve">7. EVALUACIÓN DE INNOVACIÓN Y PATENTABILIDAD</w:t>
      </w:r>
    </w:p>
    <w:p>
      <w:pPr>
        <w:spacing w:after="120" w:before="0"/>
        <w:jc w:val="left"/>
      </w:pPr>
      <w:r>
        <w:rPr>
          <w:rFonts w:ascii="Arial" w:cs="Arial" w:eastAsia="Arial" w:hAnsi="Arial"/>
          <w:color w:val="3D3D3D"/>
          <w:sz w:val="22"/>
          <w:szCs w:val="22"/>
        </w:rPr>
        <w:t xml:space="preserve">Análisis del nivel de innovación del PAE M11 integrado, con referencia al análisis de patentabilidad realizado en el chat de precesión: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Innovación</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Novedad</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Aplicab.</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Patentab.</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120" w:before="0"/>
              <w:jc w:val="left"/>
            </w:pPr>
            <w:r>
              <w:rPr>
                <w:rFonts w:ascii="Arial" w:cs="Arial" w:eastAsia="Arial" w:hAnsi="Arial"/>
                <w:b/>
                <w:bCs/>
                <w:color w:val="FAFAF8"/>
                <w:sz w:val="18"/>
                <w:szCs w:val="18"/>
              </w:rPr>
              <w:t xml:space="preserve">Justificación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Precession Graph Engine: transposición Fuller a grafo computacional urbano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Sin precedentes en PropTech/GovTech. Método computacional novedoso aplicable industrialmente.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Multiplicador Precesional cuantificado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Fórmula original: ratio entre valor directo y valor precesional neto. Nueva métrica económica.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Zonas de influencia precesional concéntricas PostGIS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Método espacial único: 5 anillos por ángulo precesional con decaimiento calibrado.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Cores independientes con sincronización ontológica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Arquitectura dual PHP+Python con grafo compartido vía Event Bus.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VAN Precesional (VAN + externalidades +90°)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Extensión del VAN clásico que incorpora flujos precesionales. Nuevo método financiero.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Compliance precesional predictivo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jc w:val="left"/>
            </w:pPr>
            <w:r>
              <w:rPr>
                <w:rFonts w:ascii="Arial" w:cs="Arial" w:eastAsia="Arial" w:hAnsi="Arial"/>
                <w:b w:val="false"/>
                <w:bCs w:val="false"/>
                <w:color w:val="3D3D3D"/>
                <w:sz w:val="18"/>
                <w:szCs w:val="18"/>
              </w:rPr>
              <w:t xml:space="preserve">Predicción de cambios normativos a partir de efectos precesionales detectados.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14E" w:sz="3"/>
              <w:left w:val="single" w:color="C8A14E" w:sz="3"/>
              <w:bottom w:val="none" w:sz="0"/>
              <w:right w:val="none" w:sz="0"/>
            </w:tcBorders>
            <w:shd w:fill="FFF8E7" w:val="clear"/>
            <w:tcMar>
              <w:top w:type="dxa" w:w="120"/>
              <w:left w:type="dxa" w:w="200"/>
              <w:bottom w:type="dxa" w:w="120"/>
              <w:right w:type="dxa" w:w="200"/>
            </w:tcMar>
          </w:tcPr>
          <w:p>
            <w:pPr>
              <w:spacing w:after="120" w:before="0"/>
              <w:jc w:val="left"/>
            </w:pPr>
            <w:r>
              <w:rPr>
                <w:rFonts w:ascii="Arial" w:cs="Arial" w:eastAsia="Arial" w:hAnsi="Arial"/>
                <w:i/>
                <w:iCs/>
                <w:color w:val="7B6B3A"/>
                <w:sz w:val="22"/>
                <w:szCs w:val="22"/>
              </w:rPr>
              <w:t xml:space="preserve">RECOMENDACIÓN PRIORITARIA: Proteger vía patente de invención ante INAPI los métodos computacionales del Precession Graph Engine y el Multiplicador Precesional. Complementar con registro de propiedad intelectual del software ante DIBAM. Costo estimado: $2-4M CLP para patente nacional + $8-15M CLP para PCT internacional.</w:t>
            </w:r>
          </w:p>
        </w:tc>
      </w:tr>
    </w:tbl>
    <w:p>
      <w:r>
        <w:br w:type="page"/>
      </w:r>
    </w:p>
    <w:p>
      <w:pPr>
        <w:pStyle w:val="Heading1"/>
      </w:pPr>
      <w:r>
        <w:t xml:space="preserve">8. CONCLUSIONES Y VISIÓN ESTRATÉGICA</w:t>
      </w:r>
    </w:p>
    <w:p>
      <w:pPr>
        <w:spacing w:after="200"/>
      </w:pPr>
    </w:p>
    <w:p>
      <w:pPr>
        <w:spacing w:after="120" w:before="0"/>
        <w:jc w:val="left"/>
      </w:pPr>
      <w:r>
        <w:rPr>
          <w:rFonts w:ascii="Arial" w:cs="Arial" w:eastAsia="Arial" w:hAnsi="Arial"/>
          <w:color w:val="3D3D3D"/>
          <w:sz w:val="22"/>
          <w:szCs w:val="22"/>
        </w:rPr>
        <w:t xml:space="preserve">El análisis integral de los tres documentos contra el chat de precesión original revela que el PAE M11 ha evolucionado significativamente desde su conceptualización inicial. Las 7 discrepancias identificadas son resolubles en un sprint de 2 semanas, y las 6 oportunidades estratégicas emergentes tienen el potencial de multiplicar por 1.5x la proyección financiera original.</w:t>
      </w:r>
    </w:p>
    <w:p>
      <w:pPr>
        <w:spacing w:after="200"/>
      </w:pPr>
    </w:p>
    <w:p>
      <w:pPr>
        <w:spacing w:after="120" w:before="0"/>
        <w:jc w:val="left"/>
      </w:pPr>
      <w:r>
        <w:rPr>
          <w:rFonts w:ascii="Arial" w:cs="Arial" w:eastAsia="Arial" w:hAnsi="Arial"/>
          <w:color w:val="3D3D3D"/>
          <w:sz w:val="22"/>
          <w:szCs w:val="22"/>
        </w:rPr>
        <w:t xml:space="preserve">La transformación fundamental es posicionar a DATAPOLIS no como una plataforma de gestión inmobiliaria con un módulo predictivo, sino como una plataforma de inteligencia aumentada territorial donde el PAE es el motor que convierte datos operativos en inteligencia estratégica. Esta reposicionamiento abre mercados que no existían: datos precesionales como commodity, certificación PAE para EIA, seguros paramétricos, y observatorio urbano.</w:t>
      </w:r>
    </w:p>
    <w:p>
      <w:pPr>
        <w:spacing w:after="200"/>
      </w:pPr>
    </w:p>
    <w:p>
      <w:pPr>
        <w:spacing w:after="120" w:before="0"/>
        <w:jc w:val="left"/>
      </w:pPr>
      <w:r>
        <w:rPr>
          <w:rFonts w:ascii="Arial" w:cs="Arial" w:eastAsia="Arial" w:hAnsi="Arial"/>
          <w:color w:val="3D3D3D"/>
          <w:sz w:val="22"/>
          <w:szCs w:val="22"/>
        </w:rPr>
        <w:t xml:space="preserve">El multiplicador precesional de 4.76x documentado en el caso Pudahuel es, en sí mismo, un efecto precesional del propio PAE: un motor diseñado para detectar efectos indirectos que, por su propia existencia, genera efectos indirectos sobre el ecosistema DATAPOLIS, el mercado PropTech chileno y la planificación urbana latinoamericana.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14E" w:sz="3"/>
              <w:left w:val="single" w:color="C8A14E" w:sz="3"/>
              <w:bottom w:val="none" w:sz="0"/>
              <w:right w:val="none" w:sz="0"/>
            </w:tcBorders>
            <w:shd w:fill="FFF8E7" w:val="clear"/>
            <w:tcMar>
              <w:top w:type="dxa" w:w="120"/>
              <w:left w:type="dxa" w:w="200"/>
              <w:bottom w:type="dxa" w:w="120"/>
              <w:right w:type="dxa" w:w="200"/>
            </w:tcMar>
          </w:tcPr>
          <w:p>
            <w:pPr>
              <w:spacing w:after="120" w:before="0"/>
              <w:jc w:val="left"/>
            </w:pPr>
            <w:r>
              <w:rPr>
                <w:rFonts w:ascii="Arial" w:cs="Arial" w:eastAsia="Arial" w:hAnsi="Arial"/>
                <w:i/>
                <w:iCs/>
                <w:color w:val="7B6B3A"/>
                <w:sz w:val="22"/>
                <w:szCs w:val="22"/>
              </w:rPr>
              <w:t xml:space="preserve">VISIÓN 2030: DATAPOLIS como el estándar de inteligencia territorial aumentada en América Latina, con el PAE M11 como el motor analítico que ningún competidor ha logrado replicar — porque ningún otro sistema integra análisis precesional sistémico con datos operativos reales de copropiedades, valorización financiera e inteligencia geoespacial en una sola plataforma.</w:t>
            </w:r>
          </w:p>
        </w:tc>
      </w:tr>
    </w:tbl>
    <w:p>
      <w:pPr>
        <w:spacing w:after="200"/>
      </w:pPr>
    </w:p>
    <w:p>
      <w:pPr>
        <w:pBdr>
          <w:bottom w:val="single" w:color="C8A14E" w:sz="2"/>
        </w:pBdr>
        <w:spacing w:after="200"/>
      </w:pPr>
    </w:p>
    <w:p>
      <w:pPr>
        <w:spacing w:after="120" w:before="0"/>
        <w:jc w:val="center"/>
      </w:pPr>
      <w:r>
        <w:rPr>
          <w:rFonts w:ascii="Arial" w:cs="Arial" w:eastAsia="Arial" w:hAnsi="Arial"/>
          <w:i/>
          <w:iCs/>
          <w:color w:val="999999"/>
          <w:sz w:val="18"/>
          <w:szCs w:val="18"/>
        </w:rPr>
        <w:t xml:space="preserve">© 2026 DATAPOLIS SpA · Santiago, Chile · Weniger, aber besser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Confidencial — Inversores + Equipo Técnico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DATAPOLIS SpA</w:t>
    </w:r>
    <w:r>
      <w:rPr>
        <w:rFonts w:ascii="Arial" w:cs="Arial" w:eastAsia="Arial" w:hAnsi="Arial"/>
        <w:color w:val="999999"/>
        <w:sz w:val="16"/>
        <w:szCs w:val="16"/>
      </w:rPr>
      <w:t xml:space="preserve">  |  </w:t>
    </w:r>
    <w:r>
      <w:rPr>
        <w:rFonts w:ascii="Arial" w:cs="Arial" w:eastAsia="Arial" w:hAnsi="Arial"/>
        <w:color w:val="C8A14E"/>
        <w:sz w:val="16"/>
        <w:szCs w:val="16"/>
      </w:rPr>
      <w:t xml:space="preserve">PAE M11 Integración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8A14E" w:sz="2" w:space="8"/>
      </w:pBd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D3D3D"/>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7B6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2026-02-24T05:13:41.963Z</dcterms:created>
  <dcterms:modified xsi:type="dcterms:W3CDTF">2026-02-24T05:13:41.965Z</dcterms:modified>
</cp:coreProperties>
</file>

<file path=docProps/custom.xml><?xml version="1.0" encoding="utf-8"?>
<Properties xmlns="http://schemas.openxmlformats.org/officeDocument/2006/custom-properties" xmlns:vt="http://schemas.openxmlformats.org/officeDocument/2006/docPropsVTypes"/>
</file>