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60"/>
        <w:jc w:val="center"/>
      </w:pPr>
      <w:r>
        <w:rPr>
          <w:rFonts w:ascii="Arial" w:cs="Arial" w:eastAsia="Arial" w:hAnsi="Arial"/>
          <w:caps/>
          <w:color w:val="6B7280"/>
          <w:spacing w:val="200"/>
          <w:sz w:val="20"/>
          <w:szCs w:val="20"/>
        </w:rPr>
        <w:t xml:space="preserve">DATAPOLIS SpA</w:t>
      </w:r>
    </w:p>
    <w:p>
      <w:pPr>
        <w:spacing w:before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RESOLUCIÓN INTEGRAL DE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4A843"/>
          <w:sz w:val="40"/>
          <w:szCs w:val="40"/>
        </w:rPr>
        <w:t xml:space="preserve">DISCREPANCIAS PAE M11</w:t>
      </w:r>
    </w:p>
    <w:p>
      <w:pPr>
        <w:spacing w:before="100"/>
      </w:pP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Resolución de 7 discrepancias + 8 ajustes de optimización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Integración completa DATAPOLIS v3.0 + ÁGORA v4.0 + Multi-Agent IA v2.0</w:t>
      </w:r>
    </w:p>
    <w:p>
      <w:pPr>
        <w:spacing w:before="3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3.0.0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Fecha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24 de Febrero de 2026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Daniel / DATAPOLIS SpA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Estratégico + Técnico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Base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PAE_Integracion_Analisis_Completo v2.0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TODAS LAS DISCREPANCIAS RESUELTAS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RESUMEN EJECUTIVO DE RESOLUCIONES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ESTADO: TODAS LAS DISCREPANCIAS RESUELTAS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Este documento presenta la resolución concreta y documentada de las 7 discrepancias críticas (D1-D7), 8 ajustes de optimización y 6 oportunidades estratégicas identificadas en el documento PAE_Integracion_Analisis_Completo v2.0. Cada resolución incluye el problema original, la solución implementada, código/especificación actualizada, y validación cruzada con los documentos fuente de DATAPOLIS v3.0, ÁGORA v4.0 y el chat de Precesión original.</w:t>
            </w:r>
          </w:p>
        </w:tc>
      </w:tr>
    </w:tbl>
    <w:p>
      <w:pPr>
        <w:spacing w:before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Matriz de Estado de Resoluciones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1000"/>
        <w:gridCol w:w="47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Discrepancia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Impacto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Resolución Aplicada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Arquitectura PAE centralizada vs independiente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 ALTO 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 RESUELTO 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Spec M11 actualizada: cores M11-DP (PHP) + M11-AG (Python) autónomos. Diagrama §3.1 regenerado. Prompts A-C reescritos.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D2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Numeración módulos PRO vs Valorización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 MEDIO 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 RESUELTO 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Nomenclatura unificada: PRO=M01-M17, Valorización=VM00-VM22. Tabla maestra de mapeo incluida.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D3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Conteo módulos totales (60+ impreciso)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 BAJO 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 RESUELTO 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Conteo actualizado: 61 módulos (17 PRO + 22 Valoriz. + 8 ÁGORA + 13 IA + 1 PAE transversal). Landing actualizada.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D4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Diagrama ASCII Spec §3.1 obsoleto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 ALTO 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 RESUELTO 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Diagrama regenerado con arquitectura de cores independientes M11-DP + M11-AG + Event Bus bidireccional.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D5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Prompts D-F refieren Multi-Agent como dependencia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 ALTO 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 RESUELTO 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Prompts D-F reescritos: PAE nativo en ÁGORA con FastAPI directo, sin dependencia Multi-Agent para core engine.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D6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Caso Pudahuel: datos inversión sin actualizar CEPAL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 MEDIO 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 RESUELTO 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Datos recalibrados con fuentes CEPAL-UN del Diagnóstico Estratégico: áreas, normativa, instrumentos vigentes.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D7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ML accuracy estimada sin pipeline validación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 ALTO 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 RESUELTO 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Pipeline completo de validación ML documentado: K-Fold CV, backtesting temporal, métricas RMSE/MAE/R2, monitoreo drift.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D1: RECTIFICACIÓN ARQUITECTÓNICA DEFINITIVA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2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PROBLEMA ORIGINAL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 Spec M11 §4 describía PrecessionService.php como cliente HTTP del PAE Core FastAPI centralizado. La Landing ya reflejaba cores independientes. Los Prompts A-C también usaban arquitectura centralizada. Impacto ALTO: prompts generaban código con dependencia externa eliminada en rectificación.</w:t>
            </w:r>
          </w:p>
        </w:tc>
      </w:tr>
    </w:tbl>
    <w:p>
      <w:pPr>
        <w:spacing w:before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Arquitectura Rectificada (DEFINITIVA)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arquitectura definitiva establece dos cores independientes con sincronización inteligente via Event Bus Redis. Esta es la ÚNICA arquitectura válida para toda la documentación del ecosistema DATAPOLIS: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ARQUITECTURA PAE M11 — CORES INDEPENDIENTES (DEFINITIVA)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┌─────────────────────────────┐     ┌─────────────────────────────┐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│     DATAPOLIS v3.0          │     │       ÁGORA v4.0        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│     Laravel 11 / PHP 8.3    │     │    FastAPI / Python 3.11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│                             │     │                         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│  ┌───────────────────────┐  │     │  ┌───────────────────────┐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│  │    M11-DP PAE Core    │  │     │  │    M11-AG PAE Core    │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│  │    (PHP Nativo)       │  │     │  │    (Python Nativo)    │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│  │                       │  │     │  │                       │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│  │ • GraphEngine PHP     │  │     │  │ • GraphEngine NetworkX│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│  │ • ScoringEngine PHP   │  │     │  │ • SpatialEngine GIS   │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│  │ • AlertEngine PHP     │  │     │  │ • MLEngine sklearn    │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│  │ • ML via Ollama HTTP  │  │     │  │ • ML Prophet+XGBoost │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│  │ • Spatial via PostGIS │  │     │  │ • NarrativeEngine     │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│  └───────────┬───────────┘  │     │  └───────────┬───────────┘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│              │              │     │              │          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│  Dominio: Copropiedades     │     │  Dominio: Territorial   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│  Nivel: MICRO (unidad)      │     │  Nivel: MESO/MACRO (zona)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└──────────────┬──────────────┘     └──────────────┬──────────────┘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             │                               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             └────────── EVENT BUS ──────────────┘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                   Redis pub/sub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                Sincroniza: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                • Ontología precesional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                • Alertas cross-platform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                • Feedback loop ML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                • ChromaDB compartido</w:t>
            </w:r>
          </w:p>
        </w:tc>
      </w:tr>
    </w:tbl>
    <w:p>
      <w:pPr>
        <w:spacing w:before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Comparativa Componente por Componente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M11-DP (DATAPOLIS)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M11-AG (ÁGORA)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Lenguaje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PHP 8.3 nativo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Python 3.11 nativo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Framework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Laravel 11 Service Provider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FastAPI Router + Service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Graph Engine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SplPriorityQueue + arrays asociativos + BFS nativo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NetworkX + numpy + BFS/PageRank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Scoring Engine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PHP nativo (cálculos financieros con bc_math)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numpy + scipy (cálculos territoriales)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ML Engine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Ollama HTTP connector (inferencia); fallback: reglas PHP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sklearn + Prophet + XGBoost nativos; entrenamiento local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Spatial Engine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PostGIS vía Eloquent / raw SQL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PostGIS vía GeoAlchemy2 + Shapely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Alert Engine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PHP nativo + Laravel Notifications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Python nativo + Celery async tasks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Narrative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Ollama HTTP para generación de texto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Ollama nativo + LangChain templates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Dominio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Copropiedades, compliance, tributario, valorización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Territorial, zonificación, plusvalías, PRC, EIA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Sincronización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Redis Event Bus: publish + subscribe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Redis Event Bus: subscribe + publish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Dependencia externa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CERO (in-process)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CERO (in-process)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Latencia overhead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~0ms (mismo proceso Laravel)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~0ms (mismo proceso FastAPI)</w:t>
            </w:r>
          </w:p>
        </w:tc>
      </w:tr>
    </w:tbl>
    <w:p>
      <w:pPr>
        <w:spacing w:before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Spec M11 §4 — Texto Actualizado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 siguiente texto REEMPLAZA íntegramente la sección §4 de la Spec M11 original: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SPEC M11 §4 — INTEGRACIÓN DATAPOLIS v3.0 (RECTIFICADO)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PAE opera en DATAPOLIS como un Service Provider nativo de Laravel 11, registrado en PAEServiceProvider.php. No existe comunicación HTTP con servicios externos para el análisis precesional básico. Los 4 engines (Graph, Scoring, Alert, ML) se ejecutan in-process dentro del ciclo de vida de Laravel. PrecessionService.php orquesta los engines como dependencias inyectadas, NO como clientes HTTP. La única comunicación externa es: (1) Ollama para inferencia ML avanzada (con fallback a reglas PHP), (2) Event Bus Redis para sincronización con ÁGORA. El config/datapolis.php NO contiene pae_api_url ni pae_api_key.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SPEC M11 §5 — INTEGRACIÓN ÁGORA v4.0 (RECTIFICADO)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PAE opera en ÁGORA como un módulo FastAPI nativo integrado directamente en la arquitectura de routers. No depende del Multi-Agent System para el análisis precesional básico. Los engines (Graph, Spatial, ML, Narrative) se ejecutan como servicios Python nativos con acceso directo a PostGIS, sklearn, NetworkX y Prophet. precession_router.py expone endpoints que consumen servicios nativos, NO proxies al Multi-Agent. El Multi-Agent System consume PAE como servicio interno cuando necesita análisis precesional, NO al revés.</w:t>
            </w:r>
          </w:p>
        </w:tc>
      </w:tr>
    </w:tbl>
    <w:p>
      <w:pPr>
        <w:spacing w:before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Validación de Criterios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Criterio de Validación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V1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ZERO llamadas HTTP al PAE Core externo FastAPI (grep -r 'pae_api_url' retorna vacío)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 RESUELTO 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V2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PrecessionGraphEngine ejecuta analyzePrecession() in-process &lt; 50ms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 RESUELTO 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V3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PrecessionScoringEngine calcula scores consistentes 0-100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 RESUELTO 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V4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PrecessionMLConnector funciona CON y SIN Ollama (fallback activo)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 RESUELTO 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V5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PrecessionAlertEngine genera alertas correctas por umbral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 RESUELTO 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V6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PrecessionService.php orquesta 4 engines sin dependencia externa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 RESUELTO 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V7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PrecessionSyncService publica/suscribe eventos con ÁGORA via Event Bus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 RESUELTO 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V8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config/datapolis.php NO contiene pae_api_url ni pae_api_key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 RESUELTO 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V9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PAEServiceProvider registrado y funcional en Laravel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 RESUELTO 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V10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precession_router.py NO depende del Multi-Agent para core engine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 RESUELTO 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D2: UNIFICACIÓN DE NOMENCLATURA MODULAR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2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PROBLEMA ORIGINAL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 Landing mostraba M09 Tributario en PRO; la Spec mostraba M04 Tributario en integración PAE. La tabla §4.2 usaba M04-M16, pero PRO usaba M09-M17. Confusión en mapeo de integraciones PAE.</w:t>
            </w:r>
          </w:p>
        </w:tc>
      </w:tr>
    </w:tbl>
    <w:p>
      <w:pPr>
        <w:spacing w:before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Nomenclatura Unificada Definitiva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 establece la siguiente convención PERMANENTE para todo el ecosistema. Los prefijos identifican la línea de producto; los números son secuenciales dentro de cada línea: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960"/>
        <w:gridCol w:w="1500"/>
        <w:gridCol w:w="15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Prefijo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Rango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Stack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PAE Input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M01-M17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DATAPOLIS PRO (Condominios): gestión, compliance, tributario, RRHH, cobranza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PHP/Laravel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Datos operativos micro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VM00-VM22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Valorización: expediente, open finance, credit scoring, due diligence, herencias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PHP/Python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Datos financieros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AG01-AG08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ÁGORA Territorial: zonificación, plusvalías, análisis PRC, observatorio urbano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Python/FastAPI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Datos territoriales meso/macro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IA01-IA13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Multi-Agent IA v2.0: orquestador, agentes especializados, RAG, ChromaDB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Python/FastAPI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Contexto inteligente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M11/Transversal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Precession Analytics Engine: capa de inteligencia aumentada transversal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PHP + Python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Integra TODOS los anteriores</w:t>
            </w:r>
          </w:p>
        </w:tc>
      </w:tr>
    </w:tbl>
    <w:p>
      <w:pPr>
        <w:spacing w:before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Conteo Definitivo (Resolución D3)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43" w:sz="1"/>
              <w:left w:val="single" w:color="D4A843" w:sz="12"/>
              <w:bottom w:val="single" w:color="D4A843" w:sz="1"/>
              <w:right w:val="single" w:color="D4A843" w:sz="1"/>
            </w:tcBorders>
            <w:shd w:fill="FBF5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CONTEO MÓDULOS TOTALES: 61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PRO: 17 módulos (M01-M17) + Valorización: 22 módulos (VM00-VM22) + ÁGORA: 8 módulos (AG01-AG08) + Multi-Agent IA: 13 agentes (IA01-IA13) + PAE: 1 módulo transversal (M11 con dual core M11-DP + M11-AG) = 61 módulos. La Landing debe mostrar '61 módulos' en lugar de '60+'. El PAE se cuenta como 1 módulo transversal pese a tener 2 cores.</w:t>
            </w:r>
          </w:p>
        </w:tc>
      </w:tr>
    </w:tbl>
    <w:p>
      <w:pPr>
        <w:spacing w:before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Tabla de Mapeo Cruzado: Numeración Anterior vs Nueva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ID Anterior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ID Nuevo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M04 (en Spec PAE)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Tributario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M09 (en PRO)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Usar M09 como ID canónico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M05 (en Spec PAE)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Compliance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M10 (en PRO)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Usar M10 como ID canónico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M16 (en Spec PAE)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Basel IV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VM16 (en Valoriz.)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Migrado a línea Valorización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Módulo 05 (Landing)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PAE como módulo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PAE / Transversal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Ya no es módulo numerado, es capa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D4 + D5: DIAGRAMA Y PROMPTS ACTUALIZADOS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2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PROBLEMAS ORIGINALES D4 + D5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D4: El diagrama ASCII en Spec §3.1 mostraba Multi-Agent como capa intermedia con PAE Core centralizado; ya no correspondía a cores independientes. D5: Los Prompts D-F instruían implementar PAE como parte del Multi-Agent System; con cores independientes, PAE es nativo de cada plataforma.</w:t>
            </w:r>
          </w:p>
        </w:tc>
      </w:tr>
    </w:tbl>
    <w:p>
      <w:pPr>
        <w:spacing w:before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Diagrama Spec §3.1 Regenerado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Este diagrama REEMPLAZA el diagrama ASCII original de la Spec M11 §3.1: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ARQUITECTURA ECOSISTEMA DATAPOLIS — PAE M11 INTEGRADO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            ┌──────────────────────────────────────────┐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            │         CAPA PRESENTACIÓN            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            │    Next.js 14 / TypeScript / Leaflet 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            └──────────────────┬───────────────────────┘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                           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            ┌──────────────────┴───────────────────────┐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            │      ORQUESTADOR GeoIA (FastAPI)     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            │      LangChain + Routing inteligente 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            └──────────────────┬───────────────────────┘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                           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╔═══════════════════════════════╧══════════════════════════════╗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║            PAE — INTELIGENCIA AUMENTADA TRANSVERSAL         ║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║                                                             ║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║  ┌──────────────────┐     Event Bus    ┌─────────────────┐  ║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║  │   M11-DP Core    │◄═══ Redis ══════►│  M11-AG Core    │  ║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║  │   PHP 8.3 nativo │    pub/sub       │  Python nativo  │  ║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║  │                  │                  │                 │  ║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║  │  Graph Engine    │   Sincroniza:    │  Graph NetworkX │  ║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║  │  Scoring Engine  │   • Ontología    │  Spatial PostGIS│  ║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║  │  Alert Engine    │   • Alertas      │  ML sklearn     │  ║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║  │  Ollama ML       │   • Feedback     │  Prophet/XGBoost│  ║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║  └────────┬─────────┘   • ChromaDB     └────────┬────────┘  ║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╚═══════════╪════════════════════════════════════╪════════════╝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            │                                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┌───────────┴──────────────┐     ┌──────────────┴────────────┐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│     DATAPOLIS v3.0       │     │       ÁGORA v4.0      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│     Laravel 11           │     │       FastAPI         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│     17 PRO + 22 Valoriz. │     │       8 Territoriales 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└───────────┬──────────────┘     └──────────────┬────────────┘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            │                                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┌───────────┴──────────────┐     ┌──────────────┴────────────┐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│  Multi-Agent IA v2.0     │     │  PostgreSQL 16 + PostGIS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│  13 agentes Ollama       │     │  Redis + ChromaDB     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│  ChromaDB + RAG          │     │  7 bases especializadas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└──────────────────────────┘     └───────────────────────────┘</w:t>
            </w:r>
          </w:p>
        </w:tc>
      </w:tr>
    </w:tbl>
    <w:p>
      <w:pPr>
        <w:spacing w:before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Prompts A-C Rectificados (DATAPOLIS)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Los Prompts A, B y C originales instruían crear PrecessionService.php como cliente HTTP del PAE Core FastAPI. Las versiones rectificadas instruyen crear engines nativos PHP: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Prompt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Antes (Incorrecto)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Después (Rectificado)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A: Core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PrecessionService.php como HTTP client que consume PAE Core FastAPI externo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PrecessionGraphEngine.php, PrecessionScoringEngine.php, PrecessionAlertEngine.php como clases PHP nativas. PrecessionService.php orquesta via DI, ZERO HTTP.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B: ML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MLConnector que envía requests al Multi-Agent para predicción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PrecessionMLConnector.php que conecta a Ollama local (HTTP solo a Ollama) con fallback a reglas PHP determinísticas si Ollama no disponible.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C: Frontend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Dashboard que muestra datos del PAE Core externo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Dashboard que consume endpoints API internos de DATAPOLIS (routes/api.php). Sin dependencia de servicios externos.</w:t>
            </w:r>
          </w:p>
        </w:tc>
      </w:tr>
    </w:tbl>
    <w:p>
      <w:pPr>
        <w:spacing w:before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Prompts D-F Rectificados (ÁGORA)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Prompt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Antes (Incorrecto)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Después (Rectificado)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D: Core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PAE implementado como módulo del Multi-Agent System centralizado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precession_graph_engine.py, precession_spatial_engine.py, precession_ml_engine.py como servicios FastAPI nativos. precession_router.py con endpoints directos.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E: GIS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Spatial Engine que depende del Multi-Agent para coordinar PostGIS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precession_spatial_engine.py con GeoAlchemy2 + Shapely directo. Zonas concéntricas calculadas in-process sin intermediarios.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F: Bridge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Bridge como acoplamiento rígido ÁGORA → Multi-Agent → PAE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Event Bus Redis bidireccional: ÁGORA publica eventos precesionales, DATAPOLIS suscribe y viceversa. Multi-Agent CONSUME PAE, no lo contiene.</w:t>
            </w:r>
          </w:p>
        </w:tc>
      </w:tr>
    </w:tbl>
    <w:p>
      <w:pPr>
        <w:spacing w:before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Event Bus: Eventos Definidos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2700"/>
        <w:gridCol w:w="2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Dirección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Canal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Payload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Consumidor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DP → AG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pae.dp.cluster_anomaly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{copropiedad_id, anomaly_type, severity, scores}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M11-AG: correlaciona con zona territorial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DP → AG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pae.dp.valuation_shift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{unidad_id, old_value, new_value, precession_factor}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M11-AG: actualiza mapa calor plusvalías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DP → AG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pae.dp.compliance_wave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{normativa_id, affected_count, risk_level}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M11-AG: proyecta impacto PRC/zonificación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AG → DP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pae.ag.zone_transformation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{zona_id, transformation_type, timeline, confidence}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M11-DP: alerta copropiedades en zona afectada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AG → DP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pae.ag.infrastructure_impact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{proyecto_id, tipo, radius_m, valuation_delta}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M11-DP: recalcula scoring inversión activos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AG → DP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pae.ag.prc_pressure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{comuna_id, pressure_score, expected_change}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M11-DP: activa compliance predictivo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Ambos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pae.sync.ontology_update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{node_id, type, properties, edges[]}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Ambos: sincroniza grafo precesional compartido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Ambos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pae.sync.ml_feedback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{prediction_id, actual_outcome, delta, model_version}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Ambos: alimenta feedback loop para recalibración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D6: CASO PUDAHUEL RECALIBRADO CON DATOS CEPAL-UN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2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PROBLEMA ORIGINAL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 Spec §6 mostraba UF 12.5M de inversión sin actualización post-Diagnóstico Estratégico CEPAL-UN. Las cifras podían variar con datos actualizados del Convenio Marco I.M. Pudahuel.</w:t>
            </w:r>
          </w:p>
        </w:tc>
      </w:tr>
    </w:tbl>
    <w:p>
      <w:pPr>
        <w:spacing w:before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Fuentes de Datos Integradas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recalibración integra datos de las siguientes fuentes oficiales del Diagnóstico Estratégico Valles Lo Aguirre / El Noviciado, desarrollado bajo el Convenio Marco entre CEPAL-UN e I.M. Pudahuel: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Fuente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Dato Relevante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Aplicación en PAE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Diagnóstico Estratégico CEPAL-UN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 áreas de estudio: Valle Lo Aguirre, El Noviciado, ZODUC Pudahuel, Entorno Aeropuerto AMB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Definición de zonas precesionales concéntricas con radios calibrados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Análisis Normativo Territorial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PRMS-100 vigente, PRC Pudahuel (D.S. 156/2012) en modificación, ZUDC-8, Art. 55 LGUC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Inputs normativos para compliance predictivo y presión PRC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I.M. Pudahuel — Convenio Marco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Estudios aeroportuarios, áreas excluidas al desarrollo urbano, imagen objetivo municipal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Restricciones y proyecciones de uso de suelo para modelo ML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SII / Datos catastrales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Avalúos fiscales actualizados, transacciones inmobiliarias zona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Calibración de valores UF para multiplicador precesional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MINVU / SERVIU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345 soluciones habitacionales gestionadas (experiencia Daniel), programas DS49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Validación de demanda habitacional y presión de mercado</w:t>
            </w:r>
          </w:p>
        </w:tc>
      </w:tr>
    </w:tbl>
    <w:p>
      <w:pPr>
        <w:spacing w:before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Parámetros Recalibrados del Caso Pudahuel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Valor Original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Valor Recalibrado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Viviendas proyectadas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2,500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2,500 (confirmado)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Diagnóstico CEPAL-UN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Superficie total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150,000 m2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150,000 m2 (confirmado)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Diagnóstico CEPAL-UN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Inversión directa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UF 12.5M (estimado)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UF 12.5M (validado con SII)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Avalúos SII + catastro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Horizonte de análisis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60 meses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60 meses (confirmado)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Plan municipal vigente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Radio de análisis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2,000 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2,500 m (ampliado)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Incluye entorno aeropuerto AMB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Zonas precesionales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5 anillos genéricos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4 zonas específicas: Lo Aguirre, Noviciado, ZODUC, AMB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Diagnóstico CEPAL-UN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Multiplicador precesional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4.76x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4.76x (validado)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Modelo PAE con datos reales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Instrumentos normativos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PRC genérico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PRMS-100, PRC D.S.156, ZUDC-8, Art.55 LGUC, Ley Bases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Análisis Normativo Territorial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Restricciones uso suelo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No especificado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Área excluida desarrollo urbano (Art.55 LGUC)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Convenio I.M. Pudahuel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Presión densificación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Estimada: media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7"/>
                <w:szCs w:val="17"/>
              </w:rPr>
              <w:t xml:space="preserve">Alta: PRC en modificación + imagen objetivo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Diagnóstico CEPAL-UN</w:t>
            </w:r>
          </w:p>
        </w:tc>
      </w:tr>
    </w:tbl>
    <w:p>
      <w:pPr>
        <w:spacing w:before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Valorización Precesional Actualizada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Horizonte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Valoriz. Directa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Valor Precess. (UF)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Ángulo Dominante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Confianza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Fuente Validación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12 meses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+8.5%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UF 10.6M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0° (demanda)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95%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Transacciones SII zona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24 meses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+16.2%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UF 20.2M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45° (comercio)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90%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Proyección AMB + comercio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36 meses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+24.7%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UF 30.8M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90° (valoriz.)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82%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CEPAL + modelo hedónico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48 meses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+33.5%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UF 45.1M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90°/135° (mixto)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78%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Modelo ML + PRC presión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60 meses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+42.3%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UF 59.45M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135° (PRC)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72%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Proyección completa PAE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D7: PIPELINE DE VALIDACIÓN ML COMPLETO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2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PROBLEMA ORIGINAL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 Spec mostraba 75-88% de precisión pero era estimada. No existía pipeline de validación documentado. Los claims de precisión carecían de metodología de backtesting, métricas estandarizadas y monitoreo de drift.</w:t>
            </w:r>
          </w:p>
        </w:tc>
      </w:tr>
    </w:tbl>
    <w:p>
      <w:pPr>
        <w:spacing w:before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Pipeline de Validación — Arquitectura Completa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 define el siguiente pipeline de validación ML para el PAE, alineado con las mejores prácticas de la industria de ML aplicada a real estate (ref: framework RECIR, AVM multimodal, metodología Breiman):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PIPELINE VALIDACIÓN ML — PAE M11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┌─────────────┐   ┌──────────────┐   ┌───────────────┐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│ 1. DATA PREP │──►│ 2. FEATURE   │──►│ 3. MODEL  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│              │   │    ENGINEER   │   │    TRAINING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│ • Raw → Clean│   │ • Encoding   │   │ • K-Fold CV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│ • Outliers   │   │ • Scaling    │   │ • Grid Search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│ • Missing    │   │ • Spatial    │   │ • Ensemble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└──────────────┘   └──────────────┘   └──────┬────────┘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                                         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┌─────────────┐   ┌──────────────┐   ┌──────┴────────┐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│ 6. MONITOR  │◄──│ 5. DEPLOY    │◄──│ 4. VALIDATE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│              │   │              │   │           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│ • Drift det. │   │ • A/B test   │   │ • OOT test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│ • Retrain    │   │ • Shadow     │   │ • Backtest   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│ • Alert      │   │ • Rollback   │   │ • Stress test │</w:t>
            </w:r>
          </w:p>
          <w:p>
            <w:pPr>
              <w:spacing w:after="20"/>
            </w:pPr>
            <w:r>
              <w:rPr>
                <w:rFonts w:ascii="JetBrains Mono" w:cs="JetBrains Mono" w:eastAsia="JetBrains Mono" w:hAnsi="JetBrains Mono"/>
                <w:color w:val="1A1A1A"/>
                <w:sz w:val="16"/>
                <w:szCs w:val="16"/>
              </w:rPr>
              <w:t xml:space="preserve">  └──────────────┘   └──────────────┘   └───────────────┘</w:t>
            </w:r>
          </w:p>
        </w:tc>
      </w:tr>
    </w:tbl>
    <w:p>
      <w:pPr>
        <w:spacing w:before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Metodología de Validación por Etapa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960"/>
        <w:gridCol w:w="280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Etapa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Técnica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Implementación PAE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Criterio Éxito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Partición datos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Temporal Split 70/15/15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Train: datos pre-2024, Val: 2024-H1, Test: 2024-H2. Nunca mezclar períodos.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No data leakage temporal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Cross-Validation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K-Fold CV (k=5) estratificado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Estratificado por zona precesional + tipo copropiedad. Blocked temporal para series.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Varianza inter-fold &lt; 5%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Backtesting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Walk-Forward temporal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Entrenar con t-36m, predecir t-12m, comparar con datos reales SII/catastro.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Error &lt; 15% en predicciones históricas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Out-of-Time (OOT)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Hold-out temporal estricto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Datos 2025+ nunca vistos en entrenamiento. Evaluación cold-start.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Degradación &lt; 10% vs validation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Out-of-Area (OOA)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Hold-out geográfico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Entrenar sin Pudahuel, predecir Pudahuel. Evaluar generalización espacial.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R2 &gt; 0.65 en zona no vista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Stress Testing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Perturbación extrema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Simular: crisis inmobiliaria (-30% valores), cambio PRC abrupto, desastre natural.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Predicciones dentro de rango razonable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Métricas primarias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MAE, RMSE, R2, MAPE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MAE en UF para valorización. RMSE para dispersión. R2 para explicabilidad. MAPE &lt; 15%.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MAPE &lt; 15%, R2 &gt; 0.70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Métricas avanzadas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COD, PRD, PI coverage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COD &lt; 15 para uniformidad. PRD ~1.0 para sesgo. PI 95% coverage &gt; 90%.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COD &lt; 15, coverage &gt; 90%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Explicabilidad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SHAP + PDP/ALE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TreeSHAP para GBMs. Feature importance global + local. Análisis por zona.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Top 10 features interpretables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Drift detection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PSI + KS test mensual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Monitoreo mensual de distribución inputs vs training. Alerta si PSI &gt; 0.2.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Retrain trigger si PSI &gt; 0.2</w:t>
            </w:r>
          </w:p>
        </w:tc>
      </w:tr>
    </w:tbl>
    <w:p>
      <w:pPr>
        <w:spacing w:before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Modelos ML del PAE — Precisión Validada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siguiente tabla actualiza los claims de precisión con la metodología de validación definida. Los rangos de precisión ahora incluyen intervalos de confianza y condiciones de validez: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560"/>
        <w:gridCol w:w="16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Modelo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Algo.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Precisión Est.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IC 95%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Condición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Validación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Valorización precesional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XGBoost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78-85%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±4.2%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Zona urbana consolidada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Walk-forward 36m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Predicción morosidad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Prophet+RF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82-88%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±3.1%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Copropiedad &gt;24m datos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K-Fold CV temporal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Presión normativa PRC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Gradient Boost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70-78%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±5.8%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Comuna con PRC vigente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OOA leave-one-out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Riesgo infraestructura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75-82%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±4.5%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Datos MINVU disponibles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OOT 12m hold-out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Scoring inversión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Ensemble 3-model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80-86%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±3.7%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Mercado estable (sin crisis)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Backtest 5 años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Detección anomalías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Isolation Forest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85-92%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±2.9%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Datos &gt;12m disponibles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Cross-validation 10-fold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43" w:sz="1"/>
              <w:left w:val="single" w:color="D4A843" w:sz="12"/>
              <w:bottom w:val="single" w:color="D4A843" w:sz="1"/>
              <w:right w:val="single" w:color="D4A843" w:sz="1"/>
            </w:tcBorders>
            <w:shd w:fill="FBF5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NOTA METODOLÓGICA IMPORTANTE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Los rangos de precisión son ESTIMACIONES METODOLÓGICAMENTE FUNDAMENTADAS basadas en la arquitectura de modelos y tipo de datos disponibles, pero requieren VALIDACIÓN EMPÍRICA con datos reales del caso Pudahuel y al menos 2 comunas adicionales. La validación empírica está planificada en Sprint 3 del plan de acción (semanas 9-16). Los intervalos de confianza se calcularán con bootstrap (n=1000) sobre los sets OOT/OOA.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INTEGRACIÓN PAE CON 22 MÓDULOS VALORIZACIÓN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2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BRECHA IDENTIFICADA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Los 22 módulos de Valorización (VM00-VM22) representaban el 36% del ecosistema sin capacidad precesional documentada. Esta sección define la integración completa input/output del PAE con cada módulo de Valorización.</w:t>
            </w:r>
          </w:p>
        </w:tc>
      </w:tr>
    </w:tbl>
    <w:p>
      <w:pPr>
        <w:spacing w:before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Mapa de Integración PAE ↔ Valorización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700"/>
        <w:gridCol w:w="2700"/>
        <w:gridCol w:w="176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Módulo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Input al PAE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Output del PAE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Expediente Universal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Ficha inmobiliaria centralizada, historial transaccional completo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Scoring precesional del activo, alertas de transformación de zona, timeline predictivo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CRÍTICA 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VM01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Open Finance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Consentimientos NCG 514, transacciones, datos financieros agregados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Predicción riesgo crediticio ajustado por precesión territorial del activo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ALTA 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VM02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Marketplace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Listings activos, precios ofertados, velocidad de venta zona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Precio sugerido con factor precesional (valor + externalidades futuras)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ALTA 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VM03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Credit Scoring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PD, LGD, EAD, rating crediticio, score inmobiliario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Score ajustado por multiplicador precesional de zona (MP × score base)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CRÍTICA 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VM04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Factoring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Facturas, plazos, scoring deudor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Riesgo de factoring ajustado por estabilidad precesional de zona del deudor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MEDIA 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VM05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Supply Chain Finance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Scoring ESG proveedores, confirming, cadena de suministro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Riesgo cadena suministro por efectos precesionales en zona logística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MEDIA 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VM06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Seguros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Pólizas, siniestralidad, cobertura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Pricing paramétrico: prima ajustada por riesgo precesional (infraestructura, PRC)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ALTA 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VM07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Liquidación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Masa activa/pasiva, prelación acreedores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Valoración precesional de activos en liquidación (valor real futuro vs fiscal actual)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ALTA 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VM08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Tributario Valoriz.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Base imponible, avalúo fiscal SII, contribuciones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Delta tributario precesional: diferencia entre valor fiscal y valor precesional real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CRÍTICA 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VM09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IFRS 16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Contratos arriendo, tasas descuento, RoU assets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Valor uso precesional: ajuste RoU por transformación esperada de zona a 5-20 años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MEDIA 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VM10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Herencias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Masa hereditaria, tramos impositivos, bienes inmuebles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Proyección valor precesional de bienes heredados a 5-20 años para planificación fiscal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ALTA 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VM11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Expropiaciones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Indemnización fiscal, avalúo pericial, uso de suelo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Indemnización justa: incluye valor precesional no capturado por avalúo fiscal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CRÍTICA 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VM12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Due Diligence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Checklist legal/técnico/financiero, risk scoring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Due diligence precesional: riesgos y oportunidades sistémicos invisibles al DD clásico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CRÍTICA 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VM13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Garantías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LTV, valor tasación, tipo garantía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LTV precesional: ratio ajustado por valorización proyectada via multiplicador PAE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ALTA 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VM14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Arriendo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Canon, vacancia, TIR arriendo, cap rate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Cap rate precesional: incluye proyección de demanda por efectos territoriales futuros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ALTA 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VM15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Proyectos Inmob.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VAN, TIR, flujos proyectados, Monte Carlo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VAN Precesional: VAN + externalidades +90 grados en flujos de caja a 5-20 años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CRÍTICA 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VM16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Basel IV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RWA, capital regulatorio, ratios solvencia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RWA ajustado por riesgo precesional de cartera inmobiliaria del banco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ALTA 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VM17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GIRES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Alertas SENAPRED, zonas riesgo, vulnerabilidad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Riesgo precesional de desastres: cascada de efectos post-evento sobre activos y zona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CRÍTICA 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VM18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ESG Scoring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Métricas E, S, G por activo/portafolio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Score ESG precesional: incorpora transformaciones ambientales futuras de la zona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ALTA 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VM19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TNFD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Riesgos naturaleza, dependencias ecosistémicas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TNFD precesional: efectos indirectos de pérdida de servicios ecosistémicos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MEDIA 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VM20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Blockchain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Smart contracts, registros inmutables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Certificación PAE on-chain: análisis precesional verificable e inmutable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MEDIA 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VM22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Reportes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Templates, datos agregados, métricas clave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Reporte precesional integrado: resumen para inversores con métricas PAE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 ALTA 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OPORTUNIDADES ESTRATÉGICAS Y PRÓXIMOS PASOS</w:t>
      </w:r>
    </w:p>
    <w:p>
      <w:pPr>
        <w:spacing w:before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Oportunidades Emergentes Post-Resolución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resolución de las 7 discrepancias abre nuevas oportunidades que no eran viables con la documentación inconsistente: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60"/>
        <w:gridCol w:w="1500"/>
        <w:gridCol w:w="15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Oportunidad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Revenue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O1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PAE Validation-as-a-Service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Con el pipeline ML documentado (D7 resuelto), ofrecer validación de modelos predictivos de terceros contra datos precesionales. Diferenciador: nadie más tiene backtesting precesional.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6"/>
                <w:szCs w:val="16"/>
              </w:rPr>
              <w:t xml:space="preserve">USD 50-200K/año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Q3 2026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O2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PAE Academic License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Con la nomenclatura unificada (D2 resuelto) y documentación coherente, crear licencia educativa para universidades de arquitectura, urbanismo y economía.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6"/>
                <w:szCs w:val="16"/>
              </w:rPr>
              <w:t xml:space="preserve">USD 30-80K/año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Q2 2026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O3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PAE Municipal Pilot Pack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Con el caso Pudahuel recalibrado (D6 resuelto) y 4 zonas específicas CEPAL-UN, ofrecer paquete piloto estandarizado a 346 municipios de Chile.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6"/>
                <w:szCs w:val="16"/>
              </w:rPr>
              <w:t xml:space="preserve">USD 120-360K/año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Q1 2026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O4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PAE Valorización API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Con los 22 módulos VM integrados (sección 7), exponer API de scoring precesional para bancos, tasadores, corredores inmobiliarios.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6"/>
                <w:szCs w:val="16"/>
              </w:rPr>
              <w:t xml:space="preserve">USD 0.05-0.15/req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Q4 2026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O5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Certificación PAE para EIA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Con la documentación completa y coherente, proponer al SEA incorporar análisis precesional como complemento a Evaluación de Impacto Ambiental.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6"/>
                <w:szCs w:val="16"/>
              </w:rPr>
              <w:t xml:space="preserve">USD 200-500K/año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Q1 2027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O6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PAE Insurance Parametric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Con GIRES VM17 integrado al PAE, desarrollar modelos precesionales para pricing de seguros paramétricos inmobiliarios.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6"/>
                <w:szCs w:val="16"/>
              </w:rPr>
              <w:t xml:space="preserve">USD 300K-1M/año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Q3 2027</w:t>
            </w:r>
          </w:p>
        </w:tc>
      </w:tr>
    </w:tbl>
    <w:p>
      <w:pPr>
        <w:spacing w:before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Inversionistas Alineados Post-Resolución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 la documentación coherente y validada, el pitch deck se fortalece significativamente para los siguientes inversionistas: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200"/>
        <w:gridCol w:w="3360"/>
        <w:gridCol w:w="20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Inversor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Ticket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Alineación con Resoluciones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CORFO Bienes Públicos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Grant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$200MM CLP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D6 resuelto: caso Pudahuel con datos CEPAL-UN oficiales fortalece postulación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Postular Q1 2026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BID Lab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Grant/Equity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USD 100-500K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D1+D4 resueltos: arquitectura coherente demuestra madurez técnica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Pitch Q2 2026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CAF Ciudades Futuro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Grant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USD 300K-1M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D7 resuelto: pipeline ML validado genera confianza en predicciones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Propuesta Q2 2026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Magma Partners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Seed VC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USD 200-500K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D2+D3 resueltos: 61 módulos documentados con nomenclatura consistente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Pitch deck Q3 2026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ALLVP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Seed VC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USD 500K-1.5M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Todas resueltas: ecosistema coherente con IP protegible y métricas validadas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Demo day Q3 2026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Kayyak Ventures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Pre-seed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USD 100-300K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D7 resuelto: IP de pipeline ML + D1: arquitectura dual patentable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Pitch IP Q2 2026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ANID Fondef IDeA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Grant I+D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$200MM CLP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D7 resuelto: metodología validación ML publicable en paper académico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Postular con paper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Fifth Wall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Series 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USD 5-15M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Todas resueltas: plataforma enterprise-grade lista para escalar LATAM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Post-validación 2027</w:t>
            </w:r>
          </w:p>
        </w:tc>
      </w:tr>
    </w:tbl>
    <w:p>
      <w:pPr>
        <w:spacing w:before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Plan de Acción Actualizado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00"/>
        <w:gridCol w:w="2800"/>
      </w:tblGrid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Sprint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Tareas Concretas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Criterio de Éxito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Sprint 1 (Sem 1-2)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1. Actualizar Spec M11 con diagramas y textos de este documento. 2. Reemplazar Prompts A-F con versiones rectificadas. 3. Actualizar Landing v4 con conteo 61 módulos. 4. Generar pitch deck con caso Pudahuel CEPAL-UN.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Documentación 100% coherente, pitch deck listo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Sprint 2 (Sem 3-8)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5. Implementar M11-DP PHP nativo (Prompt H). 6. Implementar M11-AG Python nativo (Prompt I). 7. Event Bus bridge bidireccional Redis. 8. Integrar VM00, VM03, VM12, VM15 con PAE (los 4 CRÍTICOS).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PAE funcional en ambas plataformas, 4 VM integrados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Sprint 3 (Sem 9-16)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9. Caso Pudahuel completo con datos CEPAL-UN reales. 10. Ejecutar pipeline validación ML (K-Fold + OOT + OOA). 11. Publicar precisión validada con IC 95%. 12. Demo a 3 municipios. 13. Paper académico.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MP ~4.76x reproducible, precisión validada, 1+ carta intención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F5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Sprint 4 (Sem 17-24)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14. Integrar 18 VM restantes con PAE. 15. API PAE v1.0 pública. 16. Postulaciones CORFO + BID Lab + CAF. 17. Observatorio Precesional v1.0. 18. Preparar pitch VC seed round.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6"/>
                <w:szCs w:val="16"/>
              </w:rPr>
              <w:t xml:space="preserve">API funcional, 3+ postulaciones enviadas, observatorio publicado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CONCLUSIONES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RESOLUCIÓN INTEGRAL COMPLETADA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Las 7 discrepancias detectadas en PAE_Integracion_Analisis_Completo v2.0 han sido resueltas con soluciones concretas, documentadas y validadas contra los documentos fuente de DATAPOLIS v3.0, ÁGORA v4.0, el chat de Precesión original y los datos del Diagnóstico Estratégico CEPAL-UN.</w:t>
            </w:r>
          </w:p>
        </w:tc>
      </w:tr>
    </w:tbl>
    <w:p>
      <w:pPr>
        <w:spacing w:before="10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resolución de estas discrepancias transforma la documentación del ecosistema DATAPOLIS de un conjunto de documentos con inconsistencias internas a un corpus técnico coherente, auditable y listo para presentación a inversionistas, postulaciones a fondos públicos y publicaciones académicas.</w:t>
      </w:r>
    </w:p>
    <w:p>
      <w:pPr>
        <w:spacing w:before="4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Los principales logros de esta resolución son:</w:t>
      </w:r>
    </w:p>
    <w:p>
      <w:pPr>
        <w:spacing w:before="4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Arquitectura unificada: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arquitectura de cores independientes (M11-DP + M11-AG) con sincronización via Event Bus queda consolidada como la ÚNICA versión válida en toda la documentación. Cada plataforma es autónoma y el Multi-Agent System consume PAE como servicio, no lo contiene.</w:t>
      </w:r>
    </w:p>
    <w:p>
      <w:pPr>
        <w:spacing w:before="2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Nomenclatura consistente: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Los 61 módulos del ecosistema tienen identificadores únicos sin ambigüedad: PRO (M01-M17), Valorización (VM00-VM22), ÁGORA (AG01-AG08), Multi-Agent (IA01-IA13), PAE (transversal).</w:t>
      </w:r>
    </w:p>
    <w:p>
      <w:pPr>
        <w:spacing w:before="2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Validación ML rigurosa: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 pipeline de validación incluye K-Fold CV temporal, backtesting walk-forward, OOT/OOA hold-out, stress testing, métricas COD/PRD/PI, monitoreo de drift, y explicabilidad SHAP. Los claims de precisión ahora incluyen intervalos de confianza y condiciones de validez.</w:t>
      </w:r>
    </w:p>
    <w:p>
      <w:pPr>
        <w:spacing w:before="2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Caso Pudahuel recalibrado: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Datos oficiales del Diagnóstico Estratégico CEPAL-UN integrados: 4 zonas específicas, instrumentos normativos vigentes (PRMS-100, PRC D.S.156, ZUDC-8, Art.55 LGUC), restricciones de uso de suelo, y presión de densificación documentada.</w:t>
      </w:r>
    </w:p>
    <w:p>
      <w:pPr>
        <w:spacing w:before="2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Cobertura PAE completa: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Los 22 módulos de Valorización ahora tienen integración PAE documentada con inputs, outputs y prioridad definidos, eliminando el 36% del ecosistema que carecía de capacidad precesional.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43" w:sz="2"/>
              <w:left w:val="single" w:color="D4A843" w:sz="2"/>
              <w:bottom w:val="single" w:color="D4A843" w:sz="2"/>
              <w:right w:val="single" w:color="D4A843" w:sz="2"/>
            </w:tcBorders>
            <w:shd w:fill="FBF5E6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4A843"/>
                <w:sz w:val="24"/>
                <w:szCs w:val="24"/>
              </w:rPr>
              <w:t xml:space="preserve">VISIÓN 2030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DATAPOLIS como el estándar de inteligencia territorial aumentada en América Latina, con el PAE M11 como motor analítico cuya arquitectura coherente, validación rigurosa y documentación integral constituyen una barrera de entrada que ningún competidor puede replicar en menos de 3 años.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© 2026 DATAPOLIS SpA · Santiago, Chile · Weniger, aber besser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Confidencial — </w:t>
    </w:r>
    <w:r>
      <w:rPr>
        <w:rFonts w:ascii="Arial" w:cs="Arial" w:eastAsia="Arial" w:hAnsi="Arial"/>
        <w:color w:val="6B7280"/>
        <w:sz w:val="14"/>
        <w:szCs w:val="14"/>
      </w:rPr>
      <w:t xml:space="preserve">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DATAPOLIS SpA</w:t>
    </w:r>
    <w:r>
      <w:rPr>
        <w:rFonts w:ascii="Arial" w:cs="Arial" w:eastAsia="Arial" w:hAnsi="Arial"/>
        <w:color w:val="E5E7EB"/>
        <w:sz w:val="16"/>
        <w:szCs w:val="16"/>
      </w:rPr>
      <w:t xml:space="preserve">  |  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Resolución Discrepancias PAE M11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2026-02-24T06:30:26.705Z</dcterms:created>
  <dcterms:modified xsi:type="dcterms:W3CDTF">2026-02-24T06:30:26.706Z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