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/>
      </w:pPr>
      <w:r>
        <w:rPr/>
        <w:t>Sentinela AI - Relatório Técnico</w:t>
      </w:r>
    </w:p>
    <w:p>
      <w:pPr>
        <w:pStyle w:val="Heading2"/>
        <w:bidi w:val="0"/>
        <w:jc w:val="start"/>
        <w:rPr/>
      </w:pPr>
      <w:r>
        <w:rPr/>
        <w:t>1. Resumo Executivo</w:t>
      </w:r>
    </w:p>
    <w:p>
      <w:pPr>
        <w:pStyle w:val="BodyText"/>
        <w:bidi w:val="0"/>
        <w:jc w:val="start"/>
        <w:rPr/>
      </w:pPr>
      <w:r>
        <w:rPr/>
        <w:t xml:space="preserve">O Sentinela AI é uma solução de inteligência artificial multimodal para apoiar triagem, acolhimento e revisão humana em cenários de saúde e segurança feminina. O sistema processa texto, áudio, vídeo, objetos em imagem e dados clínicos/obstétricos, combinando os sinais em um score auditável. A saída não realiza diagnóstico automático de violência, depressão ou risco clínico; ela organiza evidências para decisão humana, com linguagem trauma-informada e trilha de cuidado. </w:t>
      </w:r>
    </w:p>
    <w:p>
      <w:pPr>
        <w:pStyle w:val="BodyText"/>
        <w:bidi w:val="0"/>
        <w:jc w:val="start"/>
        <w:rPr/>
      </w:pPr>
      <w:r>
        <w:rPr/>
        <w:t xml:space="preserve">A arquitetura foi atualizada para Azure, usando envelope técnico para Azure AI Services, Blob Storage, Service Bus, Key Vault, Log Analytics e Application Insights. O projeto também possui template Bicep em </w:t>
      </w:r>
      <w:r>
        <w:rPr>
          <w:rStyle w:val="Cdigo-fonte"/>
        </w:rPr>
        <w:t>infra/azure/main.bicep</w:t>
      </w:r>
      <w:r>
        <w:rPr/>
        <w:t xml:space="preserve"> para provisionamento da infraestrutura. </w:t>
      </w:r>
    </w:p>
    <w:p>
      <w:pPr>
        <w:pStyle w:val="Heading2"/>
        <w:bidi w:val="0"/>
        <w:jc w:val="start"/>
        <w:rPr/>
      </w:pPr>
      <w:r>
        <w:rPr/>
        <w:t>2. Aderência ao PDF do Tech Challenge</w:t>
      </w:r>
    </w:p>
    <w:tbl>
      <w:tblPr>
        <w:tblW w:w="10205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085"/>
        <w:gridCol w:w="3758"/>
        <w:gridCol w:w="3366"/>
        <w:gridCol w:w="996"/>
      </w:tblGrid>
      <w:tr>
        <w:trPr/>
        <w:tc>
          <w:tcPr>
            <w:tcW w:w="2085" w:type="dxa"/>
            <w:tcBorders/>
            <w:vAlign w:val="center"/>
          </w:tcPr>
          <w:p>
            <w:pPr>
              <w:pStyle w:val="Ttulodetabela"/>
              <w:suppressLineNumbers/>
              <w:shd w:fill="E8F1EF" w:val="clear"/>
              <w:bidi w:val="0"/>
              <w:jc w:val="start"/>
              <w:rPr/>
            </w:pPr>
            <w:r>
              <w:rPr/>
              <w:t>Exigência do desafio</w:t>
            </w:r>
          </w:p>
        </w:tc>
        <w:tc>
          <w:tcPr>
            <w:tcW w:w="3758" w:type="dxa"/>
            <w:tcBorders/>
            <w:vAlign w:val="center"/>
          </w:tcPr>
          <w:p>
            <w:pPr>
              <w:pStyle w:val="Ttulodetabela"/>
              <w:suppressLineNumbers/>
              <w:shd w:fill="E8F1EF" w:val="clear"/>
              <w:bidi w:val="0"/>
              <w:jc w:val="start"/>
              <w:rPr/>
            </w:pPr>
            <w:r>
              <w:rPr/>
              <w:t>Como o Sentinela atende</w:t>
            </w:r>
          </w:p>
        </w:tc>
        <w:tc>
          <w:tcPr>
            <w:tcW w:w="3366" w:type="dxa"/>
            <w:tcBorders/>
            <w:vAlign w:val="center"/>
          </w:tcPr>
          <w:p>
            <w:pPr>
              <w:pStyle w:val="Ttulodetabela"/>
              <w:suppressLineNumbers/>
              <w:shd w:fill="E8F1EF" w:val="clear"/>
              <w:bidi w:val="0"/>
              <w:jc w:val="start"/>
              <w:rPr/>
            </w:pPr>
            <w:r>
              <w:rPr/>
              <w:t>Artefatos no projeto</w:t>
            </w:r>
          </w:p>
        </w:tc>
        <w:tc>
          <w:tcPr>
            <w:tcW w:w="996" w:type="dxa"/>
            <w:tcBorders/>
            <w:vAlign w:val="center"/>
          </w:tcPr>
          <w:p>
            <w:pPr>
              <w:pStyle w:val="Ttulodetabela"/>
              <w:suppressLineNumbers/>
              <w:shd w:fill="E8F1EF" w:val="clear"/>
              <w:bidi w:val="0"/>
              <w:jc w:val="start"/>
              <w:rPr/>
            </w:pPr>
            <w:r>
              <w:rPr/>
              <w:t>Status</w:t>
            </w:r>
          </w:p>
        </w:tc>
      </w:tr>
      <w:tr>
        <w:trPr/>
        <w:tc>
          <w:tcPr>
            <w:tcW w:w="2085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Propor uma solução de IA aplicada à saúde e segurança da mulher.</w:t>
            </w:r>
          </w:p>
        </w:tc>
        <w:tc>
          <w:tcPr>
            <w:tcW w:w="3758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Sistema de triagem multimodal para sinais de vulnerabilidade, sofrimento psicológico, risco de segurança ambiental e risco obstétrico/fetal.</w:t>
            </w:r>
          </w:p>
        </w:tc>
        <w:tc>
          <w:tcPr>
            <w:tcW w:w="3366" w:type="dxa"/>
            <w:tcBorders/>
            <w:vAlign w:val="center"/>
          </w:tcPr>
          <w:p>
            <w:pPr>
              <w:pStyle w:val="Contedodatabela"/>
              <w:bidi w:val="0"/>
              <w:ind w:hanging="0" w:start="0" w:end="0"/>
              <w:jc w:val="start"/>
              <w:rPr/>
            </w:pPr>
            <w:r>
              <w:rPr>
                <w:rStyle w:val="Cdigo-fonte"/>
              </w:rPr>
              <w:t>README.md</w:t>
            </w:r>
            <w:r>
              <w:rPr/>
              <w:t xml:space="preserve">, </w:t>
            </w:r>
            <w:r>
              <w:rPr>
                <w:rStyle w:val="Cdigo-fonte"/>
              </w:rPr>
              <w:t>TECHNICAL_REPORT.md</w:t>
            </w:r>
            <w:r>
              <w:rPr/>
              <w:t xml:space="preserve">, </w:t>
            </w:r>
            <w:r>
              <w:rPr>
                <w:rStyle w:val="Cdigo-fonte"/>
              </w:rPr>
              <w:t>src/pipeline.py</w:t>
            </w:r>
          </w:p>
        </w:tc>
        <w:tc>
          <w:tcPr>
            <w:tcW w:w="996" w:type="dxa"/>
            <w:tcBorders/>
            <w:vAlign w:val="center"/>
          </w:tcPr>
          <w:p>
            <w:pPr>
              <w:pStyle w:val="Contedodatabela"/>
              <w:bidi w:val="0"/>
              <w:jc w:val="start"/>
              <w:rPr>
                <w:b/>
                <w:color w:val="0F766E"/>
              </w:rPr>
            </w:pPr>
            <w:r>
              <w:rPr>
                <w:b/>
                <w:color w:val="0F766E"/>
              </w:rPr>
              <w:t>Atendido</w:t>
            </w:r>
          </w:p>
        </w:tc>
      </w:tr>
      <w:tr>
        <w:trPr/>
        <w:tc>
          <w:tcPr>
            <w:tcW w:w="2085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Descrever o fluxo multimodal.</w:t>
            </w:r>
          </w:p>
        </w:tc>
        <w:tc>
          <w:tcPr>
            <w:tcW w:w="3758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Pipeline com extratores por modalidade, normalização, late fusion ponderada por confiança, motor de risco e care assessment.</w:t>
            </w:r>
          </w:p>
        </w:tc>
        <w:tc>
          <w:tcPr>
            <w:tcW w:w="3366" w:type="dxa"/>
            <w:tcBorders/>
            <w:vAlign w:val="center"/>
          </w:tcPr>
          <w:p>
            <w:pPr>
              <w:pStyle w:val="Contedodatabela"/>
              <w:bidi w:val="0"/>
              <w:ind w:hanging="0" w:start="0" w:end="0"/>
              <w:jc w:val="start"/>
              <w:rPr/>
            </w:pPr>
            <w:r>
              <w:rPr>
                <w:rStyle w:val="Cdigo-fonte"/>
              </w:rPr>
              <w:t>src/extractors/</w:t>
            </w:r>
            <w:r>
              <w:rPr/>
              <w:t xml:space="preserve">, </w:t>
            </w:r>
            <w:r>
              <w:rPr>
                <w:rStyle w:val="Cdigo-fonte"/>
              </w:rPr>
              <w:t>src/engines/fusion_engine.py</w:t>
            </w:r>
            <w:r>
              <w:rPr/>
              <w:t xml:space="preserve">, </w:t>
            </w:r>
            <w:r>
              <w:rPr>
                <w:rStyle w:val="Cdigo-fonte"/>
              </w:rPr>
              <w:t>src/engines/risk_engine.py</w:t>
            </w:r>
          </w:p>
        </w:tc>
        <w:tc>
          <w:tcPr>
            <w:tcW w:w="996" w:type="dxa"/>
            <w:tcBorders/>
            <w:vAlign w:val="center"/>
          </w:tcPr>
          <w:p>
            <w:pPr>
              <w:pStyle w:val="Contedodatabela"/>
              <w:bidi w:val="0"/>
              <w:jc w:val="start"/>
              <w:rPr>
                <w:b/>
                <w:color w:val="0F766E"/>
              </w:rPr>
            </w:pPr>
            <w:r>
              <w:rPr>
                <w:b/>
                <w:color w:val="0F766E"/>
              </w:rPr>
              <w:t>Atendido</w:t>
            </w:r>
          </w:p>
        </w:tc>
      </w:tr>
      <w:tr>
        <w:trPr/>
        <w:tc>
          <w:tcPr>
            <w:tcW w:w="2085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Informar os modelos aplicados em cada tipo de dado.</w:t>
            </w:r>
          </w:p>
        </w:tc>
        <w:tc>
          <w:tcPr>
            <w:tcW w:w="3758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Modelos e heurísticas listados por áudio, texto, vídeo, objetos e dados clínicos.</w:t>
            </w:r>
          </w:p>
        </w:tc>
        <w:tc>
          <w:tcPr>
            <w:tcW w:w="3366" w:type="dxa"/>
            <w:tcBorders/>
            <w:vAlign w:val="center"/>
          </w:tcPr>
          <w:p>
            <w:pPr>
              <w:pStyle w:val="Contedodatabela"/>
              <w:bidi w:val="0"/>
              <w:ind w:hanging="0" w:start="0" w:end="0"/>
              <w:jc w:val="start"/>
              <w:rPr/>
            </w:pPr>
            <w:r>
              <w:rPr>
                <w:rStyle w:val="Cdigo-fonte"/>
              </w:rPr>
              <w:t>src/extractors/</w:t>
            </w:r>
            <w:r>
              <w:rPr/>
              <w:t xml:space="preserve">, </w:t>
            </w:r>
            <w:r>
              <w:rPr>
                <w:rStyle w:val="Cdigo-fonte"/>
              </w:rPr>
              <w:t>src/training/</w:t>
            </w:r>
            <w:r>
              <w:rPr/>
              <w:t xml:space="preserve">, </w:t>
            </w:r>
            <w:r>
              <w:rPr>
                <w:rStyle w:val="Cdigo-fonte"/>
              </w:rPr>
              <w:t>src/config.py</w:t>
            </w:r>
          </w:p>
        </w:tc>
        <w:tc>
          <w:tcPr>
            <w:tcW w:w="996" w:type="dxa"/>
            <w:tcBorders/>
            <w:vAlign w:val="center"/>
          </w:tcPr>
          <w:p>
            <w:pPr>
              <w:pStyle w:val="Contedodatabela"/>
              <w:bidi w:val="0"/>
              <w:jc w:val="start"/>
              <w:rPr>
                <w:b/>
                <w:color w:val="0F766E"/>
              </w:rPr>
            </w:pPr>
            <w:r>
              <w:rPr>
                <w:b/>
                <w:color w:val="0F766E"/>
              </w:rPr>
              <w:t>Atendido</w:t>
            </w:r>
          </w:p>
        </w:tc>
      </w:tr>
      <w:tr>
        <w:trPr/>
        <w:tc>
          <w:tcPr>
            <w:tcW w:w="2085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Apresentar resultados obtidos.</w:t>
            </w:r>
          </w:p>
        </w:tc>
        <w:tc>
          <w:tcPr>
            <w:tcW w:w="3758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Métricas de baseline, mAP do YOLOv8, exemplos de scores e prioridades operacionais.</w:t>
            </w:r>
          </w:p>
        </w:tc>
        <w:tc>
          <w:tcPr>
            <w:tcW w:w="3366" w:type="dxa"/>
            <w:tcBorders/>
            <w:vAlign w:val="center"/>
          </w:tcPr>
          <w:p>
            <w:pPr>
              <w:pStyle w:val="Contedodatabela"/>
              <w:bidi w:val="0"/>
              <w:ind w:hanging="0" w:start="0" w:end="0"/>
              <w:jc w:val="start"/>
              <w:rPr/>
            </w:pPr>
            <w:r>
              <w:rPr>
                <w:rStyle w:val="Cdigo-fonte"/>
              </w:rPr>
              <w:t>TECHNICAL_REPORT.md</w:t>
            </w:r>
            <w:r>
              <w:rPr/>
              <w:t xml:space="preserve">, manifests em </w:t>
            </w:r>
            <w:r>
              <w:rPr>
                <w:rStyle w:val="Cdigo-fonte"/>
              </w:rPr>
              <w:t>data/manifests/</w:t>
            </w:r>
          </w:p>
        </w:tc>
        <w:tc>
          <w:tcPr>
            <w:tcW w:w="996" w:type="dxa"/>
            <w:tcBorders/>
            <w:vAlign w:val="center"/>
          </w:tcPr>
          <w:p>
            <w:pPr>
              <w:pStyle w:val="Contedodatabela"/>
              <w:bidi w:val="0"/>
              <w:jc w:val="start"/>
              <w:rPr>
                <w:b/>
                <w:color w:val="0F766E"/>
              </w:rPr>
            </w:pPr>
            <w:r>
              <w:rPr>
                <w:b/>
                <w:color w:val="0F766E"/>
              </w:rPr>
              <w:t>Atendido</w:t>
            </w:r>
          </w:p>
        </w:tc>
      </w:tr>
      <w:tr>
        <w:trPr/>
        <w:tc>
          <w:tcPr>
            <w:tcW w:w="2085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Exibir exemplos de anomalias detectadas.</w:t>
            </w:r>
          </w:p>
        </w:tc>
        <w:tc>
          <w:tcPr>
            <w:tcW w:w="3758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Inclui anomalias textuais, acústicas, visuais, de objetos e clínico-obstétricas.</w:t>
            </w:r>
          </w:p>
        </w:tc>
        <w:tc>
          <w:tcPr>
            <w:tcW w:w="3366" w:type="dxa"/>
            <w:tcBorders/>
            <w:vAlign w:val="center"/>
          </w:tcPr>
          <w:p>
            <w:pPr>
              <w:pStyle w:val="Contedodatabela"/>
              <w:bidi w:val="0"/>
              <w:ind w:hanging="0" w:start="0" w:end="0"/>
              <w:jc w:val="start"/>
              <w:rPr/>
            </w:pPr>
            <w:r>
              <w:rPr>
                <w:rStyle w:val="Cdigo-fonte"/>
              </w:rPr>
              <w:t>tests/</w:t>
            </w:r>
            <w:r>
              <w:rPr/>
              <w:t xml:space="preserve">, </w:t>
            </w:r>
            <w:r>
              <w:rPr>
                <w:rStyle w:val="Cdigo-fonte"/>
              </w:rPr>
              <w:t>src/domain/labels.py</w:t>
            </w:r>
            <w:r>
              <w:rPr/>
              <w:t xml:space="preserve">, </w:t>
            </w:r>
            <w:r>
              <w:rPr>
                <w:rStyle w:val="Cdigo-fonte"/>
              </w:rPr>
              <w:t>src/engines/risk_engine.py</w:t>
            </w:r>
          </w:p>
        </w:tc>
        <w:tc>
          <w:tcPr>
            <w:tcW w:w="996" w:type="dxa"/>
            <w:tcBorders/>
            <w:vAlign w:val="center"/>
          </w:tcPr>
          <w:p>
            <w:pPr>
              <w:pStyle w:val="Contedodatabela"/>
              <w:bidi w:val="0"/>
              <w:jc w:val="start"/>
              <w:rPr>
                <w:b/>
                <w:color w:val="0F766E"/>
              </w:rPr>
            </w:pPr>
            <w:r>
              <w:rPr>
                <w:b/>
                <w:color w:val="0F766E"/>
              </w:rPr>
              <w:t>Atendido</w:t>
            </w:r>
          </w:p>
        </w:tc>
      </w:tr>
      <w:tr>
        <w:trPr/>
        <w:tc>
          <w:tcPr>
            <w:tcW w:w="2085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Utilizar serviços em nuvem.</w:t>
            </w:r>
          </w:p>
        </w:tc>
        <w:tc>
          <w:tcPr>
            <w:tcW w:w="3758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Arquitetura Azure-first com AI Services, Blob Storage, Service Bus, Key Vault, Application Insights e Log Analytics.</w:t>
            </w:r>
          </w:p>
        </w:tc>
        <w:tc>
          <w:tcPr>
            <w:tcW w:w="3366" w:type="dxa"/>
            <w:tcBorders/>
            <w:vAlign w:val="center"/>
          </w:tcPr>
          <w:p>
            <w:pPr>
              <w:pStyle w:val="Contedodatabela"/>
              <w:bidi w:val="0"/>
              <w:ind w:hanging="0" w:start="0" w:end="0"/>
              <w:jc w:val="start"/>
              <w:rPr/>
            </w:pPr>
            <w:r>
              <w:rPr>
                <w:rStyle w:val="Cdigo-fonte"/>
              </w:rPr>
              <w:t>src/cloud/azure_integration.py</w:t>
            </w:r>
            <w:r>
              <w:rPr/>
              <w:t xml:space="preserve">, </w:t>
            </w:r>
            <w:r>
              <w:rPr>
                <w:rStyle w:val="Cdigo-fonte"/>
              </w:rPr>
              <w:t>infra/azure/main.bicep</w:t>
            </w:r>
          </w:p>
        </w:tc>
        <w:tc>
          <w:tcPr>
            <w:tcW w:w="996" w:type="dxa"/>
            <w:tcBorders/>
            <w:vAlign w:val="center"/>
          </w:tcPr>
          <w:p>
            <w:pPr>
              <w:pStyle w:val="Contedodatabela"/>
              <w:bidi w:val="0"/>
              <w:jc w:val="start"/>
              <w:rPr>
                <w:b/>
                <w:color w:val="0F766E"/>
              </w:rPr>
            </w:pPr>
            <w:r>
              <w:rPr>
                <w:b/>
                <w:color w:val="0F766E"/>
              </w:rPr>
              <w:t>Atendido</w:t>
            </w:r>
          </w:p>
        </w:tc>
      </w:tr>
    </w:tbl>
    <w:p>
      <w:pPr>
        <w:pStyle w:val="Heading2"/>
        <w:bidi w:val="0"/>
        <w:jc w:val="start"/>
        <w:rPr/>
      </w:pPr>
      <w:r>
        <w:rPr/>
        <w:t>3. Descrição do Fluxo Multimodal</w:t>
      </w:r>
    </w:p>
    <w:p>
      <w:pPr>
        <w:pStyle w:val="BodyText"/>
        <w:bidi w:val="0"/>
        <w:jc w:val="start"/>
        <w:rPr/>
      </w:pPr>
      <w:r>
        <w:rPr/>
        <w:t>O fluxo do Sentinela AI segue as etapas abaixo: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Entrada de dados:</w:t>
      </w:r>
      <w:r>
        <w:rPr/>
        <w:t xml:space="preserve"> a API ou interface recebe texto livre, arquivo de áudio, vídeo/imagem e dados clínicos estruturados.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Extração por modalidade:</w:t>
      </w:r>
      <w:r>
        <w:rPr/>
        <w:t xml:space="preserve"> cada tipo de dado é processado por um extrator independente.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Normalização:</w:t>
      </w:r>
      <w:r>
        <w:rPr/>
        <w:t xml:space="preserve"> cada extrator retorna </w:t>
      </w:r>
      <w:r>
        <w:rPr>
          <w:rStyle w:val="Cdigo-fonte"/>
        </w:rPr>
        <w:t>score</w:t>
      </w:r>
      <w:r>
        <w:rPr/>
        <w:t xml:space="preserve">, </w:t>
      </w:r>
      <w:r>
        <w:rPr>
          <w:rStyle w:val="Cdigo-fonte"/>
        </w:rPr>
        <w:t>confidence</w:t>
      </w:r>
      <w:r>
        <w:rPr/>
        <w:t xml:space="preserve">, evidências e avisos de qualidade.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Fusão multimodal:</w:t>
      </w:r>
      <w:r>
        <w:rPr/>
        <w:t xml:space="preserve"> o </w:t>
      </w:r>
      <w:r>
        <w:rPr>
          <w:rStyle w:val="Cdigo-fonte"/>
        </w:rPr>
        <w:t>FusionEngine</w:t>
      </w:r>
      <w:r>
        <w:rPr/>
        <w:t xml:space="preserve"> aplica pesos por modalidade, ajusta por confiança e aplica penalidade por cobertura quando faltam modalidades.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Classificação operacional:</w:t>
      </w:r>
      <w:r>
        <w:rPr/>
        <w:t xml:space="preserve"> o </w:t>
      </w:r>
      <w:r>
        <w:rPr>
          <w:rStyle w:val="Cdigo-fonte"/>
        </w:rPr>
        <w:t>RiskEngine</w:t>
      </w:r>
      <w:r>
        <w:rPr/>
        <w:t xml:space="preserve"> traduz o score para ROTINA, MONITORAR ou URGENTE.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Trilha de cuidado:</w:t>
      </w:r>
      <w:r>
        <w:rPr/>
        <w:t xml:space="preserve"> o </w:t>
      </w:r>
      <w:r>
        <w:rPr>
          <w:rStyle w:val="Cdigo-fonte"/>
        </w:rPr>
        <w:t>CareEngine</w:t>
      </w:r>
      <w:r>
        <w:rPr/>
        <w:t xml:space="preserve"> gera dimensões de cuidado e recomenda encaminhamento humano sem linguagem diagnóstica.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Envelope Azure:</w:t>
      </w:r>
      <w:r>
        <w:rPr/>
        <w:t xml:space="preserve"> a saída inclui recibo técnico para armazenamento, alerta clínico e observabilidade em Azure. </w:t>
      </w:r>
    </w:p>
    <w:p>
      <w:pPr>
        <w:pStyle w:val="Heading3"/>
        <w:bidi w:val="0"/>
        <w:jc w:val="start"/>
        <w:rPr/>
      </w:pPr>
      <w:r>
        <w:rPr/>
        <w:t>3.1 Fórmula de Fusão</w:t>
      </w:r>
    </w:p>
    <w:p>
      <w:pPr>
        <w:pStyle w:val="BodyText"/>
        <w:bidi w:val="0"/>
        <w:jc w:val="start"/>
        <w:rPr/>
      </w:pPr>
      <w:r>
        <w:rPr/>
        <w:t>O score multimodal é calculado por late fusion:</w:t>
      </w:r>
    </w:p>
    <w:p>
      <w:pPr>
        <w:pStyle w:val="Corpodetextonote"/>
        <w:bidi w:val="0"/>
        <w:jc w:val="start"/>
        <w:rPr/>
      </w:pPr>
      <w:r>
        <w:rPr/>
        <w:t xml:space="preserve">score_final = soma(score_modalidade x peso_normalizado x confiança) x coverage_penalty </w:t>
      </w:r>
    </w:p>
    <w:tbl>
      <w:tblPr>
        <w:tblW w:w="8464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193"/>
        <w:gridCol w:w="1070"/>
        <w:gridCol w:w="6201"/>
      </w:tblGrid>
      <w:tr>
        <w:trPr/>
        <w:tc>
          <w:tcPr>
            <w:tcW w:w="1193" w:type="dxa"/>
            <w:tcBorders/>
            <w:vAlign w:val="center"/>
          </w:tcPr>
          <w:p>
            <w:pPr>
              <w:pStyle w:val="Ttulodetabela"/>
              <w:suppressLineNumbers/>
              <w:shd w:fill="E8F1EF" w:val="clear"/>
              <w:bidi w:val="0"/>
              <w:jc w:val="start"/>
              <w:rPr/>
            </w:pPr>
            <w:r>
              <w:rPr/>
              <w:t>Modalidade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Ttulodetabela"/>
              <w:suppressLineNumbers/>
              <w:shd w:fill="E8F1EF" w:val="clear"/>
              <w:bidi w:val="0"/>
              <w:jc w:val="start"/>
              <w:rPr/>
            </w:pPr>
            <w:r>
              <w:rPr/>
              <w:t>Peso base</w:t>
            </w:r>
          </w:p>
        </w:tc>
        <w:tc>
          <w:tcPr>
            <w:tcW w:w="6201" w:type="dxa"/>
            <w:tcBorders/>
            <w:vAlign w:val="center"/>
          </w:tcPr>
          <w:p>
            <w:pPr>
              <w:pStyle w:val="Ttulodetabela"/>
              <w:suppressLineNumbers/>
              <w:shd w:fill="E8F1EF" w:val="clear"/>
              <w:bidi w:val="0"/>
              <w:jc w:val="start"/>
              <w:rPr/>
            </w:pPr>
            <w:r>
              <w:rPr/>
              <w:t>Justificativa</w:t>
            </w:r>
          </w:p>
        </w:tc>
      </w:tr>
      <w:tr>
        <w:trPr/>
        <w:tc>
          <w:tcPr>
            <w:tcW w:w="1193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Vídeo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0,25</w:t>
            </w:r>
          </w:p>
        </w:tc>
        <w:tc>
          <w:tcPr>
            <w:tcW w:w="620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Sinais não verbais, postura defensiva e movimento temporal.</w:t>
            </w:r>
          </w:p>
        </w:tc>
      </w:tr>
      <w:tr>
        <w:trPr/>
        <w:tc>
          <w:tcPr>
            <w:tcW w:w="1193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Áudio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0,20</w:t>
            </w:r>
          </w:p>
        </w:tc>
        <w:tc>
          <w:tcPr>
            <w:tcW w:w="620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Hesitação, pausas, energia vocal e emoção acústica.</w:t>
            </w:r>
          </w:p>
        </w:tc>
      </w:tr>
      <w:tr>
        <w:trPr/>
        <w:tc>
          <w:tcPr>
            <w:tcW w:w="1193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Texto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0,20</w:t>
            </w:r>
          </w:p>
        </w:tc>
        <w:tc>
          <w:tcPr>
            <w:tcW w:w="620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Marcadores explícitos de medo, controle, isolamento e sofrimento.</w:t>
            </w:r>
          </w:p>
        </w:tc>
      </w:tr>
      <w:tr>
        <w:trPr/>
        <w:tc>
          <w:tcPr>
            <w:tcW w:w="1193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Objetos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0,15</w:t>
            </w:r>
          </w:p>
        </w:tc>
        <w:tc>
          <w:tcPr>
            <w:tcW w:w="620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Presença de faca, tesoura, objeto cortante ou item de risco ambiental.</w:t>
            </w:r>
          </w:p>
        </w:tc>
      </w:tr>
      <w:tr>
        <w:trPr/>
        <w:tc>
          <w:tcPr>
            <w:tcW w:w="1193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Clínico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0,20</w:t>
            </w:r>
          </w:p>
        </w:tc>
        <w:tc>
          <w:tcPr>
            <w:tcW w:w="620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Risco obstétrico/fetal por CTG e sinais vitais maternos.</w:t>
            </w:r>
          </w:p>
        </w:tc>
      </w:tr>
    </w:tbl>
    <w:p>
      <w:pPr>
        <w:pStyle w:val="Heading2"/>
        <w:bidi w:val="0"/>
        <w:jc w:val="start"/>
        <w:rPr/>
      </w:pPr>
      <w:r>
        <w:rPr/>
        <w:t>4. Modelos Aplicados por Tipo de Dado</w:t>
      </w:r>
    </w:p>
    <w:tbl>
      <w:tblPr>
        <w:tblW w:w="10205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182"/>
        <w:gridCol w:w="1928"/>
        <w:gridCol w:w="1548"/>
        <w:gridCol w:w="2823"/>
        <w:gridCol w:w="2724"/>
      </w:tblGrid>
      <w:tr>
        <w:trPr/>
        <w:tc>
          <w:tcPr>
            <w:tcW w:w="1182" w:type="dxa"/>
            <w:tcBorders/>
            <w:vAlign w:val="center"/>
          </w:tcPr>
          <w:p>
            <w:pPr>
              <w:pStyle w:val="Ttulodetabela"/>
              <w:suppressLineNumbers/>
              <w:shd w:fill="E8F1EF" w:val="clear"/>
              <w:bidi w:val="0"/>
              <w:jc w:val="start"/>
              <w:rPr/>
            </w:pPr>
            <w:r>
              <w:rPr/>
              <w:t>Tipo de dado</w:t>
            </w:r>
          </w:p>
        </w:tc>
        <w:tc>
          <w:tcPr>
            <w:tcW w:w="1928" w:type="dxa"/>
            <w:tcBorders/>
            <w:vAlign w:val="center"/>
          </w:tcPr>
          <w:p>
            <w:pPr>
              <w:pStyle w:val="Ttulodetabela"/>
              <w:suppressLineNumbers/>
              <w:shd w:fill="E8F1EF" w:val="clear"/>
              <w:bidi w:val="0"/>
              <w:jc w:val="start"/>
              <w:rPr/>
            </w:pPr>
            <w:r>
              <w:rPr/>
              <w:t>Modelo ou técnica</w:t>
            </w:r>
          </w:p>
        </w:tc>
        <w:tc>
          <w:tcPr>
            <w:tcW w:w="1548" w:type="dxa"/>
            <w:tcBorders/>
            <w:vAlign w:val="center"/>
          </w:tcPr>
          <w:p>
            <w:pPr>
              <w:pStyle w:val="Ttulodetabela"/>
              <w:suppressLineNumbers/>
              <w:shd w:fill="E8F1EF" w:val="clear"/>
              <w:bidi w:val="0"/>
              <w:jc w:val="start"/>
              <w:rPr/>
            </w:pPr>
            <w:r>
              <w:rPr/>
              <w:t>Entrada</w:t>
            </w:r>
          </w:p>
        </w:tc>
        <w:tc>
          <w:tcPr>
            <w:tcW w:w="2823" w:type="dxa"/>
            <w:tcBorders/>
            <w:vAlign w:val="center"/>
          </w:tcPr>
          <w:p>
            <w:pPr>
              <w:pStyle w:val="Ttulodetabela"/>
              <w:suppressLineNumbers/>
              <w:shd w:fill="E8F1EF" w:val="clear"/>
              <w:bidi w:val="0"/>
              <w:jc w:val="start"/>
              <w:rPr/>
            </w:pPr>
            <w:r>
              <w:rPr/>
              <w:t>Saída</w:t>
            </w:r>
          </w:p>
        </w:tc>
        <w:tc>
          <w:tcPr>
            <w:tcW w:w="2724" w:type="dxa"/>
            <w:tcBorders/>
            <w:vAlign w:val="center"/>
          </w:tcPr>
          <w:p>
            <w:pPr>
              <w:pStyle w:val="Ttulodetabela"/>
              <w:suppressLineNumbers/>
              <w:shd w:fill="E8F1EF" w:val="clear"/>
              <w:bidi w:val="0"/>
              <w:jc w:val="start"/>
              <w:rPr/>
            </w:pPr>
            <w:r>
              <w:rPr/>
              <w:t>Arquivo principal</w:t>
            </w:r>
          </w:p>
        </w:tc>
      </w:tr>
      <w:tr>
        <w:trPr/>
        <w:tc>
          <w:tcPr>
            <w:tcW w:w="1182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Texto</w:t>
            </w:r>
          </w:p>
        </w:tc>
        <w:tc>
          <w:tcPr>
            <w:tcW w:w="1928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Extrator lexical multi-label em português, com normalização de acentos, negação contextual, intensificadores e hedges.</w:t>
            </w:r>
          </w:p>
        </w:tc>
        <w:tc>
          <w:tcPr>
            <w:tcW w:w="1548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Relato textual, observação clínica ou transcrição.</w:t>
            </w:r>
          </w:p>
        </w:tc>
        <w:tc>
          <w:tcPr>
            <w:tcW w:w="2823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Scores para safety_concern, control_or_coercion, isolation, hopelessness, physical_symptom, psychological_distress e support_network_absent.</w:t>
            </w:r>
          </w:p>
        </w:tc>
        <w:tc>
          <w:tcPr>
            <w:tcW w:w="2724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>
                <w:rStyle w:val="Cdigo-fonte"/>
              </w:rPr>
              <w:t>src/extractors/text.py</w:t>
            </w:r>
          </w:p>
        </w:tc>
      </w:tr>
      <w:tr>
        <w:trPr/>
        <w:tc>
          <w:tcPr>
            <w:tcW w:w="1182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Áudio</w:t>
            </w:r>
          </w:p>
        </w:tc>
        <w:tc>
          <w:tcPr>
            <w:tcW w:w="1928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Features acústicas + baseline emocional Logistic Regression treinado com RAVDESS.</w:t>
            </w:r>
          </w:p>
        </w:tc>
        <w:tc>
          <w:tcPr>
            <w:tcW w:w="1548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Arquivo WAV/PCM.</w:t>
            </w:r>
          </w:p>
        </w:tc>
        <w:tc>
          <w:tcPr>
            <w:tcW w:w="2823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Energia, pausas, ZCR, clipping, distress vocal e distribuição emocional.</w:t>
            </w:r>
          </w:p>
        </w:tc>
        <w:tc>
          <w:tcPr>
            <w:tcW w:w="2724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>
                <w:rStyle w:val="Cdigo-fonte"/>
              </w:rPr>
              <w:t>src/extractors/audio.py</w:t>
            </w:r>
            <w:r>
              <w:rPr/>
              <w:t xml:space="preserve">, </w:t>
            </w:r>
            <w:r>
              <w:rPr>
                <w:rStyle w:val="Cdigo-fonte"/>
              </w:rPr>
              <w:t>src/extractors/audio_emotion.py</w:t>
            </w:r>
          </w:p>
        </w:tc>
      </w:tr>
      <w:tr>
        <w:trPr/>
        <w:tc>
          <w:tcPr>
            <w:tcW w:w="1182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Vídeo - pose</w:t>
            </w:r>
          </w:p>
        </w:tc>
        <w:tc>
          <w:tcPr>
            <w:tcW w:w="1928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YOLOv8n-Pose com keypoints COCO17 e heurística de postura defensiva.</w:t>
            </w:r>
          </w:p>
        </w:tc>
        <w:tc>
          <w:tcPr>
            <w:tcW w:w="1548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Frames de vídeo ou keypoints.</w:t>
            </w:r>
          </w:p>
        </w:tc>
        <w:tc>
          <w:tcPr>
            <w:tcW w:w="2823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hands_near_face, arms_bent, postura defensiva e alerta não verbal.</w:t>
            </w:r>
          </w:p>
        </w:tc>
        <w:tc>
          <w:tcPr>
            <w:tcW w:w="2724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>
                <w:rStyle w:val="Cdigo-fonte"/>
              </w:rPr>
              <w:t>src/extractors/pose.py</w:t>
            </w:r>
          </w:p>
        </w:tc>
      </w:tr>
      <w:tr>
        <w:trPr/>
        <w:tc>
          <w:tcPr>
            <w:tcW w:w="1182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Vídeo - bem-estar</w:t>
            </w:r>
          </w:p>
        </w:tc>
        <w:tc>
          <w:tcPr>
            <w:tcW w:w="1928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RandomForest MultiOutput treinado com DAiSEE.</w:t>
            </w:r>
          </w:p>
        </w:tc>
        <w:tc>
          <w:tcPr>
            <w:tcW w:w="1548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Features visuais de frames: brilho, contraste, movimento e bordas.</w:t>
            </w:r>
          </w:p>
        </w:tc>
        <w:tc>
          <w:tcPr>
            <w:tcW w:w="2823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Boredom, engagement, confusion e frustration.</w:t>
            </w:r>
          </w:p>
        </w:tc>
        <w:tc>
          <w:tcPr>
            <w:tcW w:w="2724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>
                <w:rStyle w:val="Cdigo-fonte"/>
              </w:rPr>
              <w:t>src/extractors/visual_wellbeing.py</w:t>
            </w:r>
          </w:p>
        </w:tc>
      </w:tr>
      <w:tr>
        <w:trPr/>
        <w:tc>
          <w:tcPr>
            <w:tcW w:w="1182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Objetos em imagem/vídeo</w:t>
            </w:r>
          </w:p>
        </w:tc>
        <w:tc>
          <w:tcPr>
            <w:tcW w:w="1928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YOLOv8n fine-tuned para objetos cortantes, com fallback COCO.</w:t>
            </w:r>
          </w:p>
        </w:tc>
        <w:tc>
          <w:tcPr>
            <w:tcW w:w="1548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Imagem ou frames.</w:t>
            </w:r>
          </w:p>
        </w:tc>
        <w:tc>
          <w:tcPr>
            <w:tcW w:w="2823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Detecções de Knife, Scissors, Fork, Cutter, Ice Pick, Screwdriver, Peeler e outras classes do dataset customizado.</w:t>
            </w:r>
          </w:p>
        </w:tc>
        <w:tc>
          <w:tcPr>
            <w:tcW w:w="2724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>
                <w:rStyle w:val="Cdigo-fonte"/>
              </w:rPr>
              <w:t>src/extractors/objects.py</w:t>
            </w:r>
            <w:r>
              <w:rPr/>
              <w:t xml:space="preserve">, </w:t>
            </w:r>
            <w:r>
              <w:rPr>
                <w:rStyle w:val="Cdigo-fonte"/>
              </w:rPr>
              <w:t>src/training/train_sharp_objects.py</w:t>
            </w:r>
          </w:p>
        </w:tc>
      </w:tr>
      <w:tr>
        <w:trPr/>
        <w:tc>
          <w:tcPr>
            <w:tcW w:w="1182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Clínico/obstétrico</w:t>
            </w:r>
          </w:p>
        </w:tc>
        <w:tc>
          <w:tcPr>
            <w:tcW w:w="1928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Regras clínicas auditáveis para CTG e Maternal Health Risk.</w:t>
            </w:r>
          </w:p>
        </w:tc>
        <w:tc>
          <w:tcPr>
            <w:tcW w:w="1548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NSP, acelerações, desacelerações, sinais vitais, glicemia, temperatura, idade gestacional e contexto perinatal.</w:t>
            </w:r>
          </w:p>
        </w:tc>
        <w:tc>
          <w:tcPr>
            <w:tcW w:w="2823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Risco obstétrico/fetal, severidade, confidence e evidências explicáveis.</w:t>
            </w:r>
          </w:p>
        </w:tc>
        <w:tc>
          <w:tcPr>
            <w:tcW w:w="2724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>
                <w:rStyle w:val="Cdigo-fonte"/>
              </w:rPr>
              <w:t>src/extractors/clinical.py</w:t>
            </w:r>
          </w:p>
        </w:tc>
      </w:tr>
      <w:tr>
        <w:trPr/>
        <w:tc>
          <w:tcPr>
            <w:tcW w:w="1182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Cloud</w:t>
            </w:r>
          </w:p>
        </w:tc>
        <w:tc>
          <w:tcPr>
            <w:tcW w:w="1928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Envelope Azure para integração técnica e auditoria.</w:t>
            </w:r>
          </w:p>
        </w:tc>
        <w:tc>
          <w:tcPr>
            <w:tcW w:w="1548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Relatório multimodal final.</w:t>
            </w:r>
          </w:p>
        </w:tc>
        <w:tc>
          <w:tcPr>
            <w:tcW w:w="2823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Recibo com provider=azure, modo configured/local_simulation, hash, fila de alerta e serviços gerenciados.</w:t>
            </w:r>
          </w:p>
        </w:tc>
        <w:tc>
          <w:tcPr>
            <w:tcW w:w="2724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>
                <w:rStyle w:val="Cdigo-fonte"/>
              </w:rPr>
              <w:t>src/cloud/azure_integration.py</w:t>
            </w:r>
          </w:p>
        </w:tc>
      </w:tr>
    </w:tbl>
    <w:p>
      <w:pPr>
        <w:pStyle w:val="Heading2"/>
        <w:bidi w:val="0"/>
        <w:jc w:val="start"/>
        <w:rPr/>
      </w:pPr>
      <w:r>
        <w:rPr/>
        <w:t>5. Resultados Obtidos</w:t>
      </w:r>
    </w:p>
    <w:tbl>
      <w:tblPr>
        <w:tblW w:w="10205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769"/>
        <w:gridCol w:w="3512"/>
        <w:gridCol w:w="4924"/>
      </w:tblGrid>
      <w:tr>
        <w:trPr/>
        <w:tc>
          <w:tcPr>
            <w:tcW w:w="1769" w:type="dxa"/>
            <w:tcBorders/>
            <w:vAlign w:val="center"/>
          </w:tcPr>
          <w:p>
            <w:pPr>
              <w:pStyle w:val="Ttulodetabela"/>
              <w:suppressLineNumbers/>
              <w:shd w:fill="E8F1EF" w:val="clear"/>
              <w:bidi w:val="0"/>
              <w:jc w:val="start"/>
              <w:rPr/>
            </w:pPr>
            <w:r>
              <w:rPr/>
              <w:t>Componente</w:t>
            </w:r>
          </w:p>
        </w:tc>
        <w:tc>
          <w:tcPr>
            <w:tcW w:w="3512" w:type="dxa"/>
            <w:tcBorders/>
            <w:vAlign w:val="center"/>
          </w:tcPr>
          <w:p>
            <w:pPr>
              <w:pStyle w:val="Ttulodetabela"/>
              <w:suppressLineNumbers/>
              <w:shd w:fill="E8F1EF" w:val="clear"/>
              <w:bidi w:val="0"/>
              <w:jc w:val="start"/>
              <w:rPr/>
            </w:pPr>
            <w:r>
              <w:rPr/>
              <w:t>Resultado</w:t>
            </w:r>
          </w:p>
        </w:tc>
        <w:tc>
          <w:tcPr>
            <w:tcW w:w="4924" w:type="dxa"/>
            <w:tcBorders/>
            <w:vAlign w:val="center"/>
          </w:tcPr>
          <w:p>
            <w:pPr>
              <w:pStyle w:val="Ttulodetabela"/>
              <w:suppressLineNumbers/>
              <w:shd w:fill="E8F1EF" w:val="clear"/>
              <w:bidi w:val="0"/>
              <w:jc w:val="start"/>
              <w:rPr/>
            </w:pPr>
            <w:r>
              <w:rPr/>
              <w:t>Interpretação</w:t>
            </w:r>
          </w:p>
        </w:tc>
      </w:tr>
      <w:tr>
        <w:trPr/>
        <w:tc>
          <w:tcPr>
            <w:tcW w:w="1769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YOLOv8 Sharp Objects</w:t>
            </w:r>
          </w:p>
        </w:tc>
        <w:tc>
          <w:tcPr>
            <w:tcW w:w="3512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mAP@50: 87,9%; mAP@50-95: 60,6%; Precision: 84,2%; Recall: 81,1%.</w:t>
            </w:r>
          </w:p>
        </w:tc>
        <w:tc>
          <w:tcPr>
            <w:tcW w:w="4924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Resultado adequado para demonstração acadêmica de detecção de objetos cortantes com 15 classes.</w:t>
            </w:r>
          </w:p>
        </w:tc>
      </w:tr>
      <w:tr>
        <w:trPr/>
        <w:tc>
          <w:tcPr>
            <w:tcW w:w="1769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Audio Emotion Baseline</w:t>
            </w:r>
          </w:p>
        </w:tc>
        <w:tc>
          <w:tcPr>
            <w:tcW w:w="3512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Accuracy: 42,7%; Macro-F1: 38,7%.</w:t>
            </w:r>
          </w:p>
        </w:tc>
        <w:tc>
          <w:tcPr>
            <w:tcW w:w="4924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Baseline honesto para áudio atuado; usado como sinal auxiliar, não como decisor isolado.</w:t>
            </w:r>
          </w:p>
        </w:tc>
      </w:tr>
      <w:tr>
        <w:trPr/>
        <w:tc>
          <w:tcPr>
            <w:tcW w:w="1769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DAiSEE Visual Baseline</w:t>
            </w:r>
          </w:p>
        </w:tc>
        <w:tc>
          <w:tcPr>
            <w:tcW w:w="3512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Accuracy média: 59,6%; Macro-F1 médio: 23,1%.</w:t>
            </w:r>
          </w:p>
        </w:tc>
        <w:tc>
          <w:tcPr>
            <w:tcW w:w="4924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Indica desbalanceamento; mantido com transparência e peso controlado na fusão.</w:t>
            </w:r>
          </w:p>
        </w:tc>
      </w:tr>
      <w:tr>
        <w:trPr/>
        <w:tc>
          <w:tcPr>
            <w:tcW w:w="1769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CTG Pathological</w:t>
            </w:r>
          </w:p>
        </w:tc>
        <w:tc>
          <w:tcPr>
            <w:tcW w:w="3512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Score aproximado: 0,748; prioridade URGENTE; revisão prioritária.</w:t>
            </w:r>
          </w:p>
        </w:tc>
        <w:tc>
          <w:tcPr>
            <w:tcW w:w="4924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Risco fetal severo tratado como anomalia clínica crítica.</w:t>
            </w:r>
          </w:p>
        </w:tc>
      </w:tr>
      <w:tr>
        <w:trPr/>
        <w:tc>
          <w:tcPr>
            <w:tcW w:w="1769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Maternal Health High Risk</w:t>
            </w:r>
          </w:p>
        </w:tc>
        <w:tc>
          <w:tcPr>
            <w:tcW w:w="3512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Score aproximado: 0,722; prioridade URGENTE; revisão prioritária.</w:t>
            </w:r>
          </w:p>
        </w:tc>
        <w:tc>
          <w:tcPr>
            <w:tcW w:w="4924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Sinais vitais maternos fora do padrão elevam a prioridade operacional.</w:t>
            </w:r>
          </w:p>
        </w:tc>
      </w:tr>
      <w:tr>
        <w:trPr/>
        <w:tc>
          <w:tcPr>
            <w:tcW w:w="1769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Texto psicológico</w:t>
            </w:r>
          </w:p>
        </w:tc>
        <w:tc>
          <w:tcPr>
            <w:tcW w:w="3512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Score aproximado: 0,441; prioridade MONITORAR.</w:t>
            </w:r>
          </w:p>
        </w:tc>
        <w:tc>
          <w:tcPr>
            <w:tcW w:w="4924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Marcadores de medo, ansiedade, insônia ou isolamento geram acompanhamento humano.</w:t>
            </w:r>
          </w:p>
        </w:tc>
      </w:tr>
      <w:tr>
        <w:trPr/>
        <w:tc>
          <w:tcPr>
            <w:tcW w:w="1769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Objeto cortante detectado</w:t>
            </w:r>
          </w:p>
        </w:tc>
        <w:tc>
          <w:tcPr>
            <w:tcW w:w="3512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Exemplo: Fork com confidence 0,891; human review requerido.</w:t>
            </w:r>
          </w:p>
        </w:tc>
        <w:tc>
          <w:tcPr>
            <w:tcW w:w="4924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Sinal ambiental concreto; escala o caso para no mínimo MONITORAR.</w:t>
            </w:r>
          </w:p>
        </w:tc>
      </w:tr>
    </w:tbl>
    <w:p>
      <w:pPr>
        <w:pStyle w:val="Heading2"/>
        <w:bidi w:val="0"/>
        <w:jc w:val="start"/>
        <w:rPr/>
      </w:pPr>
      <w:r>
        <w:rPr/>
        <w:t>6. Exemplos de Anomalias Detectadas</w:t>
      </w:r>
    </w:p>
    <w:tbl>
      <w:tblPr>
        <w:tblW w:w="10205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881"/>
        <w:gridCol w:w="1234"/>
        <w:gridCol w:w="3115"/>
        <w:gridCol w:w="3975"/>
      </w:tblGrid>
      <w:tr>
        <w:trPr/>
        <w:tc>
          <w:tcPr>
            <w:tcW w:w="1881" w:type="dxa"/>
            <w:tcBorders/>
            <w:vAlign w:val="center"/>
          </w:tcPr>
          <w:p>
            <w:pPr>
              <w:pStyle w:val="Ttulodetabela"/>
              <w:suppressLineNumbers/>
              <w:shd w:fill="E8F1EF" w:val="clear"/>
              <w:bidi w:val="0"/>
              <w:jc w:val="start"/>
              <w:rPr/>
            </w:pPr>
            <w:r>
              <w:rPr/>
              <w:t>Anomalia</w:t>
            </w:r>
          </w:p>
        </w:tc>
        <w:tc>
          <w:tcPr>
            <w:tcW w:w="1234" w:type="dxa"/>
            <w:tcBorders/>
            <w:vAlign w:val="center"/>
          </w:tcPr>
          <w:p>
            <w:pPr>
              <w:pStyle w:val="Ttulodetabela"/>
              <w:suppressLineNumbers/>
              <w:shd w:fill="E8F1EF" w:val="clear"/>
              <w:bidi w:val="0"/>
              <w:jc w:val="start"/>
              <w:rPr/>
            </w:pPr>
            <w:r>
              <w:rPr/>
              <w:t>Modalidade</w:t>
            </w:r>
          </w:p>
        </w:tc>
        <w:tc>
          <w:tcPr>
            <w:tcW w:w="3115" w:type="dxa"/>
            <w:tcBorders/>
            <w:vAlign w:val="center"/>
          </w:tcPr>
          <w:p>
            <w:pPr>
              <w:pStyle w:val="Ttulodetabela"/>
              <w:suppressLineNumbers/>
              <w:shd w:fill="E8F1EF" w:val="clear"/>
              <w:bidi w:val="0"/>
              <w:jc w:val="start"/>
              <w:rPr/>
            </w:pPr>
            <w:r>
              <w:rPr/>
              <w:t>Indicadores observados</w:t>
            </w:r>
          </w:p>
        </w:tc>
        <w:tc>
          <w:tcPr>
            <w:tcW w:w="3975" w:type="dxa"/>
            <w:tcBorders/>
            <w:vAlign w:val="center"/>
          </w:tcPr>
          <w:p>
            <w:pPr>
              <w:pStyle w:val="Ttulodetabela"/>
              <w:suppressLineNumbers/>
              <w:shd w:fill="E8F1EF" w:val="clear"/>
              <w:bidi w:val="0"/>
              <w:jc w:val="start"/>
              <w:rPr/>
            </w:pPr>
            <w:r>
              <w:rPr/>
              <w:t>Ação do sistema</w:t>
            </w:r>
          </w:p>
        </w:tc>
      </w:tr>
      <w:tr>
        <w:trPr/>
        <w:tc>
          <w:tcPr>
            <w:tcW w:w="188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Relato com medo e controle coercitivo</w:t>
            </w:r>
          </w:p>
        </w:tc>
        <w:tc>
          <w:tcPr>
            <w:tcW w:w="1234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Texto</w:t>
            </w:r>
          </w:p>
        </w:tc>
        <w:tc>
          <w:tcPr>
            <w:tcW w:w="3115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Termos de medo, isolamento, controle, desesperança e ausência de rede de apoio.</w:t>
            </w:r>
          </w:p>
        </w:tc>
        <w:tc>
          <w:tcPr>
            <w:tcW w:w="3975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Eleva safetySignal, recomenda acolhimento e revisão humana.</w:t>
            </w:r>
          </w:p>
        </w:tc>
      </w:tr>
      <w:tr>
        <w:trPr/>
        <w:tc>
          <w:tcPr>
            <w:tcW w:w="188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Áudio com distress vocal</w:t>
            </w:r>
          </w:p>
        </w:tc>
        <w:tc>
          <w:tcPr>
            <w:tcW w:w="1234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Áudio</w:t>
            </w:r>
          </w:p>
        </w:tc>
        <w:tc>
          <w:tcPr>
            <w:tcW w:w="3115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Pausas, baixa energia, alta variabilidade ou emoção fearful/sad/angry.</w:t>
            </w:r>
          </w:p>
        </w:tc>
        <w:tc>
          <w:tcPr>
            <w:tcW w:w="3975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Aumenta affectiveDistress e reduz confidence quando fora do domínio.</w:t>
            </w:r>
          </w:p>
        </w:tc>
      </w:tr>
      <w:tr>
        <w:trPr/>
        <w:tc>
          <w:tcPr>
            <w:tcW w:w="188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Postura defensiva</w:t>
            </w:r>
          </w:p>
        </w:tc>
        <w:tc>
          <w:tcPr>
            <w:tcW w:w="1234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Vídeo/Pose</w:t>
            </w:r>
          </w:p>
        </w:tc>
        <w:tc>
          <w:tcPr>
            <w:tcW w:w="3115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Mãos próximas ao rosto, braços dobrados e padrão temporal consistente.</w:t>
            </w:r>
          </w:p>
        </w:tc>
        <w:tc>
          <w:tcPr>
            <w:tcW w:w="3975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Gera nonverbalAlert e contribui para o score multimodal.</w:t>
            </w:r>
          </w:p>
        </w:tc>
      </w:tr>
      <w:tr>
        <w:trPr/>
        <w:tc>
          <w:tcPr>
            <w:tcW w:w="188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Objeto cortante no ambiente</w:t>
            </w:r>
          </w:p>
        </w:tc>
        <w:tc>
          <w:tcPr>
            <w:tcW w:w="1234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Imagem/Vídeo</w:t>
            </w:r>
          </w:p>
        </w:tc>
        <w:tc>
          <w:tcPr>
            <w:tcW w:w="3115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Knife, Scissors, Fork, Cutter, Ice Pick, Screwdriver ou classe equivalente.</w:t>
            </w:r>
          </w:p>
        </w:tc>
        <w:tc>
          <w:tcPr>
            <w:tcW w:w="3975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Escala para no mínimo MONITORAR e marca </w:t>
            </w:r>
            <w:r>
              <w:rPr>
                <w:rStyle w:val="Cdigo-fonte"/>
              </w:rPr>
              <w:t>sharp_object_detected</w:t>
            </w:r>
            <w:r>
              <w:rPr/>
              <w:t>.</w:t>
            </w:r>
          </w:p>
        </w:tc>
      </w:tr>
      <w:tr>
        <w:trPr/>
        <w:tc>
          <w:tcPr>
            <w:tcW w:w="188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CTG patológico</w:t>
            </w:r>
          </w:p>
        </w:tc>
        <w:tc>
          <w:tcPr>
            <w:tcW w:w="1234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Clínico</w:t>
            </w:r>
          </w:p>
        </w:tc>
        <w:tc>
          <w:tcPr>
            <w:tcW w:w="3115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NSP=3, desacelerações severas ou padrão fetal patológico.</w:t>
            </w:r>
          </w:p>
        </w:tc>
        <w:tc>
          <w:tcPr>
            <w:tcW w:w="3975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Prioridade URGENTE e revisão clínica prioritária.</w:t>
            </w:r>
          </w:p>
        </w:tc>
      </w:tr>
      <w:tr>
        <w:trPr/>
        <w:tc>
          <w:tcPr>
            <w:tcW w:w="188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Risco materno alto</w:t>
            </w:r>
          </w:p>
        </w:tc>
        <w:tc>
          <w:tcPr>
            <w:tcW w:w="1234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Clínico</w:t>
            </w:r>
          </w:p>
        </w:tc>
        <w:tc>
          <w:tcPr>
            <w:tcW w:w="3115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Pressão sistólica elevada, glicemia alta, temperatura alterada ou combinações de risco.</w:t>
            </w:r>
          </w:p>
        </w:tc>
        <w:tc>
          <w:tcPr>
            <w:tcW w:w="3975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Prioridade URGENTE e encaminhamento para avaliação profissional.</w:t>
            </w:r>
          </w:p>
        </w:tc>
      </w:tr>
      <w:tr>
        <w:trPr/>
        <w:tc>
          <w:tcPr>
            <w:tcW w:w="188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Discordância entre modalidades</w:t>
            </w:r>
          </w:p>
        </w:tc>
        <w:tc>
          <w:tcPr>
            <w:tcW w:w="1234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Fusão</w:t>
            </w:r>
          </w:p>
        </w:tc>
        <w:tc>
          <w:tcPr>
            <w:tcW w:w="3115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Uma modalidade muito alta e outras baixas, ou baixa confiança geral.</w:t>
            </w:r>
          </w:p>
        </w:tc>
        <w:tc>
          <w:tcPr>
            <w:tcW w:w="3975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Flag de incerteza, redução por coverage penalty e revisão humana quando necessário.</w:t>
            </w:r>
          </w:p>
        </w:tc>
      </w:tr>
    </w:tbl>
    <w:p>
      <w:pPr>
        <w:pStyle w:val="Heading2"/>
        <w:bidi w:val="0"/>
        <w:jc w:val="start"/>
        <w:rPr/>
      </w:pPr>
      <w:r>
        <w:rPr/>
        <w:t>7. Arquitetura Azure</w:t>
      </w:r>
    </w:p>
    <w:tbl>
      <w:tblPr>
        <w:tblW w:w="9033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810"/>
        <w:gridCol w:w="7223"/>
      </w:tblGrid>
      <w:tr>
        <w:trPr/>
        <w:tc>
          <w:tcPr>
            <w:tcW w:w="1810" w:type="dxa"/>
            <w:tcBorders/>
            <w:vAlign w:val="center"/>
          </w:tcPr>
          <w:p>
            <w:pPr>
              <w:pStyle w:val="Ttulodetabela"/>
              <w:suppressLineNumbers/>
              <w:shd w:fill="E8F1EF" w:val="clear"/>
              <w:bidi w:val="0"/>
              <w:jc w:val="start"/>
              <w:rPr/>
            </w:pPr>
            <w:r>
              <w:rPr/>
              <w:t>Serviço Azure</w:t>
            </w:r>
          </w:p>
        </w:tc>
        <w:tc>
          <w:tcPr>
            <w:tcW w:w="7223" w:type="dxa"/>
            <w:tcBorders/>
            <w:vAlign w:val="center"/>
          </w:tcPr>
          <w:p>
            <w:pPr>
              <w:pStyle w:val="Ttulodetabela"/>
              <w:suppressLineNumbers/>
              <w:shd w:fill="E8F1EF" w:val="clear"/>
              <w:bidi w:val="0"/>
              <w:jc w:val="start"/>
              <w:rPr/>
            </w:pPr>
            <w:r>
              <w:rPr/>
              <w:t>Função na solução</w:t>
            </w:r>
          </w:p>
        </w:tc>
      </w:tr>
      <w:tr>
        <w:trPr/>
        <w:tc>
          <w:tcPr>
            <w:tcW w:w="1810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Azure AI Services</w:t>
            </w:r>
          </w:p>
        </w:tc>
        <w:tc>
          <w:tcPr>
            <w:tcW w:w="7223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Camada prevista para enriquecimento de Vision, Speech e Language.</w:t>
            </w:r>
          </w:p>
        </w:tc>
      </w:tr>
      <w:tr>
        <w:trPr/>
        <w:tc>
          <w:tcPr>
            <w:tcW w:w="1810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Azure Blob Storage</w:t>
            </w:r>
          </w:p>
        </w:tc>
        <w:tc>
          <w:tcPr>
            <w:tcW w:w="7223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Armazenamento criptografado de relatórios, envelopes e evidências minimizadas.</w:t>
            </w:r>
          </w:p>
        </w:tc>
      </w:tr>
      <w:tr>
        <w:trPr/>
        <w:tc>
          <w:tcPr>
            <w:tcW w:w="1810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Azure Service Bus</w:t>
            </w:r>
          </w:p>
        </w:tc>
        <w:tc>
          <w:tcPr>
            <w:tcW w:w="7223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Fila de alertas clínicos para equipe responsável.</w:t>
            </w:r>
          </w:p>
        </w:tc>
      </w:tr>
      <w:tr>
        <w:trPr/>
        <w:tc>
          <w:tcPr>
            <w:tcW w:w="1810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Azure Key Vault</w:t>
            </w:r>
          </w:p>
        </w:tc>
        <w:tc>
          <w:tcPr>
            <w:tcW w:w="7223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Guarda de segredos, chaves e parâmetros sensíveis.</w:t>
            </w:r>
          </w:p>
        </w:tc>
      </w:tr>
      <w:tr>
        <w:trPr/>
        <w:tc>
          <w:tcPr>
            <w:tcW w:w="1810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Log Analytics</w:t>
            </w:r>
          </w:p>
        </w:tc>
        <w:tc>
          <w:tcPr>
            <w:tcW w:w="7223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Centralização de logs técnicos e métricas operacionais.</w:t>
            </w:r>
          </w:p>
        </w:tc>
      </w:tr>
      <w:tr>
        <w:trPr/>
        <w:tc>
          <w:tcPr>
            <w:tcW w:w="1810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Application Insights</w:t>
            </w:r>
          </w:p>
        </w:tc>
        <w:tc>
          <w:tcPr>
            <w:tcW w:w="7223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Observabilidade da API e rastreio de falhas/latência.</w:t>
            </w:r>
          </w:p>
        </w:tc>
      </w:tr>
    </w:tbl>
    <w:p>
      <w:pPr>
        <w:pStyle w:val="BodyText"/>
        <w:bidi w:val="0"/>
        <w:jc w:val="start"/>
        <w:rPr/>
      </w:pPr>
      <w:r>
        <w:rPr/>
        <w:t xml:space="preserve">O projeto roda sem credenciais em </w:t>
      </w:r>
      <w:r>
        <w:rPr>
          <w:rStyle w:val="Cdigo-fonte"/>
        </w:rPr>
        <w:t>local_simulation</w:t>
      </w:r>
      <w:r>
        <w:rPr/>
        <w:t xml:space="preserve">, mantendo o recibo técnico </w:t>
      </w:r>
      <w:r>
        <w:rPr>
          <w:rStyle w:val="Cdigo-fonte"/>
        </w:rPr>
        <w:t>_azure_integration</w:t>
      </w:r>
      <w:r>
        <w:rPr/>
        <w:t xml:space="preserve">. Quando as variáveis de ambiente Azure forem configuradas, o mesmo contrato permite evoluir para adaptadores reais de persistência e mensageria. </w:t>
      </w:r>
    </w:p>
    <w:p>
      <w:pPr>
        <w:pStyle w:val="Heading2"/>
        <w:bidi w:val="0"/>
        <w:jc w:val="start"/>
        <w:rPr/>
      </w:pPr>
      <w:r>
        <w:rPr/>
        <w:t>8. Privacidade, Ética e LGPD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Minimização:</w:t>
      </w:r>
      <w:r>
        <w:rPr/>
        <w:t xml:space="preserve"> o sistema prioriza scores, evidências e metadados, evitando persistir mídia bruta.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Pseudonimização:</w:t>
      </w:r>
      <w:r>
        <w:rPr/>
        <w:t xml:space="preserve"> casos usam identificadores técnicos sem vínculo direto com identidade real.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Criptografia:</w:t>
      </w:r>
      <w:r>
        <w:rPr/>
        <w:t xml:space="preserve"> Azure Storage com criptografia em repouso e TLS 1.2+ em trânsito.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Revisão humana:</w:t>
      </w:r>
      <w:r>
        <w:rPr/>
        <w:t xml:space="preserve"> casos sensíveis são encaminhados para avaliação profissional.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Linguagem não diagnóstica:</w:t>
      </w:r>
      <w:r>
        <w:rPr/>
        <w:t xml:space="preserve"> a solução fala em sinais, indicadores e prioridades, nunca em conclusões automáticas. </w:t>
      </w:r>
    </w:p>
    <w:p>
      <w:pPr>
        <w:pStyle w:val="Heading2"/>
        <w:bidi w:val="0"/>
        <w:jc w:val="start"/>
        <w:rPr/>
      </w:pPr>
      <w:r>
        <w:rPr/>
        <w:t>9. Limitações e Controles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RAVDESS é uma base de fala atuada; sua generalização para fala espontânea é limitada.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DAiSEE é base educacional, não clínica; por isso o peso visual é moderado.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XD-Violence é usado apenas como proxy de anomalia visual, não como evidência clínica de violência doméstica.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 extrator textual atual é lexical; a evolução recomendada é BERTimbau ou modelo contextual em português.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O sistema não substitui avaliação médica, psicológica, jurídica ou assistencial. </w:t>
      </w:r>
    </w:p>
    <w:p>
      <w:pPr>
        <w:pStyle w:val="Heading2"/>
        <w:bidi w:val="0"/>
        <w:jc w:val="start"/>
        <w:rPr/>
      </w:pPr>
      <w:r>
        <w:rPr/>
        <w:t>10. Conclusão</w:t>
      </w:r>
    </w:p>
    <w:p>
      <w:pPr>
        <w:pStyle w:val="BodyText"/>
        <w:bidi w:val="0"/>
        <w:spacing w:before="0" w:after="140"/>
        <w:jc w:val="start"/>
        <w:rPr/>
      </w:pPr>
      <w:r>
        <w:rPr/>
        <w:t xml:space="preserve">O Sentinela AI está aderente ao Tech Challenge Fase 4 porque entrega uma solução de IA multimodal, descreve claramente o fluxo de processamento, documenta modelos por tipo de dado, apresenta resultados obtidos, exemplifica anomalias detectadas e inclui arquitetura cloud em Azure. A solução é tecnicamente auditável, eticamente cautelosa e compatibilizada com o objetivo de apoiar a segurança e a saúde da mulher sem automatizar diagnósticos ou decisões sensíveis. 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rial">
    <w:altName w:val="Helvetica"/>
    <w:charset w:val="00" w:characterSet="windows-1252"/>
    <w:family w:val="auto"/>
    <w:pitch w:val="default"/>
  </w:font>
  <w:font w:name="Consolas">
    <w:altName w:val="monospace"/>
    <w:charset w:val="00" w:characterSet="windows-1252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48"/>
    </w:pPr>
    <w:rPr>
      <w:rFonts w:ascii="Arial;Helvetica;sans-serif" w:hAnsi="Arial;Helvetica;sans-serif" w:eastAsia="Arial;Helvetica;sans-serif" w:cs="Arial;Helvetica;sans-serif"/>
      <w:color w:val="17211F"/>
      <w:sz w:val="24"/>
      <w:szCs w:val="24"/>
      <w:lang w:val="pt-BR" w:eastAsia="zh-CN" w:bidi="hi-IN"/>
    </w:rPr>
  </w:style>
  <w:style w:type="paragraph" w:styleId="Heading1">
    <w:name w:val="heading 1"/>
    <w:basedOn w:val="Ttulo"/>
    <w:next w:val="BodyText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Heading2">
    <w:name w:val="heading 2"/>
    <w:basedOn w:val="Ttulo"/>
    <w:next w:val="BodyText"/>
    <w:qFormat/>
    <w:pPr>
      <w:pBdr>
        <w:top w:val="single" w:sz="2" w:space="10" w:color="B8C7C4"/>
      </w:pBdr>
      <w:spacing w:before="400" w:after="120"/>
      <w:outlineLvl w:val="1"/>
    </w:pPr>
    <w:rPr>
      <w:rFonts w:ascii="Liberation Serif" w:hAnsi="Liberation Serif" w:eastAsia="NSimSun" w:cs="Lucida Sans"/>
      <w:b/>
      <w:bCs/>
      <w:sz w:val="32"/>
      <w:szCs w:val="32"/>
    </w:rPr>
  </w:style>
  <w:style w:type="paragraph" w:styleId="Heading3">
    <w:name w:val="heading 3"/>
    <w:basedOn w:val="Ttulo"/>
    <w:next w:val="BodyText"/>
    <w:qFormat/>
    <w:pPr>
      <w:spacing w:before="280" w:after="120"/>
      <w:outlineLvl w:val="2"/>
    </w:pPr>
    <w:rPr>
      <w:rFonts w:ascii="Liberation Serif" w:hAnsi="Liberation Serif" w:eastAsia="NSimSun" w:cs="Lucida Sans"/>
      <w:b/>
      <w:bCs/>
      <w:color w:val="2F4F4A"/>
      <w:sz w:val="26"/>
      <w:szCs w:val="26"/>
    </w:rPr>
  </w:style>
  <w:style w:type="character" w:styleId="Cdigo-fonte">
    <w:name w:val="Código-fonte"/>
    <w:qFormat/>
    <w:rPr>
      <w:rFonts w:ascii="Consolas;monospace" w:hAnsi="Consolas;monospace" w:eastAsia="Consolas;monospace" w:cs="Consolas;monospace"/>
      <w:shd w:fill="EEF6F4" w:val="clear"/>
    </w:rPr>
  </w:style>
  <w:style w:type="character" w:styleId="Strong">
    <w:name w:val="Strong"/>
    <w:qFormat/>
    <w:rPr>
      <w:b/>
      <w:bCs/>
    </w:rPr>
  </w:style>
  <w:style w:type="character" w:styleId="Smbolosdenumerao">
    <w:name w:val="Símbolos de numeração"/>
    <w:qFormat/>
    <w:rPr/>
  </w:style>
  <w:style w:type="character" w:styleId="Marcadores">
    <w:name w:val="Marcadore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>
      <w:sz w:val="21"/>
      <w:szCs w:val="21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Contedodatabela">
    <w:name w:val="Conteúdo da tabela"/>
    <w:basedOn w:val="Normal"/>
    <w:qFormat/>
    <w:pPr>
      <w:widowControl w:val="false"/>
      <w:suppressLineNumbers/>
    </w:pPr>
    <w:rPr>
      <w:sz w:val="19"/>
      <w:szCs w:val="19"/>
    </w:rPr>
  </w:style>
  <w:style w:type="paragraph" w:styleId="Ttulodetabela">
    <w:name w:val="Título de tabela"/>
    <w:basedOn w:val="Contedodatabela"/>
    <w:qFormat/>
    <w:pPr>
      <w:suppressLineNumbers/>
      <w:shd w:fill="E8F1EF" w:val="clear"/>
      <w:jc w:val="start"/>
    </w:pPr>
    <w:rPr>
      <w:b/>
      <w:bCs/>
      <w:sz w:val="19"/>
      <w:szCs w:val="19"/>
    </w:rPr>
  </w:style>
  <w:style w:type="paragraph" w:styleId="Corpodetextonote">
    <w:name w:val="Corpo de texto.note"/>
    <w:basedOn w:val="BodyText"/>
    <w:qFormat/>
    <w:pPr>
      <w:pBdr>
        <w:left w:val="single" w:sz="24" w:space="10" w:color="0F766E"/>
      </w:pBdr>
      <w:shd w:fill="EEF6F4" w:val="clear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LibreOffice/26.2.4.2$Windows_X86_64 LibreOffice_project/0229ac93fcf0d7cbc6376066c6f35021cef002dc</Application>
  <AppVersion>15.0000</AppVersion>
  <Pages>5</Pages>
  <Words>1316</Words>
  <Characters>8806</Characters>
  <CharactersWithSpaces>9935</CharactersWithSpaces>
  <Paragraphs>192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2026-07-15T11:14:41Z</dcterms:modified>
  <cp:revision>1</cp:revision>
  <dc:subject/>
  <dc:title>Relatório Técnico - Sentinela AI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