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uppressAutoHyphens/>
        <w:spacing w:after="200" w:before="3600"/>
        <w:jc w:val="center"/>
      </w:pPr>
      <w:r>
        <w:rPr>
          <w:rFonts w:ascii="Gelasio" w:cs="Gelasio" w:eastAsia="Gelasio" w:hAnsi="Gelasio"/>
          <w:b/>
          <w:bCs/>
          <w:color w:val="2B2B2B"/>
          <w:sz w:val="56"/>
          <w:szCs w:val="56"/>
        </w:rPr>
        <w:t xml:space="preserve">HECHOS, INFERENCIAS</w:t>
      </w:r>
    </w:p>
    <w:p>
      <w:pPr>
        <w:suppressAutoHyphens/>
        <w:spacing w:after="340"/>
        <w:jc w:val="center"/>
      </w:pPr>
      <w:r>
        <w:rPr>
          <w:rFonts w:ascii="Gelasio" w:cs="Gelasio" w:eastAsia="Gelasio" w:hAnsi="Gelasio"/>
          <w:b/>
          <w:bCs/>
          <w:color w:val="2B2B2B"/>
          <w:sz w:val="56"/>
          <w:szCs w:val="56"/>
        </w:rPr>
        <w:t xml:space="preserve">E INCERTIDUMBRE</w:t>
      </w:r>
    </w:p>
    <w:p>
      <w:pPr>
        <w:suppressAutoHyphens/>
        <w:spacing w:after="120"/>
        <w:jc w:val="center"/>
      </w:pPr>
      <w:r>
        <w:rPr>
          <w:rFonts w:ascii="Gelasio" w:cs="Gelasio" w:eastAsia="Gelasio" w:hAnsi="Gelasio"/>
          <w:i/>
          <w:iCs/>
          <w:color w:val="3D5A6C"/>
          <w:sz w:val="28"/>
          <w:szCs w:val="28"/>
        </w:rPr>
        <w:t xml:space="preserve">Metacognición, lenguaje y decisión clínica</w:t>
      </w:r>
    </w:p>
    <w:p>
      <w:pPr>
        <w:suppressAutoHyphens/>
        <w:spacing w:after="2400"/>
        <w:jc w:val="center"/>
      </w:pPr>
      <w:r>
        <w:rPr>
          <w:rFonts w:ascii="Gelasio" w:cs="Gelasio" w:eastAsia="Gelasio" w:hAnsi="Gelasio"/>
          <w:color w:val="8A8A8A"/>
          <w:sz w:val="24"/>
          <w:szCs w:val="24"/>
        </w:rPr>
        <w:t xml:space="preserve">Una epistemología operativa para médicos</w:t>
      </w:r>
    </w:p>
    <w:p>
      <w:pPr>
        <w:suppressAutoHyphens/>
        <w:spacing w:after="100"/>
        <w:jc w:val="center"/>
      </w:pPr>
      <w:r>
        <w:rPr>
          <w:rFonts w:ascii="Gelasio" w:cs="Gelasio" w:eastAsia="Gelasio" w:hAnsi="Gelasio"/>
          <w:b/>
          <w:bCs/>
          <w:color w:val="2B2B2B"/>
          <w:spacing w:val="40"/>
          <w:sz w:val="30"/>
          <w:szCs w:val="30"/>
        </w:rPr>
        <w:t xml:space="preserve">DANIEL OPAZO</w:t>
      </w:r>
    </w:p>
    <w:p>
      <w:pPr>
        <w:suppressAutoHyphens/>
        <w:jc w:val="center"/>
      </w:pPr>
      <w:r>
        <w:rPr>
          <w:rFonts w:ascii="Gelasio" w:cs="Gelasio" w:eastAsia="Gelasio" w:hAnsi="Gelasio"/>
          <w:color w:val="8A8A8A"/>
          <w:sz w:val="22"/>
          <w:szCs w:val="22"/>
        </w:rPr>
        <w:t xml:space="preserve">2026 · Edición de trabajo revisada</w:t>
      </w:r>
    </w:p>
    <w:p>
      <w:pPr>
        <w:suppressAutoHyphens/>
      </w:pPr>
      <w:r>
        <w:br w:type="page"/>
      </w:r>
    </w:p>
    <w:p>
      <w:pPr>
        <w:suppressAutoHyphens/>
        <w:spacing w:after="120" w:before="7000"/>
      </w:pPr>
      <w:r>
        <w:rPr>
          <w:rFonts w:ascii="Gelasio" w:cs="Gelasio" w:eastAsia="Gelasio" w:hAnsi="Gelasio"/>
          <w:b/>
          <w:bCs/>
          <w:color w:val="2B2B2B"/>
          <w:sz w:val="20"/>
          <w:szCs w:val="20"/>
        </w:rPr>
        <w:t xml:space="preserve">Hechos, inferencias e incertidumbre. Metacognición, lenguaje y decisión clínica.</w:t>
      </w:r>
    </w:p>
    <w:p>
      <w:pPr>
        <w:suppressAutoHyphens/>
        <w:spacing w:after="200"/>
      </w:pPr>
      <w:r>
        <w:rPr>
          <w:rFonts w:ascii="Gelasio" w:cs="Gelasio" w:eastAsia="Gelasio" w:hAnsi="Gelasio"/>
          <w:color w:val="2B2B2B"/>
          <w:sz w:val="20"/>
          <w:szCs w:val="20"/>
        </w:rPr>
        <w:t xml:space="preserve">Daniel Opazo</w:t>
      </w:r>
    </w:p>
    <w:p>
      <w:pPr>
        <w:suppressAutoHyphens/>
        <w:spacing w:after="120"/>
        <w:jc w:val="both"/>
      </w:pPr>
      <w:r>
        <w:rPr>
          <w:color w:val="5A5A5A"/>
          <w:sz w:val="18"/>
          <w:szCs w:val="18"/>
        </w:rPr>
        <w:t xml:space="preserve">Edición de trabajo, 2026. Ensayo académico dirigido a profesionales de la salud. Las escenas narradas en primera persona son composiciones docentes: recrean conflictos cognitivos y morales frecuentes en la clínica, pero no reproducen episodios reales ni permiten identificar pacientes, familiares, profesionales o instituciones.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pPr>
        <w:suppressAutoHyphens/>
      </w:pPr>
      <w:r>
        <w:br w:type="page"/>
      </w:r>
    </w:p>
    <w:p>
      <w:pPr>
        <w:suppressAutoHyphens/>
        <w:spacing w:after="360" w:before="500"/>
      </w:pPr>
      <w:r>
        <w:rPr>
          <w:rFonts w:ascii="Gelasio" w:cs="Gelasio" w:eastAsia="Gelasio" w:hAnsi="Gelasio"/>
          <w:b/>
          <w:bCs/>
          <w:color w:val="2B2B2B"/>
          <w:sz w:val="34"/>
          <w:szCs w:val="34"/>
        </w:rPr>
        <w:t xml:space="preserve">Contenido</w:t>
      </w:r>
    </w:p>
    <w:p>
      <w:pPr>
        <w:pStyle w:val="TocPart"/>
        <w:tabs>
          <w:tab w:val="right" w:pos="9026" w:leader="dot"/>
        </w:tabs>
        <w:suppressAutoHyphens/>
      </w:pPr>
      <w:r>
        <w:t xml:space="preserve">Prefacio</w:t>
      </w:r>
      <w:r>
        <w:tab/>
      </w:r>
      <w:r>
        <w:rPr>
          <w:color w:val="8A8A8A"/>
        </w:rPr>
        <w:t xml:space="preserve">1</w:t>
      </w:r>
    </w:p>
    <w:p>
      <w:pPr>
        <w:pStyle w:val="TocPart"/>
        <w:tabs>
          <w:tab w:val="right" w:pos="9026" w:leader="dot"/>
        </w:tabs>
        <w:suppressAutoHyphens/>
      </w:pPr>
      <w:r>
        <w:t xml:space="preserve">Cómo leer este libro</w:t>
      </w:r>
      <w:r>
        <w:tab/>
      </w:r>
      <w:r>
        <w:rPr>
          <w:color w:val="8A8A8A"/>
        </w:rPr>
        <w:t xml:space="preserve">3</w:t>
      </w:r>
    </w:p>
    <w:p>
      <w:pPr>
        <w:pStyle w:val="TocPart"/>
        <w:tabs>
          <w:tab w:val="right" w:pos="9026" w:leader="dot"/>
        </w:tabs>
        <w:suppressAutoHyphens/>
      </w:pPr>
      <w:r>
        <w:t xml:space="preserve">Introducción. La medicina como práctica de conocimiento incompleto</w:t>
      </w:r>
      <w:r>
        <w:tab/>
      </w:r>
      <w:r>
        <w:rPr>
          <w:color w:val="8A8A8A"/>
        </w:rPr>
        <w:t xml:space="preserve">5</w:t>
      </w:r>
    </w:p>
    <w:p>
      <w:pPr>
        <w:pStyle w:val="TocPart"/>
        <w:tabs>
          <w:tab w:val="right" w:pos="9026" w:leader="dot"/>
        </w:tabs>
        <w:suppressAutoHyphens/>
      </w:pPr>
      <w:r>
        <w:t xml:space="preserve">PARTE I. Las capas del conocimiento clínico</w:t>
      </w:r>
      <w:r>
        <w:tab/>
      </w:r>
      <w:r>
        <w:rPr>
          <w:color w:val="8A8A8A"/>
        </w:rPr>
        <w:t xml:space="preserve">8</w:t>
      </w:r>
    </w:p>
    <w:p>
      <w:pPr>
        <w:pStyle w:val="TocEntry"/>
        <w:tabs>
          <w:tab w:val="right" w:pos="9026" w:leader="dot"/>
        </w:tabs>
        <w:suppressAutoHyphens/>
      </w:pPr>
      <w:r>
        <w:t xml:space="preserve">Capítulo 1. El hecho clínico: observación, medición y procedencia</w:t>
      </w:r>
      <w:r>
        <w:tab/>
      </w:r>
      <w:r>
        <w:rPr>
          <w:color w:val="8A8A8A"/>
        </w:rPr>
        <w:t xml:space="preserve">9</w:t>
      </w:r>
    </w:p>
    <w:p>
      <w:pPr>
        <w:pStyle w:val="TocEntry"/>
        <w:tabs>
          <w:tab w:val="right" w:pos="9026" w:leader="dot"/>
        </w:tabs>
        <w:suppressAutoHyphens/>
      </w:pPr>
      <w:r>
        <w:t xml:space="preserve">Capítulo 2. Inferir: del signo a la explicación</w:t>
      </w:r>
      <w:r>
        <w:tab/>
      </w:r>
      <w:r>
        <w:rPr>
          <w:color w:val="8A8A8A"/>
        </w:rPr>
        <w:t xml:space="preserve">14</w:t>
      </w:r>
    </w:p>
    <w:p>
      <w:pPr>
        <w:pStyle w:val="TocEntry"/>
        <w:tabs>
          <w:tab w:val="right" w:pos="9026" w:leader="dot"/>
        </w:tabs>
        <w:suppressAutoHyphens/>
      </w:pPr>
      <w:r>
        <w:t xml:space="preserve">Capítulo 3. Incertidumbre: una condición estructural</w:t>
      </w:r>
      <w:r>
        <w:tab/>
      </w:r>
      <w:r>
        <w:rPr>
          <w:color w:val="8A8A8A"/>
        </w:rPr>
        <w:t xml:space="preserve">18</w:t>
      </w:r>
    </w:p>
    <w:p>
      <w:pPr>
        <w:pStyle w:val="TocEntry"/>
        <w:tabs>
          <w:tab w:val="right" w:pos="9026" w:leader="dot"/>
        </w:tabs>
        <w:suppressAutoHyphens/>
      </w:pPr>
      <w:r>
        <w:t xml:space="preserve">Capítulo 4. Lenguaje clínico y densidad epistémica</w:t>
      </w:r>
      <w:r>
        <w:tab/>
      </w:r>
      <w:r>
        <w:rPr>
          <w:color w:val="8A8A8A"/>
        </w:rPr>
        <w:t xml:space="preserve">22</w:t>
      </w:r>
    </w:p>
    <w:p>
      <w:pPr>
        <w:pStyle w:val="TocEntry"/>
        <w:tabs>
          <w:tab w:val="right" w:pos="9026" w:leader="dot"/>
        </w:tabs>
        <w:suppressAutoHyphens/>
      </w:pPr>
      <w:r>
        <w:t xml:space="preserve">Interludio I. La ficha de Carmen</w:t>
      </w:r>
      <w:r>
        <w:tab/>
      </w:r>
      <w:r>
        <w:rPr>
          <w:color w:val="8A8A8A"/>
        </w:rPr>
        <w:t xml:space="preserve">27</w:t>
      </w:r>
    </w:p>
    <w:p>
      <w:pPr>
        <w:pStyle w:val="TocPart"/>
        <w:tabs>
          <w:tab w:val="right" w:pos="9026" w:leader="dot"/>
        </w:tabs>
        <w:suppressAutoHyphens/>
      </w:pPr>
      <w:r>
        <w:t xml:space="preserve">PARTE II. La mente que se observa</w:t>
      </w:r>
      <w:r>
        <w:tab/>
      </w:r>
      <w:r>
        <w:rPr>
          <w:color w:val="8A8A8A"/>
        </w:rPr>
        <w:t xml:space="preserve">29</w:t>
      </w:r>
    </w:p>
    <w:p>
      <w:pPr>
        <w:pStyle w:val="TocEntry"/>
        <w:tabs>
          <w:tab w:val="right" w:pos="9026" w:leader="dot"/>
        </w:tabs>
        <w:suppressAutoHyphens/>
      </w:pPr>
      <w:r>
        <w:t xml:space="preserve">Capítulo 5. Metacognición: monitorear y regular el propio juicio</w:t>
      </w:r>
      <w:r>
        <w:tab/>
      </w:r>
      <w:r>
        <w:rPr>
          <w:color w:val="8A8A8A"/>
        </w:rPr>
        <w:t xml:space="preserve">30</w:t>
      </w:r>
    </w:p>
    <w:p>
      <w:pPr>
        <w:pStyle w:val="TocEntry"/>
        <w:tabs>
          <w:tab w:val="right" w:pos="9026" w:leader="dot"/>
        </w:tabs>
        <w:suppressAutoHyphens/>
      </w:pPr>
      <w:r>
        <w:t xml:space="preserve">Capítulo 6. Pericia, intuición y conocimiento tácito</w:t>
      </w:r>
      <w:r>
        <w:tab/>
      </w:r>
      <w:r>
        <w:rPr>
          <w:color w:val="8A8A8A"/>
        </w:rPr>
        <w:t xml:space="preserve">36</w:t>
      </w:r>
    </w:p>
    <w:p>
      <w:pPr>
        <w:pStyle w:val="TocEntry"/>
        <w:tabs>
          <w:tab w:val="right" w:pos="9026" w:leader="dot"/>
        </w:tabs>
        <w:suppressAutoHyphens/>
      </w:pPr>
      <w:r>
        <w:t xml:space="preserve">Capítulo 7. Error, sesgo y ecología del diagnóstico</w:t>
      </w:r>
      <w:r>
        <w:tab/>
      </w:r>
      <w:r>
        <w:rPr>
          <w:color w:val="8A8A8A"/>
        </w:rPr>
        <w:t xml:space="preserve">40</w:t>
      </w:r>
    </w:p>
    <w:p>
      <w:pPr>
        <w:pStyle w:val="TocEntry"/>
        <w:tabs>
          <w:tab w:val="right" w:pos="9026" w:leader="dot"/>
        </w:tabs>
        <w:suppressAutoHyphens/>
      </w:pPr>
      <w:r>
        <w:t xml:space="preserve">Capítulo 8. Desacelerar: cuándo, en qué estado y con qué mente</w:t>
      </w:r>
      <w:r>
        <w:tab/>
      </w:r>
      <w:r>
        <w:rPr>
          <w:color w:val="8A8A8A"/>
        </w:rPr>
        <w:t xml:space="preserve">44</w:t>
      </w:r>
    </w:p>
    <w:p>
      <w:pPr>
        <w:pStyle w:val="TocEntry"/>
        <w:tabs>
          <w:tab w:val="right" w:pos="9026" w:leader="dot"/>
        </w:tabs>
        <w:suppressAutoHyphens/>
      </w:pPr>
      <w:r>
        <w:t xml:space="preserve">Interludio II. Lo que el equipo pensó</w:t>
      </w:r>
      <w:r>
        <w:tab/>
      </w:r>
      <w:r>
        <w:rPr>
          <w:color w:val="8A8A8A"/>
        </w:rPr>
        <w:t xml:space="preserve">49</w:t>
      </w:r>
    </w:p>
    <w:p>
      <w:pPr>
        <w:pStyle w:val="TocPart"/>
        <w:tabs>
          <w:tab w:val="right" w:pos="9026" w:leader="dot"/>
        </w:tabs>
        <w:suppressAutoHyphens/>
      </w:pPr>
      <w:r>
        <w:t xml:space="preserve">PARTE III. Decidir en el tiempo y con otros</w:t>
      </w:r>
      <w:r>
        <w:tab/>
      </w:r>
      <w:r>
        <w:rPr>
          <w:color w:val="8A8A8A"/>
        </w:rPr>
        <w:t xml:space="preserve">51</w:t>
      </w:r>
    </w:p>
    <w:p>
      <w:pPr>
        <w:pStyle w:val="TocEntry"/>
        <w:tabs>
          <w:tab w:val="right" w:pos="9026" w:leader="dot"/>
        </w:tabs>
        <w:suppressAutoHyphens/>
      </w:pPr>
      <w:r>
        <w:t xml:space="preserve">Capítulo 9. La evidencia y el caso singular</w:t>
      </w:r>
      <w:r>
        <w:tab/>
      </w:r>
      <w:r>
        <w:rPr>
          <w:color w:val="8A8A8A"/>
        </w:rPr>
        <w:t xml:space="preserve">52</w:t>
      </w:r>
    </w:p>
    <w:p>
      <w:pPr>
        <w:pStyle w:val="TocEntry"/>
        <w:tabs>
          <w:tab w:val="right" w:pos="9026" w:leader="dot"/>
        </w:tabs>
        <w:suppressAutoHyphens/>
      </w:pPr>
      <w:r>
        <w:t xml:space="preserve">Capítulo 10. Decidir sin certeza: umbrales, valores y bioética</w:t>
      </w:r>
      <w:r>
        <w:tab/>
      </w:r>
      <w:r>
        <w:rPr>
          <w:color w:val="8A8A8A"/>
        </w:rPr>
        <w:t xml:space="preserve">56</w:t>
      </w:r>
    </w:p>
    <w:p>
      <w:pPr>
        <w:pStyle w:val="TocEntry"/>
        <w:tabs>
          <w:tab w:val="right" w:pos="9026" w:leader="dot"/>
        </w:tabs>
        <w:suppressAutoHyphens/>
      </w:pPr>
      <w:r>
        <w:t xml:space="preserve">Capítulo 11. Cuando saber más no cambia nada: el valor de un examen</w:t>
      </w:r>
      <w:r>
        <w:tab/>
      </w:r>
      <w:r>
        <w:rPr>
          <w:color w:val="8A8A8A"/>
        </w:rPr>
        <w:t xml:space="preserve">62</w:t>
      </w:r>
    </w:p>
    <w:p>
      <w:pPr>
        <w:pStyle w:val="TocEntry"/>
        <w:tabs>
          <w:tab w:val="right" w:pos="9026" w:leader="dot"/>
        </w:tabs>
        <w:suppressAutoHyphens/>
      </w:pPr>
      <w:r>
        <w:t xml:space="preserve">Capítulo 12. Temporalidad, trayectoria y razonamiento contrafactual</w:t>
      </w:r>
      <w:r>
        <w:tab/>
      </w:r>
      <w:r>
        <w:rPr>
          <w:color w:val="8A8A8A"/>
        </w:rPr>
        <w:t xml:space="preserve">67</w:t>
      </w:r>
    </w:p>
    <w:p>
      <w:pPr>
        <w:pStyle w:val="TocEntry"/>
        <w:tabs>
          <w:tab w:val="right" w:pos="9026" w:leader="dot"/>
        </w:tabs>
        <w:suppressAutoHyphens/>
      </w:pPr>
      <w:r>
        <w:t xml:space="preserve">Capítulo 13. La ficha clínica como instrumento de pensamiento</w:t>
      </w:r>
      <w:r>
        <w:tab/>
      </w:r>
      <w:r>
        <w:rPr>
          <w:color w:val="8A8A8A"/>
        </w:rPr>
        <w:t xml:space="preserve">71</w:t>
      </w:r>
    </w:p>
    <w:p>
      <w:pPr>
        <w:pStyle w:val="TocEntry"/>
        <w:tabs>
          <w:tab w:val="right" w:pos="9026" w:leader="dot"/>
        </w:tabs>
        <w:suppressAutoHyphens/>
      </w:pPr>
      <w:r>
        <w:t xml:space="preserve">Capítulo 14. Pensar con otros: equipos, desacuerdo y comunicación de la incertidumbre</w:t>
      </w:r>
      <w:r>
        <w:tab/>
      </w:r>
      <w:r>
        <w:rPr>
          <w:color w:val="8A8A8A"/>
        </w:rPr>
        <w:t xml:space="preserve">77</w:t>
      </w:r>
    </w:p>
    <w:p>
      <w:pPr>
        <w:pStyle w:val="TocEntry"/>
        <w:tabs>
          <w:tab w:val="right" w:pos="9026" w:leader="dot"/>
        </w:tabs>
        <w:suppressAutoHyphens/>
      </w:pPr>
      <w:r>
        <w:t xml:space="preserve">Interludio III. La decisión de Carmen</w:t>
      </w:r>
      <w:r>
        <w:tab/>
      </w:r>
      <w:r>
        <w:rPr>
          <w:color w:val="8A8A8A"/>
        </w:rPr>
        <w:t xml:space="preserve">81</w:t>
      </w:r>
    </w:p>
    <w:p>
      <w:pPr>
        <w:pStyle w:val="TocPart"/>
        <w:tabs>
          <w:tab w:val="right" w:pos="9026" w:leader="dot"/>
        </w:tabs>
        <w:suppressAutoHyphens/>
      </w:pPr>
      <w:r>
        <w:t xml:space="preserve">PARTE IV. Una epistemología operativa</w:t>
      </w:r>
      <w:r>
        <w:tab/>
      </w:r>
      <w:r>
        <w:rPr>
          <w:color w:val="8A8A8A"/>
        </w:rPr>
        <w:t xml:space="preserve">83</w:t>
      </w:r>
    </w:p>
    <w:p>
      <w:pPr>
        <w:pStyle w:val="TocEntry"/>
        <w:tabs>
          <w:tab w:val="right" w:pos="9026" w:leader="dot"/>
        </w:tabs>
        <w:suppressAutoHyphens/>
      </w:pPr>
      <w:r>
        <w:t xml:space="preserve">Capítulo 15. Humildad epistémica y responsabilidad clínica</w:t>
      </w:r>
      <w:r>
        <w:tab/>
      </w:r>
      <w:r>
        <w:rPr>
          <w:color w:val="8A8A8A"/>
        </w:rPr>
        <w:t xml:space="preserve">84</w:t>
      </w:r>
    </w:p>
    <w:p>
      <w:pPr>
        <w:pStyle w:val="TocEntry"/>
        <w:tabs>
          <w:tab w:val="right" w:pos="9026" w:leader="dot"/>
        </w:tabs>
        <w:suppressAutoHyphens/>
      </w:pPr>
      <w:r>
        <w:t xml:space="preserve">Capítulo 16. Una genealogía de las capas: de Hipócrates a Balint</w:t>
      </w:r>
      <w:r>
        <w:tab/>
      </w:r>
      <w:r>
        <w:rPr>
          <w:color w:val="8A8A8A"/>
        </w:rPr>
        <w:t xml:space="preserve">90</w:t>
      </w:r>
    </w:p>
    <w:p>
      <w:pPr>
        <w:pStyle w:val="TocEntry"/>
        <w:tabs>
          <w:tab w:val="right" w:pos="9026" w:leader="dot"/>
        </w:tabs>
        <w:suppressAutoHyphens/>
      </w:pPr>
      <w:r>
        <w:t xml:space="preserve">Capítulo 17. El método HII-D: una epistemología operativa</w:t>
      </w:r>
      <w:r>
        <w:tab/>
      </w:r>
      <w:r>
        <w:rPr>
          <w:color w:val="8A8A8A"/>
        </w:rPr>
        <w:t xml:space="preserve">99</w:t>
      </w:r>
    </w:p>
    <w:p>
      <w:pPr>
        <w:pStyle w:val="TocEntry"/>
        <w:tabs>
          <w:tab w:val="right" w:pos="9026" w:leader="dot"/>
        </w:tabs>
        <w:suppressAutoHyphens/>
      </w:pPr>
      <w:r>
        <w:t xml:space="preserve">Cuaderno de casos. Ocho viñetas para una lectura metacognitiva</w:t>
      </w:r>
      <w:r>
        <w:tab/>
      </w:r>
      <w:r>
        <w:rPr>
          <w:color w:val="8A8A8A"/>
        </w:rPr>
        <w:t xml:space="preserve">106</w:t>
      </w:r>
    </w:p>
    <w:p>
      <w:pPr>
        <w:pStyle w:val="TocEntry"/>
        <w:tabs>
          <w:tab w:val="right" w:pos="9026" w:leader="dot"/>
        </w:tabs>
        <w:suppressAutoHyphens/>
      </w:pPr>
      <w:r>
        <w:t xml:space="preserve">Capítulo 18. Enseñar y organizar la metacognición clínica</w:t>
      </w:r>
      <w:r>
        <w:tab/>
      </w:r>
      <w:r>
        <w:rPr>
          <w:color w:val="8A8A8A"/>
        </w:rPr>
        <w:t xml:space="preserve">115</w:t>
      </w:r>
    </w:p>
    <w:p>
      <w:pPr>
        <w:pStyle w:val="TocEntry"/>
        <w:tabs>
          <w:tab w:val="right" w:pos="9026" w:leader="dot"/>
        </w:tabs>
        <w:suppressAutoHyphens/>
      </w:pPr>
      <w:r>
        <w:t xml:space="preserve">Capítulo 19. La inteligencia artificial en el proceso clínico: roles, riesgos y defensas</w:t>
      </w:r>
      <w:r>
        <w:tab/>
      </w:r>
      <w:r>
        <w:rPr>
          <w:color w:val="8A8A8A"/>
        </w:rPr>
        <w:t xml:space="preserve">119</w:t>
      </w:r>
    </w:p>
    <w:p>
      <w:pPr>
        <w:pStyle w:val="TocEntry"/>
        <w:tabs>
          <w:tab w:val="right" w:pos="9026" w:leader="dot"/>
        </w:tabs>
        <w:suppressAutoHyphens/>
      </w:pPr>
      <w:r>
        <w:t xml:space="preserve">Capítulo 20. La palabra exacta: lo que la poesía sabe del juicio clínico</w:t>
      </w:r>
      <w:r>
        <w:tab/>
      </w:r>
      <w:r>
        <w:rPr>
          <w:color w:val="8A8A8A"/>
        </w:rPr>
        <w:t xml:space="preserve">127</w:t>
      </w:r>
    </w:p>
    <w:p>
      <w:pPr>
        <w:pStyle w:val="TocPart"/>
        <w:tabs>
          <w:tab w:val="right" w:pos="9026" w:leader="dot"/>
        </w:tabs>
        <w:suppressAutoHyphens/>
      </w:pPr>
      <w:r>
        <w:t xml:space="preserve">Conclusión. Una medicina lúcida</w:t>
      </w:r>
      <w:r>
        <w:tab/>
      </w:r>
      <w:r>
        <w:rPr>
          <w:color w:val="8A8A8A"/>
        </w:rPr>
        <w:t xml:space="preserve">130</w:t>
      </w:r>
    </w:p>
    <w:p>
      <w:pPr>
        <w:pStyle w:val="TocPart"/>
        <w:tabs>
          <w:tab w:val="right" w:pos="9026" w:leader="dot"/>
        </w:tabs>
        <w:suppressAutoHyphens/>
      </w:pPr>
      <w:r>
        <w:t xml:space="preserve">Apéndice A. Hoja HII-D para discusión de casos</w:t>
      </w:r>
      <w:r>
        <w:tab/>
      </w:r>
      <w:r>
        <w:rPr>
          <w:color w:val="8A8A8A"/>
        </w:rPr>
        <w:t xml:space="preserve">132</w:t>
      </w:r>
    </w:p>
    <w:p>
      <w:pPr>
        <w:pStyle w:val="TocPart"/>
        <w:tabs>
          <w:tab w:val="right" w:pos="9026" w:leader="dot"/>
        </w:tabs>
        <w:suppressAutoHyphens/>
      </w:pPr>
      <w:r>
        <w:t xml:space="preserve">Apéndice B. Léxico de certeza y pausa diagnóstica</w:t>
      </w:r>
      <w:r>
        <w:tab/>
      </w:r>
      <w:r>
        <w:rPr>
          <w:color w:val="8A8A8A"/>
        </w:rPr>
        <w:t xml:space="preserve">134</w:t>
      </w:r>
    </w:p>
    <w:p>
      <w:pPr>
        <w:pStyle w:val="TocPart"/>
        <w:tabs>
          <w:tab w:val="right" w:pos="9026" w:leader="dot"/>
        </w:tabs>
        <w:suppressAutoHyphens/>
      </w:pPr>
      <w:r>
        <w:t xml:space="preserve">Apéndice C. Guía de implementación en un servicio clínico</w:t>
      </w:r>
      <w:r>
        <w:tab/>
      </w:r>
      <w:r>
        <w:rPr>
          <w:color w:val="8A8A8A"/>
        </w:rPr>
        <w:t xml:space="preserve">136</w:t>
      </w:r>
    </w:p>
    <w:p>
      <w:pPr>
        <w:pStyle w:val="TocPart"/>
        <w:tabs>
          <w:tab w:val="right" w:pos="9026" w:leader="dot"/>
        </w:tabs>
        <w:suppressAutoHyphens/>
      </w:pPr>
      <w:r>
        <w:t xml:space="preserve">Apéndice D. Talleres</w:t>
      </w:r>
      <w:r>
        <w:tab/>
      </w:r>
      <w:r>
        <w:rPr>
          <w:color w:val="8A8A8A"/>
        </w:rPr>
        <w:t xml:space="preserve">139</w:t>
      </w:r>
    </w:p>
    <w:p>
      <w:pPr>
        <w:pStyle w:val="TocPart"/>
        <w:tabs>
          <w:tab w:val="right" w:pos="9026" w:leader="dot"/>
        </w:tabs>
        <w:suppressAutoHyphens/>
      </w:pPr>
      <w:r>
        <w:t xml:space="preserve">Apéndice E. Las preguntas para la próxima visita</w:t>
      </w:r>
      <w:r>
        <w:tab/>
      </w:r>
      <w:r>
        <w:rPr>
          <w:color w:val="8A8A8A"/>
        </w:rPr>
        <w:t xml:space="preserve">150</w:t>
      </w:r>
    </w:p>
    <w:p>
      <w:pPr>
        <w:pStyle w:val="TocPart"/>
        <w:tabs>
          <w:tab w:val="right" w:pos="9026" w:leader="dot"/>
        </w:tabs>
        <w:suppressAutoHyphens/>
      </w:pPr>
      <w:r>
        <w:t xml:space="preserve">Glosario</w:t>
      </w:r>
      <w:r>
        <w:tab/>
      </w:r>
      <w:r>
        <w:rPr>
          <w:color w:val="8A8A8A"/>
        </w:rPr>
        <w:t xml:space="preserve">155</w:t>
      </w:r>
    </w:p>
    <w:p>
      <w:pPr>
        <w:pStyle w:val="TocPart"/>
        <w:tabs>
          <w:tab w:val="right" w:pos="9026" w:leader="dot"/>
        </w:tabs>
        <w:suppressAutoHyphens/>
      </w:pPr>
      <w:r>
        <w:t xml:space="preserve">Índice analítico</w:t>
      </w:r>
      <w:r>
        <w:tab/>
      </w:r>
      <w:r>
        <w:rPr>
          <w:color w:val="8A8A8A"/>
        </w:rPr>
        <w:t xml:space="preserve">162</w:t>
      </w:r>
    </w:p>
    <w:p>
      <w:pPr>
        <w:pStyle w:val="TocPart"/>
        <w:tabs>
          <w:tab w:val="right" w:pos="9026" w:leader="dot"/>
        </w:tabs>
        <w:suppressAutoHyphens/>
      </w:pPr>
      <w:r>
        <w:t xml:space="preserve">Lista de figuras</w:t>
      </w:r>
      <w:r>
        <w:tab/>
      </w:r>
      <w:r>
        <w:rPr>
          <w:color w:val="8A8A8A"/>
        </w:rPr>
        <w:t xml:space="preserve">167</w:t>
      </w:r>
    </w:p>
    <w:p>
      <w:pPr>
        <w:pStyle w:val="TocPart"/>
        <w:tabs>
          <w:tab w:val="right" w:pos="9026" w:leader="dot"/>
        </w:tabs>
        <w:suppressAutoHyphens/>
      </w:pPr>
      <w:r>
        <w:t xml:space="preserve">Nota metodológica y estatuto de las afirmaciones</w:t>
      </w:r>
      <w:r>
        <w:tab/>
      </w:r>
      <w:r>
        <w:rPr>
          <w:color w:val="8A8A8A"/>
        </w:rPr>
        <w:t xml:space="preserve">168</w:t>
      </w:r>
    </w:p>
    <w:p>
      <w:pPr>
        <w:pStyle w:val="TocPart"/>
        <w:tabs>
          <w:tab w:val="right" w:pos="9026" w:leader="dot"/>
        </w:tabs>
        <w:suppressAutoHyphens/>
      </w:pPr>
      <w:r>
        <w:t xml:space="preserve">Referencias</w:t>
      </w:r>
      <w:r>
        <w:tab/>
      </w:r>
      <w:r>
        <w:rPr>
          <w:color w:val="8A8A8A"/>
        </w:rPr>
        <w:t xml:space="preserve">170</w:t>
      </w:r>
    </w:p>
    <w:p>
      <w:pPr>
        <w:pStyle w:val="TocPart"/>
        <w:tabs>
          <w:tab w:val="right" w:pos="9026" w:leader="dot"/>
        </w:tabs>
        <w:suppressAutoHyphens/>
      </w:pPr>
      <w:r>
        <w:t xml:space="preserve">Tarjeta: HII-D en sesenta segundos</w:t>
      </w:r>
      <w:r>
        <w:tab/>
      </w:r>
      <w:r>
        <w:rPr>
          <w:color w:val="8A8A8A"/>
        </w:rPr>
        <w:t xml:space="preserve">184</w:t>
      </w:r>
    </w:p>
    <w:p>
      <w:pPr>
        <w:sectPr>
          <w:pgSz w:w="11906" w:h="16838" w:orient="portrait"/>
          <w:pgMar w:top="1440" w:right="1440" w:bottom="1440" w:left="1440" w:header="708" w:footer="708" w:gutter="0"/>
          <w:pgNumType/>
          <w:docGrid w:linePitch="360"/>
        </w:sectPr>
      </w:pPr>
    </w:p>
    <w:p>
      <w:pPr>
        <w:pStyle w:val="Heading1"/>
        <w:keepNext/>
        <w:keepLines/>
        <w:pageBreakBefore/>
        <w:spacing w:after="320" w:before="720"/>
      </w:pPr>
      <w:r>
        <w:rPr>
          <w:rFonts w:ascii="Gelasio" w:cs="Gelasio" w:eastAsia="Gelasio" w:hAnsi="Gelasio"/>
          <w:b/>
          <w:bCs/>
          <w:color w:val="2B2B2B"/>
          <w:sz w:val="34"/>
          <w:szCs w:val="34"/>
        </w:rPr>
        <w:t xml:space="preserve">Prefacio</w:t>
      </w:r>
    </w:p>
    <w:p>
      <w:pPr>
        <w:pStyle w:val="BodyJ"/>
        <w:keepNext w:val="false"/>
      </w:pPr>
      <w:r>
        <w:t xml:space="preserve">Durante mi residencia escribí una frase que tardé años en devolver a su tamaño real. La enfermera de noche había anotado un vómito a las tres de la madrugada. Nadie vio al paciente aspirar; no tuvo fiebre ni disnea nueva, no cambió su requerimiento de oxígeno, y en la radiografía de la mañana aparecieron infiltrados basales que no teníamos con qué comparar, porque no había una placa previa. Yo escribí: «neumonía aspirativa». Dos palabras limpias y verosímiles que saltaban sin escalas desde un vómito referido y una sombra radiológica hasta una infección bacteriana establecida. Si hubo aspiración, y nadie la presenció, pudo causar una neumonitis química, que no se trata con antibióticos, o una neumonía bacteriana, que sí; la radiografía no distingue entre ambas, y sin placa previa ni siquiera sabíamos si esos infiltrados eran nuevos. Mi frase eligió la neumonía sin un solo dato que la separara de las otras posibilidades.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keepNext w:val="false"/>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keepNext w:val="false"/>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keepNext/>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keepNext w:val="false"/>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keepNext w:val="false"/>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Que las palabras de certeza deban tener un peso fijo no es una idea nueva —la inteligencia estadounidense y la radiología lo intentaron antes, y el capítulo 17 lo reconoce—; lo que falta es llevar esa disciplina a la nota entera, capa por capa.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keepNext w:val="false"/>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keepNext w:val="false"/>
      </w:pPr>
      <w:r>
        <w:t xml:space="preserve">Escribo desde la práctica y no desde la tribuna. Los errores que analizo en estas páginas son de los que yo también he cometido; los he escrito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keepNext w:val="false"/>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keepNext w:val="false"/>
      </w:pPr>
      <w:r>
        <w:t xml:space="preserve">La aspiración del libro es modesta y exigente a la vez: favorecer una medicina capaz de afirmar con claridad, dudar con precisión y actuar con responsabilidad.</w:t>
      </w:r>
    </w:p>
    <w:p>
      <w:pPr>
        <w:pStyle w:val="Heading1"/>
        <w:keepNext/>
        <w:keepLines/>
        <w:pageBreakBefore/>
        <w:spacing w:after="320" w:before="720"/>
      </w:pPr>
      <w:r>
        <w:rPr>
          <w:rFonts w:ascii="Gelasio" w:cs="Gelasio" w:eastAsia="Gelasio" w:hAnsi="Gelasio"/>
          <w:b/>
          <w:bCs/>
          <w:color w:val="2B2B2B"/>
          <w:sz w:val="34"/>
          <w:szCs w:val="34"/>
        </w:rPr>
        <w:t xml:space="preserve">Cómo leer este libro</w:t>
      </w:r>
    </w:p>
    <w:p>
      <w:pPr>
        <w:pStyle w:val="BodyJ"/>
        <w:keepNext w:val="false"/>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el valor de un examen, que es lo que su resultado puede cambiar; la trayectoria temporal; la ficha clínica; los equipos y la comunicación de la incertidumbre. La </w:t>
      </w:r>
      <w:r>
        <w:rPr>
          <w:b/>
          <w:bCs/>
        </w:rPr>
        <w:t xml:space="preserve">Parte IV</w:t>
      </w:r>
      <w:r>
        <w:t xml:space="preserve"> propone una epistemología operativa. La responsabilidad, incluido el miedo que también escribe; una genealogía de las capas, de Hipócrates a Balint;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keepNext w:val="false"/>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keepNext w:val="false"/>
      </w:pPr>
      <w:r>
        <w:t xml:space="preserve">Cada capítulo cierra con dos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Para quien quiera practicar, los </w:t>
      </w:r>
      <w:r>
        <w:rPr>
          <w:b/>
          <w:bCs/>
        </w:rPr>
        <w:t xml:space="preserve">talleres</w:t>
      </w:r>
      <w:r>
        <w:t xml:space="preserve"> del Apéndice D proponen ejercicios concretos, nombrados por su capítulo; muchos piden reescribir una frase clínica real. No tienen respuestas únicas: la versión posible o el comentario que los acompaña muestra un camino, no el camino.</w:t>
      </w:r>
    </w:p>
    <w:p>
      <w:pPr>
        <w:pStyle w:val="BodyJ"/>
        <w:keepNext w:val="false"/>
      </w:pPr>
      <w:r>
        <w:t xml:space="preserve">Lea con un caso propio en mente. Las preguntas de cierre de cada capítulo están reunidas en el Apéndice E,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keepNext w:val="false"/>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keepNext w:val="false"/>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keepNext/>
        <w:keepLines/>
        <w:pageBreakBefore/>
        <w:spacing w:after="320" w:before="720"/>
      </w:pPr>
      <w:r>
        <w:rPr>
          <w:rFonts w:ascii="Gelasio" w:cs="Gelasio" w:eastAsia="Gelasio" w:hAnsi="Gelasio"/>
          <w:b/>
          <w:bCs/>
          <w:color w:val="2B2B2B"/>
          <w:sz w:val="34"/>
          <w:szCs w:val="34"/>
        </w:rPr>
        <w:t xml:space="preserve">Introducción. La medicina como práctica de conocimiento incompleto</w:t>
      </w:r>
    </w:p>
    <w:p>
      <w:pPr>
        <w:pStyle w:val="BodyJ"/>
        <w:keepNext w:val="false"/>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(presión arterial media de 55 mmHg) y taquicárdica (112 por minuto), con las rodillas moteadas y un lactato de 3,9 mmol/L. En la nota de ingreso, alguien escribió: «Paciente con hernia complicada conocida, cuadro habitual, se maneja de forma habitual».</w:t>
      </w:r>
    </w:p>
    <w:p>
      <w:pPr>
        <w:pStyle w:val="BodyJ"/>
        <w:keepNext w:val="false"/>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keepNext w:val="false"/>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keepNext w:val="false"/>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keepNext w:val="false"/>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keepNext w:val="false"/>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keepNext w:val="false"/>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keepNext w:val="false"/>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keepNext w:val="false"/>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keepNext w:val="false"/>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keepNext w:val="false"/>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keepNext w:val="false"/>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keepNext/>
        <w:spacing w:after="80" w:before="160"/>
      </w:pPr>
      <w:r>
        <w:rPr>
          <w:b/>
          <w:bCs/>
        </w:rPr>
        <w:t xml:space="preserve">Tres preguntas para la próxima visita.</w:t>
      </w:r>
    </w:p>
    <w:p>
      <w:pPr>
        <w:pStyle w:val="BodyJ"/>
        <w:keepNext/>
        <w:numPr>
          <w:ilvl w:val="0"/>
          <w:numId w:val="2"/>
        </w:numPr>
      </w:pPr>
      <w:r>
        <w:t xml:space="preserve">En la última nota que escribí, ¿qué afirmación era un dato y cuál era mi interpretación del dato?</w:t>
      </w:r>
    </w:p>
    <w:p>
      <w:pPr>
        <w:pStyle w:val="BodyJ"/>
        <w:keepNext/>
        <w:numPr>
          <w:ilvl w:val="0"/>
          <w:numId w:val="2"/>
        </w:numPr>
      </w:pPr>
      <w:r>
        <w:t xml:space="preserve">¿Qué frase de la ficha de mi paciente actual heredé de otra nota sin verificar su origen?</w:t>
      </w:r>
    </w:p>
    <w:p>
      <w:pPr>
        <w:pStyle w:val="BodyJ"/>
        <w:keepNext w:val="false"/>
        <w:numPr>
          <w:ilvl w:val="0"/>
          <w:numId w:val="2"/>
        </w:numPr>
      </w:pPr>
      <w:r>
        <w:t xml:space="preserve">¿Cuál es la decisión concreta que este caso me exige hoy, y qué me haría cambiarla?</w:t>
      </w:r>
    </w:p>
    <w:p>
      <w:pPr>
        <w:pStyle w:val="PartLabel"/>
        <w:keepNext/>
        <w:pageBreakBefore/>
      </w:pPr>
      <w:r>
        <w:t xml:space="preserve">PARTE I</w:t>
      </w:r>
    </w:p>
    <w:p>
      <w:pPr>
        <w:pStyle w:val="PartTitle"/>
        <w:keepNext/>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keepNext/>
        <w:keepLines/>
        <w:pageBreakBefore/>
        <w:spacing w:after="300" w:before="600"/>
      </w:pPr>
      <w:r>
        <w:rPr>
          <w:rFonts w:ascii="Gelasio" w:cs="Gelasio" w:eastAsia="Gelasio" w:hAnsi="Gelasio"/>
          <w:b/>
          <w:bCs/>
          <w:color w:val="8C2F2F"/>
          <w:sz w:val="22"/>
          <w:szCs w:val="22"/>
        </w:rPr>
        <w:t xml:space="preserve">Capítulo 1</w:t>
      </w:r>
      <w:r>
        <w:rPr>
          <w:rFonts w:ascii="Gelasio" w:cs="Gelasio" w:eastAsia="Gelasio" w:hAnsi="Gelasio"/>
          <w:b/>
          <w:bCs/>
          <w:color w:val="3D5A6C"/>
          <w:sz w:val="32"/>
          <w:szCs w:val="32"/>
        </w:rPr>
        <w:br/>
        <w:t xml:space="preserve">El hecho clínico: observación, medición y procedencia</w:t>
      </w:r>
    </w:p>
    <w:p>
      <w:pPr>
        <w:pStyle w:val="BodyJ"/>
        <w:keepNext w:val="false"/>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keepNext/>
        <w:keepLines/>
        <w:spacing w:after="120" w:before="280"/>
      </w:pPr>
      <w:r>
        <w:rPr>
          <w:rFonts w:ascii="Gelasio" w:cs="Gelasio" w:eastAsia="Gelasio" w:hAnsi="Gelasio"/>
          <w:b/>
          <w:bCs/>
          <w:color w:val="2B2B2B"/>
          <w:sz w:val="25"/>
          <w:szCs w:val="25"/>
        </w:rPr>
        <w:t xml:space="preserve">Los datos no llegan desnudos</w:t>
      </w:r>
    </w:p>
    <w:p>
      <w:pPr>
        <w:pStyle w:val="BodyJ"/>
        <w:keepNext w:val="false"/>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keepNext w:val="false"/>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keepNext w:val="false"/>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keepNext w:val="false"/>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3,9»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keepNext w:val="false"/>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keepNext/>
        <w:keepLines/>
        <w:spacing w:after="120" w:before="280"/>
      </w:pPr>
      <w:r>
        <w:rPr>
          <w:rFonts w:ascii="Gelasio" w:cs="Gelasio" w:eastAsia="Gelasio" w:hAnsi="Gelasio"/>
          <w:b/>
          <w:bCs/>
          <w:color w:val="2B2B2B"/>
          <w:sz w:val="25"/>
          <w:szCs w:val="25"/>
        </w:rPr>
        <w:t xml:space="preserve">Hechos incompletos</w:t>
      </w:r>
    </w:p>
    <w:p>
      <w:pPr>
        <w:pStyle w:val="BodyJ"/>
        <w:keepNext w:val="false"/>
      </w:pPr>
      <w:r>
        <w:t xml:space="preserve">Los hechos clínicos son incompletos por diseño. Ninguna anamnesis recoge toda la experiencia del paciente, ningún examen físico agota el cuerpo y ningún panel de laboratorio representa la totalidad del proceso biológico. La ficha clínica es una muestra orientada por preguntas. Lo que no se pregunta puede quedar inexistente en el registro, aunque haya estado presente en la realidad.</w:t>
      </w:r>
    </w:p>
    <w:p>
      <w:pPr>
        <w:pStyle w:val="BodyJ"/>
        <w:keepNext w:val="false"/>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keepNext w:val="false"/>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keepNext w:val="false"/>
      </w:pPr>
      <w:r>
        <w:t xml:space="preserve">La distinción no es académica. El ensayo ANDROMEDA-SHOCK comparó dos maneras de leer al mismo paciente en shock séptico: guiar la reanimación por la normalización del lactato o por la del llene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keepNext w:val="false"/>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keepNext/>
        <w:keepLines/>
        <w:spacing w:after="120" w:before="280"/>
      </w:pPr>
      <w:r>
        <w:rPr>
          <w:rFonts w:ascii="Gelasio" w:cs="Gelasio" w:eastAsia="Gelasio" w:hAnsi="Gelasio"/>
          <w:b/>
          <w:bCs/>
          <w:color w:val="2B2B2B"/>
          <w:sz w:val="25"/>
          <w:szCs w:val="25"/>
        </w:rPr>
        <w:t xml:space="preserve">El testimonio como evidencia</w:t>
      </w:r>
    </w:p>
    <w:p>
      <w:pPr>
        <w:pStyle w:val="BodyJ"/>
        <w:keepNext w:val="false"/>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keepNext w:val="false"/>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keepNext w:val="false"/>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keepNext/>
        <w:keepLines/>
        <w:spacing w:after="120" w:before="280"/>
      </w:pPr>
      <w:r>
        <w:rPr>
          <w:rFonts w:ascii="Gelasio" w:cs="Gelasio" w:eastAsia="Gelasio" w:hAnsi="Gelasio"/>
          <w:b/>
          <w:bCs/>
          <w:color w:val="2B2B2B"/>
          <w:sz w:val="25"/>
          <w:szCs w:val="25"/>
        </w:rPr>
        <w:t xml:space="preserve">Trazabilidad epistemológica</w:t>
      </w:r>
    </w:p>
    <w:p>
      <w:pPr>
        <w:pStyle w:val="BodyJ"/>
        <w:keepNext w:val="false"/>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keepNext w:val="false"/>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presión arterial media de 55 mmHg y frecuencia cardiaca de 112 lpm, con requerimiento de noradrenalina pese a 2.000 ml de Ringer lactato en tres horas, lactato de 3,9 mmol/L y llene capilar de 3 a 4 segundos; episodio obstructivo clínico sobre hernia incisional, sin signos tomográficos de perforación ni isquemia; y, a las 12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keepNext w:val="false"/>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keepNext/>
        <w:keepLines/>
        <w:spacing w:after="120" w:before="280"/>
      </w:pPr>
      <w:r>
        <w:rPr>
          <w:rFonts w:ascii="Gelasio" w:cs="Gelasio" w:eastAsia="Gelasio" w:hAnsi="Gelasio"/>
          <w:b/>
          <w:bCs/>
          <w:color w:val="2B2B2B"/>
          <w:sz w:val="25"/>
          <w:szCs w:val="25"/>
        </w:rPr>
        <w:t xml:space="preserve">Grados de facticidad</w:t>
      </w:r>
    </w:p>
    <w:p>
      <w:pPr>
        <w:pStyle w:val="BodyJ"/>
        <w:keepNext w:val="false"/>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—para el dolor, el cambio respecto del basal y las preferencias del paciente, el testimonio es la fuente primaria y la más pertinente (el capítulo 15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0325"/>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keepNext/>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keepNext w:val="false"/>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keepNext/>
        <w:keepLines/>
      </w:pPr>
      <w:r>
        <w:t xml:space="preserve">Caja de herramientas. Tres metadatos por hecho decisivo</w:t>
      </w:r>
    </w:p>
    <w:p>
      <w:pPr>
        <w:pStyle w:val="BodyJ"/>
        <w:keepNext w:val="false"/>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EnUnaFrase"/>
      </w:pPr>
      <w:r>
        <w:rPr>
          <w:b/>
          <w:bCs/>
        </w:rPr>
        <w:t xml:space="preserve">En una frase.</w:t>
      </w:r>
      <w:r>
        <w:t xml:space="preserve"> Un hecho clínico vale lo que vale su procedencia: fuente, momento, método y límites deben viajar con la afirmación.</w:t>
      </w:r>
    </w:p>
    <w:p>
      <w:pPr>
        <w:pStyle w:val="BodyJ"/>
        <w:keepNext/>
        <w:spacing w:after="80" w:before="160"/>
      </w:pPr>
      <w:r>
        <w:rPr>
          <w:b/>
          <w:bCs/>
        </w:rPr>
        <w:t xml:space="preserve">Tres preguntas para la próxima visita.</w:t>
      </w:r>
    </w:p>
    <w:p>
      <w:pPr>
        <w:pStyle w:val="BodyJ"/>
        <w:keepNext/>
        <w:numPr>
          <w:ilvl w:val="0"/>
          <w:numId w:val="3"/>
        </w:numPr>
      </w:pPr>
      <w:r>
        <w:t xml:space="preserve">¿Cuál es el dato más decisivo de mi evaluación de hoy y quién lo produjo realmente?</w:t>
      </w:r>
    </w:p>
    <w:p>
      <w:pPr>
        <w:pStyle w:val="BodyJ"/>
        <w:keepNext/>
        <w:numPr>
          <w:ilvl w:val="0"/>
          <w:numId w:val="3"/>
        </w:numPr>
      </w:pPr>
      <w:r>
        <w:t xml:space="preserve">¿Qué «hallazgo negativo» estoy tratando como evidencia de ausencia sin preguntarme por la sensibilidad de la búsqueda?</w:t>
      </w:r>
    </w:p>
    <w:p>
      <w:pPr>
        <w:pStyle w:val="BodyJ"/>
        <w:keepNext w:val="false"/>
        <w:numPr>
          <w:ilvl w:val="0"/>
          <w:numId w:val="3"/>
        </w:numPr>
      </w:pPr>
      <w:r>
        <w:t xml:space="preserve">¿Qué dijo mi paciente con sus propias palabras que yo ya traduje a jerga?</w:t>
      </w:r>
    </w:p>
    <w:p>
      <w:pPr>
        <w:pStyle w:val="Heading2"/>
        <w:keepNext/>
        <w:keepLines/>
        <w:pageBreakBefore/>
        <w:spacing w:after="300" w:before="600"/>
      </w:pPr>
      <w:r>
        <w:rPr>
          <w:rFonts w:ascii="Gelasio" w:cs="Gelasio" w:eastAsia="Gelasio" w:hAnsi="Gelasio"/>
          <w:b/>
          <w:bCs/>
          <w:color w:val="8C2F2F"/>
          <w:sz w:val="22"/>
          <w:szCs w:val="22"/>
        </w:rPr>
        <w:t xml:space="preserve">Capítulo 2</w:t>
      </w:r>
      <w:r>
        <w:rPr>
          <w:rFonts w:ascii="Gelasio" w:cs="Gelasio" w:eastAsia="Gelasio" w:hAnsi="Gelasio"/>
          <w:b/>
          <w:bCs/>
          <w:color w:val="3D5A6C"/>
          <w:sz w:val="32"/>
          <w:szCs w:val="32"/>
        </w:rPr>
        <w:br/>
        <w:t xml:space="preserve">Inferir: del signo a la explicación</w:t>
      </w:r>
    </w:p>
    <w:p>
      <w:pPr>
        <w:pStyle w:val="BodyJ"/>
        <w:keepNext w:val="false"/>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keepNext/>
        <w:keepLines/>
        <w:spacing w:after="120" w:before="280"/>
      </w:pPr>
      <w:r>
        <w:rPr>
          <w:rFonts w:ascii="Gelasio" w:cs="Gelasio" w:eastAsia="Gelasio" w:hAnsi="Gelasio"/>
          <w:b/>
          <w:bCs/>
          <w:color w:val="2B2B2B"/>
          <w:sz w:val="25"/>
          <w:szCs w:val="25"/>
        </w:rPr>
        <w:t xml:space="preserve">La medicina como razonamiento abductivo</w:t>
      </w:r>
    </w:p>
    <w:p>
      <w:pPr>
        <w:pStyle w:val="BodyJ"/>
        <w:keepNext w:val="false"/>
      </w:pPr>
      <w:r>
        <w:t xml:space="preserve">El diagnóstico no aparece contenido dentro del dato. Se propone como la explicación que mejor organiza un conjunto de hallazgos. Peirce describió este movimiento —que en 1878 llamó «hipótesis» (Peirce, 1878)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1934, CP 5.189).</w:t>
      </w:r>
    </w:p>
    <w:p>
      <w:pPr>
        <w:pStyle w:val="BodyJ"/>
        <w:keepNext w:val="false"/>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keepNext/>
        <w:keepLines/>
        <w:spacing w:after="120" w:before="280"/>
      </w:pPr>
      <w:r>
        <w:rPr>
          <w:rFonts w:ascii="Gelasio" w:cs="Gelasio" w:eastAsia="Gelasio" w:hAnsi="Gelasio"/>
          <w:b/>
          <w:bCs/>
          <w:color w:val="2B2B2B"/>
          <w:sz w:val="25"/>
          <w:szCs w:val="25"/>
        </w:rPr>
        <w:t xml:space="preserve">Representar el problema</w:t>
      </w:r>
    </w:p>
    <w:p>
      <w:pPr>
        <w:pStyle w:val="BodyJ"/>
        <w:keepNext w:val="false"/>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keepNext w:val="false"/>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que respondió a la reanimación con volumen, noradrenalina y antibióticos, sin signos tomográficos actuales de estrangulación ni perforación» conserva los calificadores que guían el razonamiento: temporalidad, cambio de patrón, gravedad fisiológica, microbiología y límites anatómicos.</w:t>
      </w:r>
    </w:p>
    <w:p>
      <w:pPr>
        <w:pStyle w:val="BodyJ"/>
        <w:keepNext w:val="false"/>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keepNext/>
        <w:keepLines/>
        <w:spacing w:after="120" w:before="280"/>
      </w:pPr>
      <w:r>
        <w:rPr>
          <w:rFonts w:ascii="Gelasio" w:cs="Gelasio" w:eastAsia="Gelasio" w:hAnsi="Gelasio"/>
          <w:b/>
          <w:bCs/>
          <w:color w:val="2B2B2B"/>
          <w:sz w:val="25"/>
          <w:szCs w:val="25"/>
        </w:rPr>
        <w:t xml:space="preserve">Inferencias con distinta fuerza</w:t>
      </w:r>
    </w:p>
    <w:p>
      <w:pPr>
        <w:pStyle w:val="BodyJ"/>
        <w:keepNext w:val="false"/>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keepNext w:val="false"/>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keepNext w:val="false"/>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keepNext/>
        <w:keepLines/>
        <w:spacing w:after="120" w:before="280"/>
      </w:pPr>
      <w:r>
        <w:rPr>
          <w:rFonts w:ascii="Gelasio" w:cs="Gelasio" w:eastAsia="Gelasio" w:hAnsi="Gelasio"/>
          <w:b/>
          <w:bCs/>
          <w:color w:val="2B2B2B"/>
          <w:sz w:val="25"/>
          <w:szCs w:val="25"/>
        </w:rPr>
        <w:t xml:space="preserve">La creatividad del diagnóstico: generar antes de podar</w:t>
      </w:r>
    </w:p>
    <w:p>
      <w:pPr>
        <w:pStyle w:val="BodyJ"/>
        <w:keepNext w:val="false"/>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keepNext w:val="false"/>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keepNext w:val="false"/>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—también impide percibir—. De ahí que varias de las herramientas que siguen, y que parecen puramente disciplinarias, sean además técnicas de creatividad: reformular el caso sin usar la etiqueta (capítulo 8) es un procedimiento para forzar la percepción de otro orden posible en los mismos hechos.</w:t>
      </w:r>
    </w:p>
    <w:p>
      <w:pPr>
        <w:pStyle w:val="BodyJ"/>
        <w:keepNext w:val="false"/>
      </w:pPr>
      <w:r>
        <w:t xml:space="preserve">Schön señaló, por último, dónde vive la creatividad profesional más frecuente: no en resolver el problema dado, sino en plantearlo de nuevo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keepNext w:val="false"/>
      </w:pPr>
      <w:r>
        <w:t xml:space="preserve">A la generación le sigue, de inmediato, la prueba de resistencia: generar con libertad y podar con severidad no son virtudes rivales, sino las dos mitades del mismo juicio.</w:t>
      </w:r>
    </w:p>
    <w:p>
      <w:pPr>
        <w:pStyle w:val="Heading3"/>
        <w:keepNext/>
        <w:keepLines/>
        <w:spacing w:after="120" w:before="280"/>
      </w:pPr>
      <w:r>
        <w:rPr>
          <w:rFonts w:ascii="Gelasio" w:cs="Gelasio" w:eastAsia="Gelasio" w:hAnsi="Gelasio"/>
          <w:b/>
          <w:bCs/>
          <w:color w:val="2B2B2B"/>
          <w:sz w:val="25"/>
          <w:szCs w:val="25"/>
        </w:rPr>
        <w:t xml:space="preserve">Explicaciones rivales y prueba de resistencia</w:t>
      </w:r>
    </w:p>
    <w:p>
      <w:pPr>
        <w:pStyle w:val="BodyJ"/>
        <w:keepNext w:val="false"/>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keepNext w:val="false"/>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keepNext w:val="false"/>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—aquellas que tenían una probabilidad real de desmentirla (Popper, 1959)—. En clínica, esto distingue dos maneras de pedir exámenes: el que confirma lo que ya se cree —otro marcador inflamatorio en quien ya fue etiquetado de infección— y el que somete la hipótesis a riesgo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keepNext w:val="false"/>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keepNext/>
        <w:keepLines/>
        <w:spacing w:after="120" w:before="280"/>
      </w:pPr>
      <w:r>
        <w:rPr>
          <w:rFonts w:ascii="Gelasio" w:cs="Gelasio" w:eastAsia="Gelasio" w:hAnsi="Gelasio"/>
          <w:b/>
          <w:bCs/>
          <w:color w:val="2B2B2B"/>
          <w:sz w:val="25"/>
          <w:szCs w:val="25"/>
        </w:rPr>
        <w:t xml:space="preserve">Explicar, predecir y actuar</w:t>
      </w:r>
    </w:p>
    <w:p>
      <w:pPr>
        <w:pStyle w:val="BodyJ"/>
        <w:keepNext w:val="false"/>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keepNext w:val="false"/>
      </w:pPr>
      <w:r>
        <w:t xml:space="preserve">La abducción propone las explicaciones y la prueba de resistencia retiene la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El diagnóstico diferencial debe organizarse, entonces, según discriminación clínica y no sólo semejanza nominal.</w:t>
      </w:r>
    </w:p>
    <w:p>
      <w:pPr>
        <w:pStyle w:val="BodyJ"/>
        <w:keepNext w:val="false"/>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keepNext/>
        <w:spacing w:after="80" w:before="160"/>
      </w:pPr>
      <w:r>
        <w:rPr>
          <w:b/>
          <w:bCs/>
        </w:rPr>
        <w:t xml:space="preserve">Tres preguntas para la próxima visita.</w:t>
      </w:r>
    </w:p>
    <w:p>
      <w:pPr>
        <w:pStyle w:val="BodyJ"/>
        <w:keepNext/>
        <w:numPr>
          <w:ilvl w:val="0"/>
          <w:numId w:val="4"/>
        </w:numPr>
      </w:pPr>
      <w:r>
        <w:t xml:space="preserve">¿Cuál es el dato más difícil de explicar con mi hipótesis principal?</w:t>
      </w:r>
    </w:p>
    <w:p>
      <w:pPr>
        <w:pStyle w:val="BodyJ"/>
        <w:keepNext/>
        <w:numPr>
          <w:ilvl w:val="0"/>
          <w:numId w:val="4"/>
        </w:numPr>
      </w:pPr>
      <w:r>
        <w:t xml:space="preserve">¿Qué explicación rival cambiaría mi conducta hoy, y qué me costaría buscarla?</w:t>
      </w:r>
    </w:p>
    <w:p>
      <w:pPr>
        <w:pStyle w:val="BodyJ"/>
        <w:keepNext w:val="false"/>
        <w:numPr>
          <w:ilvl w:val="0"/>
          <w:numId w:val="4"/>
        </w:numPr>
      </w:pPr>
      <w:r>
        <w:t xml:space="preserve">¿Qué predicción concreta hace mi diagnóstico para las próximas 24 horas?</w:t>
      </w:r>
    </w:p>
    <w:p>
      <w:pPr>
        <w:pStyle w:val="Heading2"/>
        <w:keepNext/>
        <w:keepLines/>
        <w:pageBreakBefore/>
        <w:spacing w:after="300" w:before="600"/>
      </w:pPr>
      <w:r>
        <w:rPr>
          <w:rFonts w:ascii="Gelasio" w:cs="Gelasio" w:eastAsia="Gelasio" w:hAnsi="Gelasio"/>
          <w:b/>
          <w:bCs/>
          <w:color w:val="8C2F2F"/>
          <w:sz w:val="22"/>
          <w:szCs w:val="22"/>
        </w:rPr>
        <w:t xml:space="preserve">Capítulo 3</w:t>
      </w:r>
      <w:r>
        <w:rPr>
          <w:rFonts w:ascii="Gelasio" w:cs="Gelasio" w:eastAsia="Gelasio" w:hAnsi="Gelasio"/>
          <w:b/>
          <w:bCs/>
          <w:color w:val="3D5A6C"/>
          <w:sz w:val="32"/>
          <w:szCs w:val="32"/>
        </w:rPr>
        <w:br/>
        <w:t xml:space="preserve">Incertidumbre: una condición estructural</w:t>
      </w:r>
    </w:p>
    <w:p>
      <w:pPr>
        <w:pStyle w:val="BodyJ"/>
        <w:keepNext w:val="false"/>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keepNext/>
        <w:keepLines/>
        <w:spacing w:after="120" w:before="280"/>
      </w:pPr>
      <w:r>
        <w:rPr>
          <w:rFonts w:ascii="Gelasio" w:cs="Gelasio" w:eastAsia="Gelasio" w:hAnsi="Gelasio"/>
          <w:b/>
          <w:bCs/>
          <w:color w:val="2B2B2B"/>
          <w:sz w:val="25"/>
          <w:szCs w:val="25"/>
        </w:rPr>
        <w:t xml:space="preserve">Más que falta de información</w:t>
      </w:r>
    </w:p>
    <w:p>
      <w:pPr>
        <w:pStyle w:val="BodyJ"/>
        <w:keepNext w:val="false"/>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keepNext w:val="false"/>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keepNext w:val="false"/>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keepNext/>
        <w:keepLines/>
        <w:spacing w:after="120" w:before="280"/>
      </w:pPr>
      <w:r>
        <w:rPr>
          <w:rFonts w:ascii="Gelasio" w:cs="Gelasio" w:eastAsia="Gelasio" w:hAnsi="Gelasio"/>
          <w:b/>
          <w:bCs/>
          <w:color w:val="2B2B2B"/>
          <w:sz w:val="25"/>
          <w:szCs w:val="25"/>
        </w:rPr>
        <w:t xml:space="preserve">La formación médica y la fantasía de certeza</w:t>
      </w:r>
    </w:p>
    <w:p>
      <w:pPr>
        <w:pStyle w:val="BodyJ"/>
        <w:keepNext w:val="false"/>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keepNext w:val="false"/>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keepNext w:val="false"/>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keepNext/>
        <w:keepLines/>
        <w:spacing w:after="120" w:before="280"/>
      </w:pPr>
      <w:r>
        <w:rPr>
          <w:rFonts w:ascii="Gelasio" w:cs="Gelasio" w:eastAsia="Gelasio" w:hAnsi="Gelasio"/>
          <w:b/>
          <w:bCs/>
          <w:color w:val="2B2B2B"/>
          <w:sz w:val="25"/>
          <w:szCs w:val="25"/>
        </w:rPr>
        <w:t xml:space="preserve">Incertidumbre precisa</w:t>
      </w:r>
    </w:p>
    <w:p>
      <w:pPr>
        <w:pStyle w:val="BodyJ"/>
        <w:keepNext w:val="false"/>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keepNext/>
      </w:pPr>
      <w:r>
        <w:t xml:space="preserve">Una cartografía clínica de la incertidumbre puede distinguir:</w:t>
      </w:r>
    </w:p>
    <w:p>
      <w:pPr>
        <w:pStyle w:val="BodyJ"/>
        <w:keepNext/>
        <w:numPr>
          <w:ilvl w:val="0"/>
          <w:numId w:val="5"/>
        </w:numPr>
      </w:pPr>
      <w:r>
        <w:t xml:space="preserve">lo desconocido que puede resolverse con un examen;</w:t>
      </w:r>
    </w:p>
    <w:p>
      <w:pPr>
        <w:pStyle w:val="BodyJ"/>
        <w:keepNext/>
        <w:numPr>
          <w:ilvl w:val="0"/>
          <w:numId w:val="5"/>
        </w:numPr>
      </w:pPr>
      <w:r>
        <w:t xml:space="preserve">lo que sólo puede aclararse con evolución temporal;</w:t>
      </w:r>
    </w:p>
    <w:p>
      <w:pPr>
        <w:pStyle w:val="BodyJ"/>
        <w:keepNext/>
        <w:numPr>
          <w:ilvl w:val="0"/>
          <w:numId w:val="5"/>
        </w:numPr>
      </w:pPr>
      <w:r>
        <w:t xml:space="preserve">lo que no cambiaría la conducta inmediata;</w:t>
      </w:r>
    </w:p>
    <w:p>
      <w:pPr>
        <w:pStyle w:val="BodyJ"/>
        <w:keepNext/>
        <w:numPr>
          <w:ilvl w:val="0"/>
          <w:numId w:val="5"/>
        </w:numPr>
      </w:pPr>
      <w:r>
        <w:t xml:space="preserve">lo que, si estuviera equivocado, produciría daño grave;</w:t>
      </w:r>
    </w:p>
    <w:p>
      <w:pPr>
        <w:pStyle w:val="BodyJ"/>
        <w:keepNext w:val="false"/>
        <w:numPr>
          <w:ilvl w:val="0"/>
          <w:numId w:val="5"/>
        </w:numPr>
      </w:pPr>
      <w:r>
        <w:t xml:space="preserve">lo que depende de valores y preferencias más que de información adicional.</w:t>
      </w:r>
    </w:p>
    <w:p>
      <w:pPr>
        <w:pStyle w:val="BodyJ"/>
        <w:keepNext w:val="false"/>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keepNext/>
        <w:keepLines/>
        <w:spacing w:after="120" w:before="280"/>
      </w:pPr>
      <w:r>
        <w:rPr>
          <w:rFonts w:ascii="Gelasio" w:cs="Gelasio" w:eastAsia="Gelasio" w:hAnsi="Gelasio"/>
          <w:b/>
          <w:bCs/>
          <w:color w:val="2B2B2B"/>
          <w:sz w:val="25"/>
          <w:szCs w:val="25"/>
        </w:rPr>
        <w:t xml:space="preserve">La certeza práctica</w:t>
      </w:r>
    </w:p>
    <w:p>
      <w:pPr>
        <w:pStyle w:val="BodyJ"/>
        <w:keepNext w:val="false"/>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keepNext w:val="false"/>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keepNext w:val="false"/>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keepNext w:val="false"/>
      </w:pPr>
      <w:r>
        <w:t xml:space="preserve">Reconocer incertidumbre no disminuye la responsabilidad; la hace más precisa. El médico responde por buscar la información razonablemente accesible, interpretar con competencia, comunicar límites y establecer una estrategia de reevaluación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keepNext/>
        <w:spacing w:after="80" w:before="160"/>
      </w:pPr>
      <w:r>
        <w:rPr>
          <w:b/>
          <w:bCs/>
        </w:rPr>
        <w:t xml:space="preserve">Tres preguntas para la próxima visita.</w:t>
      </w:r>
    </w:p>
    <w:p>
      <w:pPr>
        <w:pStyle w:val="BodyJ"/>
        <w:keepNext/>
        <w:numPr>
          <w:ilvl w:val="0"/>
          <w:numId w:val="6"/>
        </w:numPr>
      </w:pPr>
      <w:r>
        <w:t xml:space="preserve">De todo lo que no sé de este paciente, ¿qué duda cambiaría mi conducta si se resolviera?</w:t>
      </w:r>
    </w:p>
    <w:p>
      <w:pPr>
        <w:pStyle w:val="BodyJ"/>
        <w:keepNext/>
        <w:numPr>
          <w:ilvl w:val="0"/>
          <w:numId w:val="6"/>
        </w:numPr>
      </w:pPr>
      <w:r>
        <w:t xml:space="preserve">¿Cuál es la duda pequeña con consecuencia catastrófica que exige vigilancia explícita?</w:t>
      </w:r>
    </w:p>
    <w:p>
      <w:pPr>
        <w:pStyle w:val="BodyJ"/>
        <w:keepNext w:val="false"/>
        <w:numPr>
          <w:ilvl w:val="0"/>
          <w:numId w:val="6"/>
        </w:numPr>
      </w:pPr>
      <w:r>
        <w:t xml:space="preserve">¿Qué parte de mi plan depende de valores del paciente que aún no he preguntado?</w:t>
      </w:r>
    </w:p>
    <w:p>
      <w:pPr>
        <w:pStyle w:val="Heading2"/>
        <w:keepNext/>
        <w:keepLines/>
        <w:pageBreakBefore/>
        <w:spacing w:after="300" w:before="600"/>
      </w:pPr>
      <w:r>
        <w:rPr>
          <w:rFonts w:ascii="Gelasio" w:cs="Gelasio" w:eastAsia="Gelasio" w:hAnsi="Gelasio"/>
          <w:b/>
          <w:bCs/>
          <w:color w:val="8C2F2F"/>
          <w:sz w:val="22"/>
          <w:szCs w:val="22"/>
        </w:rPr>
        <w:t xml:space="preserve">Capítulo 4</w:t>
      </w:r>
      <w:r>
        <w:rPr>
          <w:rFonts w:ascii="Gelasio" w:cs="Gelasio" w:eastAsia="Gelasio" w:hAnsi="Gelasio"/>
          <w:b/>
          <w:bCs/>
          <w:color w:val="3D5A6C"/>
          <w:sz w:val="32"/>
          <w:szCs w:val="32"/>
        </w:rPr>
        <w:br/>
        <w:t xml:space="preserve">Lenguaje clínico y densidad epistémica</w:t>
      </w:r>
    </w:p>
    <w:p>
      <w:pPr>
        <w:pStyle w:val="BodyJ"/>
        <w:keepNext w:val="false"/>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volumen, vasopresores y antibióticos, sin signos tomográficos de isquemia aguda; el salto cualitativo de gravedad modifica el riesgo de mantener una conducta expectante». Ambos dicen la verdad. Sólo una de las dos frases piensa.</w:t>
      </w:r>
    </w:p>
    <w:p>
      <w:pPr>
        <w:pStyle w:val="Heading3"/>
        <w:keepNext/>
        <w:keepLines/>
        <w:spacing w:after="120" w:before="280"/>
      </w:pPr>
      <w:r>
        <w:rPr>
          <w:rFonts w:ascii="Gelasio" w:cs="Gelasio" w:eastAsia="Gelasio" w:hAnsi="Gelasio"/>
          <w:b/>
          <w:bCs/>
          <w:color w:val="2B2B2B"/>
          <w:sz w:val="25"/>
          <w:szCs w:val="25"/>
        </w:rPr>
        <w:t xml:space="preserve">Nombrar es organizar</w:t>
      </w:r>
    </w:p>
    <w:p>
      <w:pPr>
        <w:pStyle w:val="BodyJ"/>
        <w:keepNext w:val="false"/>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keepNext w:val="false"/>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keepNext/>
        <w:keepLines/>
        <w:spacing w:after="120" w:before="280"/>
      </w:pPr>
      <w:r>
        <w:rPr>
          <w:rFonts w:ascii="Gelasio" w:cs="Gelasio" w:eastAsia="Gelasio" w:hAnsi="Gelasio"/>
          <w:b/>
          <w:bCs/>
          <w:color w:val="2B2B2B"/>
          <w:sz w:val="25"/>
          <w:szCs w:val="25"/>
        </w:rPr>
        <w:t xml:space="preserve">Compresión y pérdida</w:t>
      </w:r>
    </w:p>
    <w:p>
      <w:pPr>
        <w:pStyle w:val="BodyJ"/>
        <w:keepNext w:val="false"/>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keepNext w:val="false"/>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keepNext/>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keepNext w:val="false"/>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keepNext/>
        <w:keepLines/>
        <w:spacing w:after="120" w:before="280"/>
      </w:pPr>
      <w:r>
        <w:rPr>
          <w:rFonts w:ascii="Gelasio" w:cs="Gelasio" w:eastAsia="Gelasio" w:hAnsi="Gelasio"/>
          <w:b/>
          <w:bCs/>
          <w:color w:val="2B2B2B"/>
          <w:sz w:val="25"/>
          <w:szCs w:val="25"/>
        </w:rPr>
        <w:t xml:space="preserve">Modalidad epistémica</w:t>
      </w:r>
    </w:p>
    <w:p>
      <w:pPr>
        <w:pStyle w:val="BodyJ"/>
        <w:keepNext w:val="false"/>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keepNext/>
      </w:pPr>
      <w:r>
        <w:t xml:space="preserve">Puede distinguirse una escala práctica:</w:t>
      </w:r>
    </w:p>
    <w:p>
      <w:pPr>
        <w:pStyle w:val="BodyJ"/>
        <w:keepNext w:val="false"/>
        <w:numPr>
          <w:ilvl w:val="0"/>
          <w:numId w:val="5"/>
        </w:numPr>
      </w:pPr>
      <w:r>
        <w:rPr>
          <w:b/>
          <w:bCs/>
        </w:rPr>
        <w:t xml:space="preserve">Documentado o demostrado</w:t>
      </w:r>
      <w:r>
        <w:t xml:space="preserve">: existe evidencia directa suficiente bajo un método pertinente.</w:t>
      </w:r>
    </w:p>
    <w:p>
      <w:pPr>
        <w:pStyle w:val="BodyJ"/>
        <w:keepNext w:val="false"/>
        <w:numPr>
          <w:ilvl w:val="0"/>
          <w:numId w:val="5"/>
        </w:numPr>
      </w:pPr>
      <w:r>
        <w:rPr>
          <w:b/>
          <w:bCs/>
        </w:rPr>
        <w:t xml:space="preserve">Altamente probable</w:t>
      </w:r>
      <w:r>
        <w:t xml:space="preserve">: múltiples líneas convergentes, con alternativas importantes poco plausibles.</w:t>
      </w:r>
    </w:p>
    <w:p>
      <w:pPr>
        <w:pStyle w:val="BodyJ"/>
        <w:keepNext w:val="false"/>
        <w:numPr>
          <w:ilvl w:val="0"/>
          <w:numId w:val="5"/>
        </w:numPr>
      </w:pPr>
      <w:r>
        <w:rPr>
          <w:b/>
          <w:bCs/>
        </w:rPr>
        <w:t xml:space="preserve">Probable o compatible con</w:t>
      </w:r>
      <w:r>
        <w:t xml:space="preserve">: la explicación organiza bien los hechos, pero persisten rivales o faltan elementos.</w:t>
      </w:r>
    </w:p>
    <w:p>
      <w:pPr>
        <w:pStyle w:val="BodyJ"/>
        <w:keepNext w:val="false"/>
        <w:numPr>
          <w:ilvl w:val="0"/>
          <w:numId w:val="5"/>
        </w:numPr>
      </w:pPr>
      <w:r>
        <w:rPr>
          <w:b/>
          <w:bCs/>
        </w:rPr>
        <w:t xml:space="preserve">Posible</w:t>
      </w:r>
      <w:r>
        <w:t xml:space="preserve">: no contradice los datos y merece consideración, aunque el soporte es limitado.</w:t>
      </w:r>
    </w:p>
    <w:p>
      <w:pPr>
        <w:pStyle w:val="BodyJ"/>
        <w:keepNext w:val="false"/>
        <w:numPr>
          <w:ilvl w:val="0"/>
          <w:numId w:val="5"/>
        </w:numPr>
      </w:pPr>
      <w:r>
        <w:rPr>
          <w:b/>
          <w:bCs/>
        </w:rPr>
        <w:t xml:space="preserve">No demostrado</w:t>
      </w:r>
      <w:r>
        <w:t xml:space="preserve">: la hipótesis puede ser razonable, pero el caso no aporta evidencia suficiente para afirmarla.</w:t>
      </w:r>
    </w:p>
    <w:p>
      <w:pPr>
        <w:pStyle w:val="BodyJ"/>
        <w:keepNext w:val="false"/>
        <w:numPr>
          <w:ilvl w:val="0"/>
          <w:numId w:val="5"/>
        </w:numPr>
      </w:pPr>
      <w:r>
        <w:rPr>
          <w:b/>
          <w:bCs/>
        </w:rPr>
        <w:t xml:space="preserve">Sin evidencia actual de</w:t>
      </w:r>
      <w:r>
        <w:t xml:space="preserve">: el método empleado no mostró el fenómeno; la fuerza depende de su sensibilidad y oportunidad.</w:t>
      </w:r>
    </w:p>
    <w:p>
      <w:pPr>
        <w:pStyle w:val="BodyJ"/>
        <w:keepNext w:val="false"/>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keepNext/>
        <w:keepLines/>
      </w:pPr>
      <w:r>
        <w:t xml:space="preserve">Caja de herramientas. Dos filósofos para la frase clínica</w:t>
      </w:r>
    </w:p>
    <w:p>
      <w:pPr>
        <w:pStyle w:val="BodyJ"/>
        <w:keepNext w:val="false"/>
      </w:pPr>
      <w:r>
        <w:t xml:space="preserve">Dos aportes del siglo XX describen con precisión lo que aquí se pide. El primero es de J. L. Austin: hay enunciados que no describen el mundo sino que hacen cosas en él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—y con qué derecho—?</w:t>
      </w:r>
    </w:p>
    <w:p>
      <w:pPr>
        <w:pStyle w:val="BodyJ"/>
        <w:keepNext w:val="false"/>
      </w:pPr>
      <w:r>
        <w:t xml:space="preserve">El segundo es de Stephen Toulmin, que propuso la anatomía mínima de toda afirmación práctica: un dato, una conclusión, la garantía que autoriza pasar del uno a la otra y el respaldo de esa garantía. A eso agregó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Verbos que ocultan, frases que operan</w:t>
      </w:r>
    </w:p>
    <w:p>
      <w:pPr>
        <w:pStyle w:val="BodyJ"/>
        <w:keepNext w:val="false"/>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keepNext w:val="false"/>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BodyJ"/>
        <w:keepNext w:val="false"/>
      </w:pPr>
      <w:r>
        <w:t xml:space="preserve">Lo contrario del verbo que oculta es la frase que opera. 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keepNext w:val="false"/>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keepNext/>
        <w:keepLines/>
        <w:spacing w:after="120" w:before="280"/>
      </w:pPr>
      <w:r>
        <w:rPr>
          <w:rFonts w:ascii="Gelasio" w:cs="Gelasio" w:eastAsia="Gelasio" w:hAnsi="Gelasio"/>
          <w:b/>
          <w:bCs/>
          <w:color w:val="2B2B2B"/>
          <w:sz w:val="25"/>
          <w:szCs w:val="25"/>
        </w:rPr>
        <w:t xml:space="preserve">La sintaxis como registro de auditoría</w:t>
      </w:r>
    </w:p>
    <w:p>
      <w:pPr>
        <w:pStyle w:val="BodyJ"/>
        <w:keepNext w:val="false"/>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keepNext w:val="false"/>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keepNext w:val="false"/>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keepNext/>
        <w:spacing w:after="80" w:before="160"/>
      </w:pPr>
      <w:r>
        <w:rPr>
          <w:b/>
          <w:bCs/>
        </w:rPr>
        <w:t xml:space="preserve">Tres preguntas para la próxima visita.</w:t>
      </w:r>
    </w:p>
    <w:p>
      <w:pPr>
        <w:pStyle w:val="BodyJ"/>
        <w:keepNext/>
        <w:numPr>
          <w:ilvl w:val="0"/>
          <w:numId w:val="7"/>
        </w:numPr>
      </w:pPr>
      <w:r>
        <w:t xml:space="preserve">En mi última evolución, ¿qué verbo causal («secundario a», «por», «complicado por») no podría defender si me lo preguntaran?</w:t>
      </w:r>
    </w:p>
    <w:p>
      <w:pPr>
        <w:pStyle w:val="BodyJ"/>
        <w:keepNext/>
        <w:numPr>
          <w:ilvl w:val="0"/>
          <w:numId w:val="7"/>
        </w:numPr>
      </w:pPr>
      <w:r>
        <w:t xml:space="preserve">¿Escribí «se descarta» donde sólo tenía «sin evidencia actual de»?</w:t>
      </w:r>
    </w:p>
    <w:p>
      <w:pPr>
        <w:pStyle w:val="BodyJ"/>
        <w:keepNext w:val="false"/>
        <w:numPr>
          <w:ilvl w:val="0"/>
          <w:numId w:val="7"/>
        </w:numPr>
      </w:pPr>
      <w:r>
        <w:t xml:space="preserve">Si otro médico leyera sólo mi frase final, ¿sabría qué vigilar y qué me haría cambiar?</w:t>
      </w:r>
    </w:p>
    <w:p>
      <w:pPr>
        <w:pStyle w:val="Heading2"/>
        <w:keepNext/>
        <w:keepLines/>
        <w:pageBreakBefore/>
        <w:spacing w:after="300" w:before="600"/>
      </w:pPr>
      <w:r>
        <w:rPr>
          <w:rFonts w:ascii="Gelasio" w:cs="Gelasio" w:eastAsia="Gelasio" w:hAnsi="Gelasio"/>
          <w:b/>
          <w:bCs/>
          <w:color w:val="8C2F2F"/>
          <w:sz w:val="22"/>
          <w:szCs w:val="22"/>
        </w:rPr>
        <w:t xml:space="preserve">Interludio I</w:t>
      </w:r>
      <w:r>
        <w:rPr>
          <w:rFonts w:ascii="Gelasio" w:cs="Gelasio" w:eastAsia="Gelasio" w:hAnsi="Gelasio"/>
          <w:b/>
          <w:bCs/>
          <w:color w:val="3D5A6C"/>
          <w:sz w:val="32"/>
          <w:szCs w:val="32"/>
        </w:rPr>
        <w:br/>
        <w:t xml:space="preserve">La ficha de Carmen</w:t>
      </w:r>
    </w:p>
    <w:p>
      <w:pPr>
        <w:pStyle w:val="BodyJ"/>
        <w:keepNext w:val="false"/>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keepNext w:val="false"/>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(presión arterial media 55 mmHg, frecuencia cardiaca 112 lpm, llene capilar de 3 a 4 segundos documentado por enfermería en urgencias, lactato arterial de 3,9 mmol/L a las 04:15 h); recibió 2.000 ml de Ringer lactato en tres horas y, en paralelo, noradrenalina iniciada por vía periférica hasta 0,2 mcg/kg/min, que se mantuvo 36 horas, además de ceftriaxona y metronidazol desde el ingreso. Lactato de control, 2,3 mmol/L. Hemocultivos periféricos 2/2 positivos a las 12 h; luego,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keepNext w:val="false"/>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keepNext w:val="false"/>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keepNext w:val="false"/>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keepNext/>
        <w:pageBreakBefore/>
      </w:pPr>
      <w:r>
        <w:t xml:space="preserve">PARTE II</w:t>
      </w:r>
    </w:p>
    <w:p>
      <w:pPr>
        <w:pStyle w:val="PartTitle"/>
        <w:keepNext/>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keepNext/>
        <w:keepLines/>
        <w:pageBreakBefore/>
        <w:spacing w:after="300" w:before="600"/>
      </w:pPr>
      <w:r>
        <w:rPr>
          <w:rFonts w:ascii="Gelasio" w:cs="Gelasio" w:eastAsia="Gelasio" w:hAnsi="Gelasio"/>
          <w:b/>
          <w:bCs/>
          <w:color w:val="8C2F2F"/>
          <w:sz w:val="22"/>
          <w:szCs w:val="22"/>
        </w:rPr>
        <w:t xml:space="preserve">Capítulo 5</w:t>
      </w:r>
      <w:r>
        <w:rPr>
          <w:rFonts w:ascii="Gelasio" w:cs="Gelasio" w:eastAsia="Gelasio" w:hAnsi="Gelasio"/>
          <w:b/>
          <w:bCs/>
          <w:color w:val="3D5A6C"/>
          <w:sz w:val="32"/>
          <w:szCs w:val="32"/>
        </w:rPr>
        <w:br/>
        <w:t xml:space="preserve">Metacognición: monitorear y regular el propio juicio</w:t>
      </w:r>
    </w:p>
    <w:p>
      <w:pPr>
        <w:pStyle w:val="BodyJ"/>
        <w:keepNext w:val="false"/>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keepNext/>
        <w:keepLines/>
        <w:spacing w:after="120" w:before="280"/>
      </w:pPr>
      <w:r>
        <w:rPr>
          <w:rFonts w:ascii="Gelasio" w:cs="Gelasio" w:eastAsia="Gelasio" w:hAnsi="Gelasio"/>
          <w:b/>
          <w:bCs/>
          <w:color w:val="2B2B2B"/>
          <w:sz w:val="25"/>
          <w:szCs w:val="25"/>
        </w:rPr>
        <w:t xml:space="preserve">Pensar sobre el pensamiento</w:t>
      </w:r>
    </w:p>
    <w:p>
      <w:pPr>
        <w:pStyle w:val="BodyJ"/>
        <w:keepNext w:val="false"/>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keepNext w:val="false"/>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keepNext/>
        <w:keepLines/>
        <w:spacing w:after="120" w:before="280"/>
      </w:pPr>
      <w:r>
        <w:rPr>
          <w:rFonts w:ascii="Gelasio" w:cs="Gelasio" w:eastAsia="Gelasio" w:hAnsi="Gelasio"/>
          <w:b/>
          <w:bCs/>
          <w:color w:val="2B2B2B"/>
          <w:sz w:val="25"/>
          <w:szCs w:val="25"/>
        </w:rPr>
        <w:t xml:space="preserve">Confianza y calibración</w:t>
      </w:r>
    </w:p>
    <w:p>
      <w:pPr>
        <w:pStyle w:val="BodyJ"/>
        <w:keepNext w:val="false"/>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keepNext w:val="false"/>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Las National Academies destacaron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(esquema, no datos de un estudio):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keepNext w:val="false"/>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keepNext/>
        <w:keepLines/>
      </w:pPr>
      <w:r>
        <w:t xml:space="preserve">Caja de herramientas. Medir la metacognición: del porcentaje al meta-d′</w:t>
      </w:r>
    </w:p>
    <w:p>
      <w:pPr>
        <w:pStyle w:val="BodyJ"/>
        <w:keepNext w:val="false"/>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 calibración: no calcula un meta-d′ formal, pero construye la serie sin la cual ninguna medición —ni siquiera la intuitiva— es posible.</w:t>
      </w:r>
    </w:p>
    <w:p>
      <w:pPr>
        <w:pStyle w:val="BodyJ"/>
        <w:keepNext w:val="false"/>
      </w:pPr>
      <w:r>
        <w:t xml:space="preserve">El portafolio es una libreta privada. Para cada diagnóstico de trabajo relevante se anotan la hipótesis principal, la confianza en un porcentaje aproximado (60, 70, 80, 90, 95) y la alternativa que más preocupa; cuando el caso se resuelve —o al revisar la evolución a los días—, se registra el desenlace. Al cabo de unas semanas se agrupan los diagnósticos por la confianza declarada: de los anotados con 90%, ¿qué proporción se confirmó? El objetivo no es castigarse: es descubrir en qué franja de confianza las propias palabras («probable», «seguro») dejan de corresponder a la realidad.</w:t>
      </w:r>
    </w:p>
    <w:p>
      <w:pPr>
        <w:pStyle w:val="Heading3"/>
        <w:keepNext/>
        <w:keepLines/>
        <w:spacing w:after="120" w:before="280"/>
      </w:pPr>
      <w:r>
        <w:rPr>
          <w:rFonts w:ascii="Gelasio" w:cs="Gelasio" w:eastAsia="Gelasio" w:hAnsi="Gelasio"/>
          <w:b/>
          <w:bCs/>
          <w:color w:val="2B2B2B"/>
          <w:sz w:val="25"/>
          <w:szCs w:val="25"/>
        </w:rPr>
        <w:t xml:space="preserve">La sensación de corrección</w:t>
      </w:r>
    </w:p>
    <w:p>
      <w:pPr>
        <w:pStyle w:val="BodyJ"/>
        <w:keepNext w:val="false"/>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keepNext w:val="false"/>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keepNext/>
        <w:keepLines/>
        <w:spacing w:after="120" w:before="280"/>
      </w:pPr>
      <w:r>
        <w:rPr>
          <w:rFonts w:ascii="Gelasio" w:cs="Gelasio" w:eastAsia="Gelasio" w:hAnsi="Gelasio"/>
          <w:b/>
          <w:bCs/>
          <w:color w:val="2B2B2B"/>
          <w:sz w:val="25"/>
          <w:szCs w:val="25"/>
        </w:rPr>
        <w:t xml:space="preserve">Señales de conflicto</w:t>
      </w:r>
    </w:p>
    <w:p>
      <w:pPr>
        <w:pStyle w:val="BodyJ"/>
        <w:keepNext w:val="false"/>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keepNext w:val="false"/>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keepNext/>
        <w:keepLines/>
        <w:spacing w:after="120" w:before="280"/>
      </w:pPr>
      <w:r>
        <w:rPr>
          <w:rFonts w:ascii="Gelasio" w:cs="Gelasio" w:eastAsia="Gelasio" w:hAnsi="Gelasio"/>
          <w:b/>
          <w:bCs/>
          <w:color w:val="2B2B2B"/>
          <w:sz w:val="25"/>
          <w:szCs w:val="25"/>
        </w:rPr>
        <w:t xml:space="preserve">Control metacognitivo</w:t>
      </w:r>
    </w:p>
    <w:p>
      <w:pPr>
        <w:pStyle w:val="BodyJ"/>
        <w:keepNext w:val="false"/>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keepNext w:val="false"/>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keepNext w:val="false"/>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14 la despliega a escala de equipo.</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keepNext/>
        <w:spacing w:after="80" w:before="160"/>
      </w:pPr>
      <w:r>
        <w:rPr>
          <w:b/>
          <w:bCs/>
        </w:rPr>
        <w:t xml:space="preserve">Tres preguntas para la próxima visita.</w:t>
      </w:r>
    </w:p>
    <w:p>
      <w:pPr>
        <w:pStyle w:val="BodyJ"/>
        <w:keepNext/>
        <w:numPr>
          <w:ilvl w:val="0"/>
          <w:numId w:val="8"/>
        </w:numPr>
      </w:pPr>
      <w:r>
        <w:t xml:space="preserve">En mi diagnóstico más firme de hoy, ¿mi confianza viene de la evidencia o de la fluidez con que reconocí el patrón?</w:t>
      </w:r>
    </w:p>
    <w:p>
      <w:pPr>
        <w:pStyle w:val="BodyJ"/>
        <w:keepNext/>
        <w:numPr>
          <w:ilvl w:val="0"/>
          <w:numId w:val="8"/>
        </w:numPr>
      </w:pPr>
      <w:r>
        <w:t xml:space="preserve">¿Qué señal afectiva (prisa, irritación, alivio) está influyendo en mi evaluación de este caso?</w:t>
      </w:r>
    </w:p>
    <w:p>
      <w:pPr>
        <w:pStyle w:val="BodyJ"/>
        <w:keepNext w:val="false"/>
        <w:numPr>
          <w:ilvl w:val="0"/>
          <w:numId w:val="8"/>
        </w:numPr>
      </w:pPr>
      <w:r>
        <w:t xml:space="preserve">¿Cuál fue mi última predicción concreta —un cultivo, una imagen, una evolución— y la contrasté con el resultado cuando llegó, o sólo recuerdo las que acerté?</w:t>
      </w:r>
    </w:p>
    <w:p>
      <w:pPr>
        <w:pStyle w:val="Heading2"/>
        <w:keepNext/>
        <w:keepLines/>
        <w:pageBreakBefore/>
        <w:spacing w:after="300" w:before="600"/>
      </w:pPr>
      <w:r>
        <w:rPr>
          <w:rFonts w:ascii="Gelasio" w:cs="Gelasio" w:eastAsia="Gelasio" w:hAnsi="Gelasio"/>
          <w:b/>
          <w:bCs/>
          <w:color w:val="8C2F2F"/>
          <w:sz w:val="22"/>
          <w:szCs w:val="22"/>
        </w:rPr>
        <w:t xml:space="preserve">Capítulo 6</w:t>
      </w:r>
      <w:r>
        <w:rPr>
          <w:rFonts w:ascii="Gelasio" w:cs="Gelasio" w:eastAsia="Gelasio" w:hAnsi="Gelasio"/>
          <w:b/>
          <w:bCs/>
          <w:color w:val="3D5A6C"/>
          <w:sz w:val="32"/>
          <w:szCs w:val="32"/>
        </w:rPr>
        <w:br/>
        <w:t xml:space="preserve">Pericia, intuición y conocimiento tácito</w:t>
      </w:r>
    </w:p>
    <w:p>
      <w:pPr>
        <w:pStyle w:val="BodyJ"/>
        <w:keepNext w:val="false"/>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keepNext/>
        <w:keepLines/>
        <w:spacing w:after="120" w:before="280"/>
      </w:pPr>
      <w:r>
        <w:rPr>
          <w:rFonts w:ascii="Gelasio" w:cs="Gelasio" w:eastAsia="Gelasio" w:hAnsi="Gelasio"/>
          <w:b/>
          <w:bCs/>
          <w:color w:val="2B2B2B"/>
          <w:sz w:val="25"/>
          <w:szCs w:val="25"/>
        </w:rPr>
        <w:t xml:space="preserve">La velocidad del experto</w:t>
      </w:r>
    </w:p>
    <w:p>
      <w:pPr>
        <w:pStyle w:val="BodyJ"/>
        <w:keepNext w:val="false"/>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keepNext w:val="false"/>
      </w:pPr>
      <w:r>
        <w:t xml:space="preserve">Schmidt y Rikers describieron un desarrollo desde conocimiento biomédico elaborado hacia encapsulación (knowledge encapsulation)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keepNext w:val="false"/>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keepNext/>
        <w:keepLines/>
        <w:spacing w:after="120" w:before="280"/>
      </w:pPr>
      <w:r>
        <w:rPr>
          <w:rFonts w:ascii="Gelasio" w:cs="Gelasio" w:eastAsia="Gelasio" w:hAnsi="Gelasio"/>
          <w:b/>
          <w:bCs/>
          <w:color w:val="2B2B2B"/>
          <w:sz w:val="25"/>
          <w:szCs w:val="25"/>
        </w:rPr>
        <w:t xml:space="preserve">Conocimiento tácito</w:t>
      </w:r>
    </w:p>
    <w:p>
      <w:pPr>
        <w:pStyle w:val="BodyJ"/>
        <w:keepNext w:val="false"/>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keepNext w:val="false"/>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keepNext w:val="false"/>
      </w:pPr>
      <w:r>
        <w:t xml:space="preserve">Schön agregó el movimiento que a Polanyi le faltaba nombrar: el profesional competente no sólo actúa desde lo tácito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—y quien la despliega sin poder desempaquetarla está pidiendo fe, no ofreciendo juicio—.</w:t>
      </w:r>
    </w:p>
    <w:p>
      <w:pPr>
        <w:pStyle w:val="Heading3"/>
        <w:keepNext/>
        <w:keepLines/>
        <w:spacing w:after="120" w:before="280"/>
      </w:pPr>
      <w:r>
        <w:rPr>
          <w:rFonts w:ascii="Gelasio" w:cs="Gelasio" w:eastAsia="Gelasio" w:hAnsi="Gelasio"/>
          <w:b/>
          <w:bCs/>
          <w:color w:val="2B2B2B"/>
          <w:sz w:val="25"/>
          <w:szCs w:val="25"/>
        </w:rPr>
        <w:t xml:space="preserve">Dos procesos, no dos médicos: la phronesis</w:t>
      </w:r>
    </w:p>
    <w:p>
      <w:pPr>
        <w:pStyle w:val="BodyJ"/>
        <w:keepNext w:val="false"/>
      </w:pPr>
      <w:r>
        <w:t xml:space="preserve">Las teorías de doble proceso (dual-process theories)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keepNext w:val="false"/>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BodyJ"/>
        <w:keepNext w:val="false"/>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keepNext w:val="false"/>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keepNext/>
        <w:keepLines/>
        <w:spacing w:after="120" w:before="280"/>
      </w:pPr>
      <w:r>
        <w:rPr>
          <w:rFonts w:ascii="Gelasio" w:cs="Gelasio" w:eastAsia="Gelasio" w:hAnsi="Gelasio"/>
          <w:b/>
          <w:bCs/>
          <w:color w:val="2B2B2B"/>
          <w:sz w:val="25"/>
          <w:szCs w:val="25"/>
        </w:rPr>
        <w:t xml:space="preserve">El peligro de la fluidez</w:t>
      </w:r>
    </w:p>
    <w:p>
      <w:pPr>
        <w:pStyle w:val="BodyJ"/>
        <w:keepNext w:val="false"/>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keepNext w:val="false"/>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(high-validity environment)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—la sobreconfianza del capítulo 5, fabricada por el entorno—. La pregunta operativa frente a la propia seguridad no es «¿cuánta experiencia tengo?», sino «¿en qué entorno se formó esta impresión, y quién me avisó cuando fallé?».</w:t>
      </w:r>
    </w:p>
    <w:p>
      <w:pPr>
        <w:pStyle w:val="BodyJ"/>
        <w:keepNext w:val="false"/>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Heading3"/>
        <w:keepNext/>
        <w:keepLines/>
        <w:spacing w:after="120" w:before="280"/>
      </w:pPr>
      <w:r>
        <w:rPr>
          <w:rFonts w:ascii="Gelasio" w:cs="Gelasio" w:eastAsia="Gelasio" w:hAnsi="Gelasio"/>
          <w:b/>
          <w:bCs/>
          <w:color w:val="2B2B2B"/>
          <w:sz w:val="25"/>
          <w:szCs w:val="25"/>
        </w:rPr>
        <w:t xml:space="preserve">El saber hacer y el quiebre</w:t>
      </w:r>
    </w:p>
    <w:p>
      <w:pPr>
        <w:pStyle w:val="BodyJ"/>
        <w:keepNext w:val="false"/>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(breakdown),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15 defenderá no es la del que duda de todo, sino la del que sabe cuándo su saber hacer dejó de bastar.</w:t>
      </w:r>
    </w:p>
    <w:p>
      <w:pPr>
        <w:pStyle w:val="BodyJ"/>
        <w:keepNext w:val="false"/>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keepNext w:val="false"/>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keepNext/>
        <w:spacing w:after="80" w:before="160"/>
      </w:pPr>
      <w:r>
        <w:rPr>
          <w:b/>
          <w:bCs/>
        </w:rPr>
        <w:t xml:space="preserve">Tres preguntas para la próxima visita.</w:t>
      </w:r>
    </w:p>
    <w:p>
      <w:pPr>
        <w:pStyle w:val="BodyJ"/>
        <w:keepNext/>
        <w:numPr>
          <w:ilvl w:val="0"/>
          <w:numId w:val="9"/>
        </w:numPr>
      </w:pPr>
      <w:r>
        <w:t xml:space="preserve">¿En qué dominio tengo suficiente experiencia con feedback real como para confiar en mi primera impresión?</w:t>
      </w:r>
    </w:p>
    <w:p>
      <w:pPr>
        <w:pStyle w:val="BodyJ"/>
        <w:keepNext/>
        <w:numPr>
          <w:ilvl w:val="0"/>
          <w:numId w:val="9"/>
        </w:numPr>
      </w:pPr>
      <w:r>
        <w:t xml:space="preserve">La última vez que «vi» un diagnóstico al instante, ¿qué características lo activaron? ¿Puedo nombrarlas?</w:t>
      </w:r>
    </w:p>
    <w:p>
      <w:pPr>
        <w:pStyle w:val="BodyJ"/>
        <w:keepNext w:val="false"/>
        <w:numPr>
          <w:ilvl w:val="0"/>
          <w:numId w:val="9"/>
        </w:numPr>
      </w:pPr>
      <w:r>
        <w:t xml:space="preserve">¿Qué caso reciente forcé a encajar en un patrón conocido cuando algo no calzaba?</w:t>
      </w:r>
    </w:p>
    <w:p>
      <w:pPr>
        <w:pStyle w:val="Heading2"/>
        <w:keepNext/>
        <w:keepLines/>
        <w:pageBreakBefore/>
        <w:spacing w:after="300" w:before="600"/>
      </w:pPr>
      <w:r>
        <w:rPr>
          <w:rFonts w:ascii="Gelasio" w:cs="Gelasio" w:eastAsia="Gelasio" w:hAnsi="Gelasio"/>
          <w:b/>
          <w:bCs/>
          <w:color w:val="8C2F2F"/>
          <w:sz w:val="22"/>
          <w:szCs w:val="22"/>
        </w:rPr>
        <w:t xml:space="preserve">Capítulo 7</w:t>
      </w:r>
      <w:r>
        <w:rPr>
          <w:rFonts w:ascii="Gelasio" w:cs="Gelasio" w:eastAsia="Gelasio" w:hAnsi="Gelasio"/>
          <w:b/>
          <w:bCs/>
          <w:color w:val="3D5A6C"/>
          <w:sz w:val="32"/>
          <w:szCs w:val="32"/>
        </w:rPr>
        <w:br/>
        <w:t xml:space="preserve">Error, sesgo y ecología del diagnóstico</w:t>
      </w:r>
    </w:p>
    <w:p>
      <w:pPr>
        <w:pStyle w:val="BodyJ"/>
        <w:keepNext w:val="false"/>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keepNext/>
        <w:keepLines/>
        <w:spacing w:after="120" w:before="280"/>
      </w:pPr>
      <w:r>
        <w:rPr>
          <w:rFonts w:ascii="Gelasio" w:cs="Gelasio" w:eastAsia="Gelasio" w:hAnsi="Gelasio"/>
          <w:b/>
          <w:bCs/>
          <w:color w:val="2B2B2B"/>
          <w:sz w:val="25"/>
          <w:szCs w:val="25"/>
        </w:rPr>
        <w:t xml:space="preserve">Del nombre del sesgo a la trayectoria del error</w:t>
      </w:r>
    </w:p>
    <w:p>
      <w:pPr>
        <w:pStyle w:val="BodyJ"/>
        <w:keepNext w:val="false"/>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keepNext w:val="false"/>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 Tampoco es un juicio estable: cuando 37 médicos leyeron los mismos casos con desenlaces distintos, encontraron en promedio 3,45 sesgos si el desenlace sugería un error y 1,75 si sugería un acierto, y casi no coincidieron en cuáles (kappa entre 0,000 y 0,044) (Zwaan et al., 2017). El sesgo que se ve depende de saber cómo terminó el caso. «Cuadro habitual, manejo habitual», la frase con que ingresó Carmen, es anclaje de manual, y nombrarlo así no explica lo que importa: por qué una frase que había sido verdadera tres veces pudo viajar intacta hasta la madrugada en que dejó de serlo.</w:t>
      </w:r>
    </w:p>
    <w:p>
      <w:pPr>
        <w:pStyle w:val="BodyJ"/>
        <w:keepNext w:val="false"/>
      </w:pPr>
      <w:r>
        <w:t xml:space="preserve">Los estudios de errores diagnósticos muestran combinaciones de fallas en historia, examen, interpretación, seguimiento y comunicación (Graber et al., 2005; Schiff et al., 2009). Su magnitud ya no es una conjetura de pasillo. En 29 hospitales académicos de Estados Unidos, la revisión de las fichas de adultos que murieron o fueron trasladados a cuidados intensivos encontró un error diagnóstico en el 23% de ellos, y en el 6,6% de los fallecidos los revisores juzgaron que el error contribuyó a la muerte; las fallas que más pesaban eran las de la evaluación del paciente y las de la solicitud e interpretación de exámenes (Auerbach et al., 2024). Una estimación nacional, construida con modelos y no con un recuento, calculó en ese país unas 795.000 personas muertas o con discapacidad permanente cada año por errores diagnósticos en enfermedades graves, con un rango plausible de 598.000 a 1.023.000 (Newman-Toker et al., 2024). Las National Academies definieron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keepNext w:val="false"/>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18 propone para la morbimortalidad.</w:t>
            </w:r>
          </w:p>
        </w:tc>
      </w:tr>
    </w:tbl>
    <w:p>
      <w:pPr>
        <w:spacing w:after="60"/>
      </w:pPr>
    </w:p>
    <w:p>
      <w:pPr>
        <w:pStyle w:val="BodyJ"/>
        <w:keepNext w:val="false"/>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keepNext/>
        <w:keepLines/>
        <w:spacing w:after="120" w:before="280"/>
      </w:pPr>
      <w:r>
        <w:rPr>
          <w:rFonts w:ascii="Gelasio" w:cs="Gelasio" w:eastAsia="Gelasio" w:hAnsi="Gelasio"/>
          <w:b/>
          <w:bCs/>
          <w:color w:val="2B2B2B"/>
          <w:sz w:val="25"/>
          <w:szCs w:val="25"/>
        </w:rPr>
        <w:t xml:space="preserve">Sesgo, conocimiento y confianza</w:t>
      </w:r>
    </w:p>
    <w:p>
      <w:pPr>
        <w:pStyle w:val="BodyJ"/>
        <w:keepNext w:val="false"/>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keepNext w:val="false"/>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BodyJ"/>
        <w:keepNext w:val="false"/>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keepNext w:val="false"/>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keepNext/>
        <w:keepLines/>
        <w:spacing w:after="120" w:before="280"/>
      </w:pPr>
      <w:r>
        <w:rPr>
          <w:rFonts w:ascii="Gelasio" w:cs="Gelasio" w:eastAsia="Gelasio" w:hAnsi="Gelasio"/>
          <w:b/>
          <w:bCs/>
          <w:color w:val="2B2B2B"/>
          <w:sz w:val="25"/>
          <w:szCs w:val="25"/>
        </w:rPr>
        <w:t xml:space="preserve">Debiasing con prudencia</w:t>
      </w:r>
    </w:p>
    <w:p>
      <w:pPr>
        <w:pStyle w:val="BodyJ"/>
        <w:keepNext w:val="false"/>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El metaanálisis más reciente de herramientas de razonamiento pensadas para el lugar de trabajo —listas, apoyo informático, reflexión guiada— encontró una mejora pequeña de la exactitud diagnóstica (g = 0,20; IC 95%, 0,10 a 0,29), casi siempre en casos escritos o simulados y no con pacientes reales (Staal et al., 2022). Una lista aplicada a todos los casos puede generar fatiga y ruido. La intervención más prometedora suele ser selectiva: identificar situaciones de alto riesgo cognitivo y activar una respuesta específica.</w:t>
      </w:r>
    </w:p>
    <w:p>
      <w:pPr>
        <w:pStyle w:val="BodyJ"/>
        <w:keepNext/>
      </w:pPr>
      <w:r>
        <w:t xml:space="preserve">En lugar de preguntar siempre «¿qué sesgo tengo?», puede ser más útil preguntar:</w:t>
      </w:r>
    </w:p>
    <w:p>
      <w:pPr>
        <w:pStyle w:val="BodyJ"/>
        <w:keepNext/>
        <w:numPr>
          <w:ilvl w:val="0"/>
          <w:numId w:val="5"/>
        </w:numPr>
      </w:pPr>
      <w:r>
        <w:t xml:space="preserve">¿qué dato sostiene desproporcionadamente mi conclusión?;</w:t>
      </w:r>
    </w:p>
    <w:p>
      <w:pPr>
        <w:pStyle w:val="BodyJ"/>
        <w:keepNext/>
        <w:numPr>
          <w:ilvl w:val="0"/>
          <w:numId w:val="5"/>
        </w:numPr>
      </w:pPr>
      <w:r>
        <w:t xml:space="preserve">¿qué hallazgo estoy reinterpretando para que encaje?;</w:t>
      </w:r>
    </w:p>
    <w:p>
      <w:pPr>
        <w:pStyle w:val="BodyJ"/>
        <w:keepNext/>
        <w:numPr>
          <w:ilvl w:val="0"/>
          <w:numId w:val="5"/>
        </w:numPr>
      </w:pPr>
      <w:r>
        <w:t xml:space="preserve">¿qué alternativa cambiaría la conducta?;</w:t>
      </w:r>
    </w:p>
    <w:p>
      <w:pPr>
        <w:pStyle w:val="BodyJ"/>
        <w:keepNext/>
        <w:numPr>
          <w:ilvl w:val="0"/>
          <w:numId w:val="5"/>
        </w:numPr>
      </w:pPr>
      <w:r>
        <w:t xml:space="preserve">¿qué elemento del sistema impide recibir feedback?;</w:t>
      </w:r>
    </w:p>
    <w:p>
      <w:pPr>
        <w:pStyle w:val="BodyJ"/>
        <w:keepNext w:val="false"/>
        <w:numPr>
          <w:ilvl w:val="0"/>
          <w:numId w:val="5"/>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keepNext w:val="false"/>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keepNext/>
        <w:spacing w:after="80" w:before="160"/>
      </w:pPr>
      <w:r>
        <w:rPr>
          <w:b/>
          <w:bCs/>
        </w:rPr>
        <w:t xml:space="preserve">Tres preguntas para la próxima visita.</w:t>
      </w:r>
    </w:p>
    <w:p>
      <w:pPr>
        <w:pStyle w:val="BodyJ"/>
        <w:keepNext/>
        <w:numPr>
          <w:ilvl w:val="0"/>
          <w:numId w:val="10"/>
        </w:numPr>
      </w:pPr>
      <w:r>
        <w:t xml:space="preserve">¿Qué frase heredada estoy tratando como hecho en mi paciente más complejo?</w:t>
      </w:r>
    </w:p>
    <w:p>
      <w:pPr>
        <w:pStyle w:val="BodyJ"/>
        <w:keepNext/>
        <w:numPr>
          <w:ilvl w:val="0"/>
          <w:numId w:val="10"/>
        </w:numPr>
      </w:pPr>
      <w:r>
        <w:t xml:space="preserve">¿Qué dato «confirmatorio» de hoy confirmaría también la hipótesis rival?</w:t>
      </w:r>
    </w:p>
    <w:p>
      <w:pPr>
        <w:pStyle w:val="BodyJ"/>
        <w:keepNext w:val="false"/>
        <w:numPr>
          <w:ilvl w:val="0"/>
          <w:numId w:val="10"/>
        </w:numPr>
      </w:pPr>
      <w:r>
        <w:t xml:space="preserve">¿Qué evolución atípica estoy reinterpretando para no reabrir el caso?</w:t>
      </w:r>
    </w:p>
    <w:p>
      <w:pPr>
        <w:pStyle w:val="Heading2"/>
        <w:keepNext/>
        <w:keepLines/>
        <w:pageBreakBefore/>
        <w:spacing w:after="300" w:before="600"/>
      </w:pPr>
      <w:r>
        <w:rPr>
          <w:rFonts w:ascii="Gelasio" w:cs="Gelasio" w:eastAsia="Gelasio" w:hAnsi="Gelasio"/>
          <w:b/>
          <w:bCs/>
          <w:color w:val="8C2F2F"/>
          <w:sz w:val="22"/>
          <w:szCs w:val="22"/>
        </w:rPr>
        <w:t xml:space="preserve">Capítulo 8</w:t>
      </w:r>
      <w:r>
        <w:rPr>
          <w:rFonts w:ascii="Gelasio" w:cs="Gelasio" w:eastAsia="Gelasio" w:hAnsi="Gelasio"/>
          <w:b/>
          <w:bCs/>
          <w:color w:val="3D5A6C"/>
          <w:sz w:val="32"/>
          <w:szCs w:val="32"/>
        </w:rPr>
        <w:br/>
        <w:t xml:space="preserve">Desacelerar: cuándo, en qué estado y con qué mente</w:t>
      </w:r>
    </w:p>
    <w:p>
      <w:pPr>
        <w:pStyle w:val="BodyJ"/>
        <w:keepNext w:val="false"/>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el punto de este capítulo.</w:t>
      </w:r>
    </w:p>
    <w:p>
      <w:pPr>
        <w:pStyle w:val="Heading3"/>
        <w:keepNext/>
        <w:keepLines/>
        <w:spacing w:after="120" w:before="280"/>
      </w:pPr>
      <w:r>
        <w:rPr>
          <w:rFonts w:ascii="Gelasio" w:cs="Gelasio" w:eastAsia="Gelasio" w:hAnsi="Gelasio"/>
          <w:b/>
          <w:bCs/>
          <w:color w:val="2B2B2B"/>
          <w:sz w:val="25"/>
          <w:szCs w:val="25"/>
        </w:rPr>
        <w:t xml:space="preserve">Reflexionar no es rumiar: cuándo desacelerar</w:t>
      </w:r>
    </w:p>
    <w:p>
      <w:pPr>
        <w:pStyle w:val="BodyJ"/>
        <w:keepNext w:val="false"/>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keepNext w:val="false"/>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BodyJ"/>
        <w:keepNext w:val="false"/>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keepNext w:val="false"/>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keepNext/>
        <w:keepLines/>
        <w:spacing w:after="120" w:before="280"/>
      </w:pPr>
      <w:r>
        <w:rPr>
          <w:rFonts w:ascii="Gelasio" w:cs="Gelasio" w:eastAsia="Gelasio" w:hAnsi="Gelasio"/>
          <w:b/>
          <w:bCs/>
          <w:color w:val="2B2B2B"/>
          <w:sz w:val="25"/>
          <w:szCs w:val="25"/>
        </w:rPr>
        <w:t xml:space="preserve">El estado del que piensa: esfuerzo, sueño y ánimo</w:t>
      </w:r>
    </w:p>
    <w:p>
      <w:pPr>
        <w:pStyle w:val="BodyJ"/>
        <w:keepNext w:val="false"/>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keepNext w:val="false"/>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horas, los turnos largos produjeron un 36% más de errores graves. Los errores diagnósticos graves se multiplicaron por más de cinco (Landrigan et al., 2004). El dato es de internos y de cuidados intensivos; extenderlo a cualquier guardia es una inferencia, no un hecho. Y la relación no es lineal: cuando el mismo grupo repitió la prueba en seis unidades de cuidados intensivos pediátricas, los residentes sin turnos de 24 horas cometieron más errores graves, no menos (97,1 frente a 79,0 por 1.000 días-paciente), en un esquema en que cada uno atendía más pacientes; los autores proponen esa carga como explicación, en un análisis que ellos mismos llaman exploratorio (Landrigan et al., 2020). Las horas pesan; la carga y la entrega de turno, también.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debe figurar entre los hechos.</w:t>
      </w:r>
    </w:p>
    <w:p>
      <w:pPr>
        <w:pStyle w:val="Heading3"/>
        <w:keepNext/>
        <w:keepLines/>
        <w:spacing w:after="120" w:before="280"/>
      </w:pPr>
      <w:r>
        <w:rPr>
          <w:rFonts w:ascii="Gelasio" w:cs="Gelasio" w:eastAsia="Gelasio" w:hAnsi="Gelasio"/>
          <w:b/>
          <w:bCs/>
          <w:color w:val="2B2B2B"/>
          <w:sz w:val="25"/>
          <w:szCs w:val="25"/>
        </w:rPr>
        <w:t xml:space="preserve">Qué hacer con el estado del que piensa</w:t>
      </w:r>
    </w:p>
    <w:p>
      <w:pPr>
        <w:pStyle w:val="BodyJ"/>
        <w:keepNext w:val="false"/>
      </w:pPr>
      <w:r>
        <w:t xml:space="preserve">¿Qué hacer con esto, si no se puede decretar el descanso ni el buen ánimo? Tres cosas, todas coherentes con el resto del libro.</w:t>
      </w:r>
    </w:p>
    <w:p>
      <w:pPr>
        <w:pStyle w:val="BodyJ"/>
        <w:keepNext w:val="false"/>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La lista de disparadores de la sección anterior tiene, por lo mismo,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keepNext w:val="false"/>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keepNext w:val="false"/>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14 desarrolla la mitad colectiva de esta idea; el capítulo 18, su mitad institucional, porque los turnos y el descanso son condiciones epistémicas antes que laborales.</w:t>
      </w:r>
    </w:p>
    <w:p>
      <w:pPr>
        <w:pStyle w:val="BodyJ"/>
        <w:keepNext w:val="false"/>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keepNext/>
        <w:keepLines/>
        <w:spacing w:after="120" w:before="280"/>
      </w:pPr>
      <w:r>
        <w:rPr>
          <w:rFonts w:ascii="Gelasio" w:cs="Gelasio" w:eastAsia="Gelasio" w:hAnsi="Gelasio"/>
          <w:b/>
          <w:bCs/>
          <w:color w:val="2B2B2B"/>
          <w:sz w:val="25"/>
          <w:szCs w:val="25"/>
        </w:rPr>
        <w:t xml:space="preserve">Reflexión estructurada</w:t>
      </w:r>
    </w:p>
    <w:p>
      <w:pPr>
        <w:pStyle w:val="BodyJ"/>
        <w:keepNext w:val="false"/>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Es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keepNext/>
      </w:pPr>
      <w:r>
        <w:t xml:space="preserve">Una estructura breve puede ser:</w:t>
      </w:r>
    </w:p>
    <w:p>
      <w:pPr>
        <w:pStyle w:val="BodyJ"/>
        <w:keepNext/>
        <w:numPr>
          <w:ilvl w:val="0"/>
          <w:numId w:val="11"/>
        </w:numPr>
      </w:pPr>
      <w:r>
        <w:t xml:space="preserve">Reformular el caso sin usar el diagnóstico actual.</w:t>
      </w:r>
    </w:p>
    <w:p>
      <w:pPr>
        <w:pStyle w:val="BodyJ"/>
        <w:keepNext/>
        <w:numPr>
          <w:ilvl w:val="0"/>
          <w:numId w:val="11"/>
        </w:numPr>
      </w:pPr>
      <w:r>
        <w:t xml:space="preserve">Nombrar dos o tres hipótesis que expliquen los hallazgos decisivos.</w:t>
      </w:r>
    </w:p>
    <w:p>
      <w:pPr>
        <w:pStyle w:val="BodyJ"/>
        <w:keepNext/>
        <w:numPr>
          <w:ilvl w:val="0"/>
          <w:numId w:val="11"/>
        </w:numPr>
      </w:pPr>
      <w:r>
        <w:t xml:space="preserve">Identificar evidencia a favor y en contra de cada una.</w:t>
      </w:r>
    </w:p>
    <w:p>
      <w:pPr>
        <w:pStyle w:val="BodyJ"/>
        <w:keepNext/>
        <w:numPr>
          <w:ilvl w:val="0"/>
          <w:numId w:val="11"/>
        </w:numPr>
      </w:pPr>
      <w:r>
        <w:t xml:space="preserve">Buscar el dato que más podría cambiar la conducta.</w:t>
      </w:r>
    </w:p>
    <w:p>
      <w:pPr>
        <w:pStyle w:val="BodyJ"/>
        <w:keepNext w:val="false"/>
        <w:numPr>
          <w:ilvl w:val="0"/>
          <w:numId w:val="11"/>
        </w:numPr>
      </w:pPr>
      <w:r>
        <w:t xml:space="preserve">Definir qué desenlace obligaría a reabrir el caso.</w:t>
      </w:r>
    </w:p>
    <w:p>
      <w:pPr>
        <w:pStyle w:val="BodyJ"/>
        <w:keepNext w:val="false"/>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keepNext/>
        <w:keepLines/>
        <w:spacing w:after="120" w:before="280"/>
      </w:pPr>
      <w:r>
        <w:rPr>
          <w:rFonts w:ascii="Gelasio" w:cs="Gelasio" w:eastAsia="Gelasio" w:hAnsi="Gelasio"/>
          <w:b/>
          <w:bCs/>
          <w:color w:val="2B2B2B"/>
          <w:sz w:val="25"/>
          <w:szCs w:val="25"/>
        </w:rPr>
        <w:t xml:space="preserve">La mente del principiante</w:t>
      </w:r>
    </w:p>
    <w:p>
      <w:pPr>
        <w:pStyle w:val="BodyJ"/>
        <w:keepNext w:val="false"/>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(beginner's mind),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de este capítulo (Apéndice D) es una práctica contemplativa con disfraz de ejercicio clínico.</w:t>
      </w:r>
    </w:p>
    <w:p>
      <w:pPr>
        <w:pStyle w:val="BodyJ"/>
        <w:keepNext w:val="false"/>
      </w:pPr>
      <w:r>
        <w:t xml:space="preserve">Lo segundo que el Zen aporta es el «no saber» como disciplina y no como derrota: sostener la pregunta abierta sin precipitarse a cerrarla, que es el «no lo sé» del capítulo 15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keepNext w:val="false"/>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keepNext/>
        <w:keepLines/>
        <w:spacing w:after="120" w:before="280"/>
      </w:pPr>
      <w:r>
        <w:rPr>
          <w:rFonts w:ascii="Gelasio" w:cs="Gelasio" w:eastAsia="Gelasio" w:hAnsi="Gelasio"/>
          <w:b/>
          <w:bCs/>
          <w:color w:val="2B2B2B"/>
          <w:sz w:val="25"/>
          <w:szCs w:val="25"/>
        </w:rPr>
        <w:t xml:space="preserve">Pausa diagnóstica y segundo lector</w:t>
      </w:r>
    </w:p>
    <w:p>
      <w:pPr>
        <w:pStyle w:val="BodyJ"/>
        <w:keepNext w:val="false"/>
      </w:pPr>
      <w:r>
        <w:t xml:space="preserve">Una pausa diagnóstica (diagnostic time-out)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keepNext w:val="false"/>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keepNext/>
        <w:keepLines/>
        <w:spacing w:after="120" w:before="280"/>
      </w:pPr>
      <w:r>
        <w:rPr>
          <w:rFonts w:ascii="Gelasio" w:cs="Gelasio" w:eastAsia="Gelasio" w:hAnsi="Gelasio"/>
          <w:b/>
          <w:bCs/>
          <w:color w:val="2B2B2B"/>
          <w:sz w:val="25"/>
          <w:szCs w:val="25"/>
        </w:rPr>
        <w:t xml:space="preserve">Reflexión después del desenlace</w:t>
      </w:r>
    </w:p>
    <w:p>
      <w:pPr>
        <w:pStyle w:val="BodyJ"/>
        <w:keepNext w:val="false"/>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y la calidad del proceso tiene componentes nombrables: representación, alternativas consideradas, estimación de consecuencias, comunicación, seguimiento y revisabilidad.</w:t>
      </w:r>
    </w:p>
    <w:p>
      <w:pPr>
        <w:pStyle w:val="BodyJ"/>
        <w:keepNext w:val="false"/>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keepNext w:val="false"/>
      </w:pPr>
      <w:r>
        <w:t xml:space="preserve">La pausa correcta no paraliza la medicina. Le devuelve capacidad de revisión antes de que la decisión se vuelva daño, inercia o certeza documental.</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keepNext/>
        <w:spacing w:after="80" w:before="160"/>
      </w:pPr>
      <w:r>
        <w:rPr>
          <w:b/>
          <w:bCs/>
        </w:rPr>
        <w:t xml:space="preserve">Tres preguntas para la próxima visita.</w:t>
      </w:r>
    </w:p>
    <w:p>
      <w:pPr>
        <w:pStyle w:val="BodyJ"/>
        <w:keepNext/>
        <w:numPr>
          <w:ilvl w:val="0"/>
          <w:numId w:val="12"/>
        </w:numPr>
      </w:pPr>
      <w:r>
        <w:t xml:space="preserve">¿Cuál de mis pacientes actuales cumple un disparador de desaceleración (evolución inesperada, discordancia gravedad-diagnóstico, reconsulta), y en qué condiciones estaba yo cuando lo evalué?</w:t>
      </w:r>
    </w:p>
    <w:p>
      <w:pPr>
        <w:pStyle w:val="BodyJ"/>
        <w:keepNext/>
        <w:numPr>
          <w:ilvl w:val="0"/>
          <w:numId w:val="12"/>
        </w:numPr>
      </w:pPr>
      <w:r>
        <w:t xml:space="preserve">¿Puedo presentar mi caso más complejo sin usar su etiqueta diagnóstica?</w:t>
      </w:r>
    </w:p>
    <w:p>
      <w:pPr>
        <w:pStyle w:val="BodyJ"/>
        <w:keepNext w:val="false"/>
        <w:numPr>
          <w:ilvl w:val="0"/>
          <w:numId w:val="12"/>
        </w:numPr>
      </w:pPr>
      <w:r>
        <w:t xml:space="preserve">En mi última alta con diagnóstico incierto, ¿dejé escrito qué debería motivar reconsulta?</w:t>
      </w:r>
    </w:p>
    <w:p>
      <w:pPr>
        <w:pStyle w:val="Heading2"/>
        <w:keepNext/>
        <w:keepLines/>
        <w:pageBreakBefore/>
        <w:spacing w:after="300" w:before="600"/>
      </w:pPr>
      <w:r>
        <w:rPr>
          <w:rFonts w:ascii="Gelasio" w:cs="Gelasio" w:eastAsia="Gelasio" w:hAnsi="Gelasio"/>
          <w:b/>
          <w:bCs/>
          <w:color w:val="8C2F2F"/>
          <w:sz w:val="22"/>
          <w:szCs w:val="22"/>
        </w:rPr>
        <w:t xml:space="preserve">Interludio II</w:t>
      </w:r>
      <w:r>
        <w:rPr>
          <w:rFonts w:ascii="Gelasio" w:cs="Gelasio" w:eastAsia="Gelasio" w:hAnsi="Gelasio"/>
          <w:b/>
          <w:bCs/>
          <w:color w:val="3D5A6C"/>
          <w:sz w:val="32"/>
          <w:szCs w:val="32"/>
        </w:rPr>
        <w:br/>
        <w:t xml:space="preserve">Lo que el equipo pensó</w:t>
      </w:r>
    </w:p>
    <w:p>
      <w:pPr>
        <w:pStyle w:val="BodyJ"/>
        <w:keepNext w:val="false"/>
      </w:pPr>
      <w:r>
        <w:t xml:space="preserve">La ficha clínica de Carmen registra qué se hizo. No registra —casi ninguna ficha lo hace— cómo se pensó. Esta es la reconstrucción.</w:t>
      </w:r>
    </w:p>
    <w:p>
      <w:pPr>
        <w:pStyle w:val="BodyJ"/>
        <w:keepNext w:val="false"/>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keepNext w:val="false"/>
      </w:pPr>
      <w:r>
        <w:t xml:space="preserve">La internista de la mañana desaceleró, y vale la pena notar por qué. No porque «pensara despacio» en general, sino porque se activaron dos disparadores concretos: la discordancia entre la gravedad fisiológica (shock, lactato 3,9)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keepNext w:val="false"/>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keepNext w:val="false"/>
      </w:pPr>
      <w:r>
        <w:t xml:space="preserve">Y está Marcela, la enfermera de urgencias, que midió el llene capilar de tres a cuatro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keepNext w:val="false"/>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keepNext/>
        <w:pageBreakBefore/>
      </w:pPr>
      <w:r>
        <w:t xml:space="preserve">PARTE III</w:t>
      </w:r>
    </w:p>
    <w:p>
      <w:pPr>
        <w:pStyle w:val="PartTitle"/>
        <w:keepNext/>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examen que vale por lo que su resultado puede cambiar, y la duda que conviene dejar (capítulo 11); el tiempo que transforma el significado de los hechos (capítulo 12); la ficha que piensa o que fosiliza (capítulo 13); y el equipo donde el conocimiento circula, se degrada o se corrige, incluida la conversación con el paciente (capítulo 14). El interludio final encuentra a Carmen frente a una decisión de verdad.</w:t>
      </w:r>
    </w:p>
    <w:p>
      <w:pPr>
        <w:pStyle w:val="Heading2"/>
        <w:keepNext/>
        <w:keepLines/>
        <w:pageBreakBefore/>
        <w:spacing w:after="300" w:before="600"/>
      </w:pPr>
      <w:r>
        <w:rPr>
          <w:rFonts w:ascii="Gelasio" w:cs="Gelasio" w:eastAsia="Gelasio" w:hAnsi="Gelasio"/>
          <w:b/>
          <w:bCs/>
          <w:color w:val="8C2F2F"/>
          <w:sz w:val="22"/>
          <w:szCs w:val="22"/>
        </w:rPr>
        <w:t xml:space="preserve">Capítulo 9</w:t>
      </w:r>
      <w:r>
        <w:rPr>
          <w:rFonts w:ascii="Gelasio" w:cs="Gelasio" w:eastAsia="Gelasio" w:hAnsi="Gelasio"/>
          <w:b/>
          <w:bCs/>
          <w:color w:val="3D5A6C"/>
          <w:sz w:val="32"/>
          <w:szCs w:val="32"/>
        </w:rPr>
        <w:br/>
        <w:t xml:space="preserve">La evidencia y el caso singular</w:t>
      </w:r>
    </w:p>
    <w:p>
      <w:pPr>
        <w:pStyle w:val="BodyJ"/>
        <w:keepNext w:val="false"/>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keepNext/>
        <w:keepLines/>
        <w:spacing w:after="120" w:before="280"/>
      </w:pPr>
      <w:r>
        <w:rPr>
          <w:rFonts w:ascii="Gelasio" w:cs="Gelasio" w:eastAsia="Gelasio" w:hAnsi="Gelasio"/>
          <w:b/>
          <w:bCs/>
          <w:color w:val="2B2B2B"/>
          <w:sz w:val="25"/>
          <w:szCs w:val="25"/>
        </w:rPr>
        <w:t xml:space="preserve">La evidencia responde a una pregunta distinta</w:t>
      </w:r>
    </w:p>
    <w:p>
      <w:pPr>
        <w:pStyle w:val="BodyJ"/>
        <w:keepNext w:val="false"/>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keepNext w:val="false"/>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keepNext/>
        <w:keepLines/>
        <w:spacing w:after="120" w:before="280"/>
      </w:pPr>
      <w:r>
        <w:rPr>
          <w:rFonts w:ascii="Gelasio" w:cs="Gelasio" w:eastAsia="Gelasio" w:hAnsi="Gelasio"/>
          <w:b/>
          <w:bCs/>
          <w:color w:val="2B2B2B"/>
          <w:sz w:val="25"/>
          <w:szCs w:val="25"/>
        </w:rPr>
        <w:t xml:space="preserve">Del efecto promedio al caso singular</w:t>
      </w:r>
    </w:p>
    <w:p>
      <w:pPr>
        <w:pStyle w:val="BodyJ"/>
        <w:keepNext w:val="false"/>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keepNext w:val="false"/>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keepNext w:val="false"/>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keepNext w:val="false"/>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mayor, y debe ponderarse frente a un riesgo adverso también mayor».</w:t>
      </w:r>
    </w:p>
    <w:p>
      <w:pPr>
        <w:pStyle w:val="Heading3"/>
        <w:keepNext/>
        <w:keepLines/>
        <w:spacing w:after="120" w:before="280"/>
      </w:pPr>
      <w:r>
        <w:rPr>
          <w:rFonts w:ascii="Gelasio" w:cs="Gelasio" w:eastAsia="Gelasio" w:hAnsi="Gelasio"/>
          <w:b/>
          <w:bCs/>
          <w:color w:val="2B2B2B"/>
          <w:sz w:val="25"/>
          <w:szCs w:val="25"/>
        </w:rPr>
        <w:t xml:space="preserve">Una década sobre un mismo dato: la saga ANDROMEDA</w:t>
      </w:r>
    </w:p>
    <w:p>
      <w:pPr>
        <w:pStyle w:val="BodyJ"/>
        <w:keepNext w:val="false"/>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llene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redujera la mortalidad a 28 días excedía el 90% (Zampieri et al., 2020). El mismo dato, dos marcos de lectura, dos frases distintas para la ficha.</w:t>
      </w:r>
    </w:p>
    <w:p>
      <w:pPr>
        <w:pStyle w:val="BodyJ"/>
        <w:keepNext w:val="false"/>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llene capilar era superior al cuidado habitual en un desenlace jerárquico que combinaba mortalidad, días de soporte vital y estadía hospitalaria; la ventaja vino de menos días de soporte vital, con la misma mortalidad a 28 días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la trayectoria completa que vale como modelo de lectura de la evidencia.</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Singularidad sin arbitrariedad: evidencia externa, local y del propio caso</w:t>
      </w:r>
    </w:p>
    <w:p>
      <w:pPr>
        <w:pStyle w:val="BodyJ"/>
        <w:keepNext w:val="false"/>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keepNext w:val="false"/>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keepNext w:val="false"/>
      </w:pPr>
      <w:r>
        <w:t xml:space="preserve">Una deliberación bien formulada declara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—ni obedecer al estudio ni improvisar contra él—.</w:t>
      </w:r>
    </w:p>
    <w:p>
      <w:pPr>
        <w:pStyle w:val="BodyJ"/>
        <w:keepNext/>
        <w:spacing w:after="80" w:before="160"/>
      </w:pPr>
      <w:r>
        <w:rPr>
          <w:b/>
          <w:bCs/>
        </w:rPr>
        <w:t xml:space="preserve">Tres preguntas para la próxima visita.</w:t>
      </w:r>
    </w:p>
    <w:p>
      <w:pPr>
        <w:pStyle w:val="BodyJ"/>
        <w:keepNext/>
        <w:numPr>
          <w:ilvl w:val="0"/>
          <w:numId w:val="13"/>
        </w:numPr>
      </w:pPr>
      <w:r>
        <w:t xml:space="preserve">Para mi indicación más importante de hoy: ¿qué demostró exactamente el estudio que la respalda, y en qué se parece mi paciente a esa población?</w:t>
      </w:r>
    </w:p>
    <w:p>
      <w:pPr>
        <w:pStyle w:val="BodyJ"/>
        <w:keepNext/>
        <w:numPr>
          <w:ilvl w:val="0"/>
          <w:numId w:val="13"/>
        </w:numPr>
      </w:pPr>
      <w:r>
        <w:t xml:space="preserve">El último ensayo «negativo» que cité: ¿mostró ausencia de efecto o ausencia de significación —y traté esa diferencia como si no existiera—?</w:t>
      </w:r>
    </w:p>
    <w:p>
      <w:pPr>
        <w:pStyle w:val="BodyJ"/>
        <w:keepNext w:val="false"/>
        <w:numPr>
          <w:ilvl w:val="0"/>
          <w:numId w:val="13"/>
        </w:numPr>
      </w:pPr>
      <w:r>
        <w:t xml:space="preserve">¿Qué conocimiento local (resistencias, tiempos, capacidad de seguimiento) está modificando mi decisión sin estar declarado en ninguna parte?</w:t>
      </w:r>
    </w:p>
    <w:p>
      <w:pPr>
        <w:pStyle w:val="Heading2"/>
        <w:keepNext/>
        <w:keepLines/>
        <w:pageBreakBefore/>
        <w:spacing w:after="300" w:before="600"/>
      </w:pPr>
      <w:r>
        <w:rPr>
          <w:rFonts w:ascii="Gelasio" w:cs="Gelasio" w:eastAsia="Gelasio" w:hAnsi="Gelasio"/>
          <w:b/>
          <w:bCs/>
          <w:color w:val="8C2F2F"/>
          <w:sz w:val="22"/>
          <w:szCs w:val="22"/>
        </w:rPr>
        <w:t xml:space="preserve">Capítulo 10</w:t>
      </w:r>
      <w:r>
        <w:rPr>
          <w:rFonts w:ascii="Gelasio" w:cs="Gelasio" w:eastAsia="Gelasio" w:hAnsi="Gelasio"/>
          <w:b/>
          <w:bCs/>
          <w:color w:val="3D5A6C"/>
          <w:sz w:val="32"/>
          <w:szCs w:val="32"/>
        </w:rPr>
        <w:br/>
        <w:t xml:space="preserve">Decidir sin certeza: umbrales, valores y bioética</w:t>
      </w:r>
    </w:p>
    <w:p>
      <w:pPr>
        <w:pStyle w:val="BodyJ"/>
        <w:keepNext w:val="false"/>
      </w:pPr>
      <w:r>
        <w:t xml:space="preserve">Suponga resuelto lo anterior: la evidencia está traducida, la probabilidad estimada, el caso representado. Queda la pregunta que ninguna estimación responde sola: ¿y ahora qué hacemos? Este capítulo trata del tramo final —donde la probabilidad se encuentra con las consecuencias, los valores entran al cálculo sin pedir permiso y la decisión técnica se cruza con la bioética—.</w:t>
      </w:r>
    </w:p>
    <w:p>
      <w:pPr>
        <w:pStyle w:val="Heading3"/>
        <w:keepNext/>
        <w:keepLines/>
        <w:spacing w:after="120" w:before="280"/>
      </w:pPr>
      <w:r>
        <w:rPr>
          <w:rFonts w:ascii="Gelasio" w:cs="Gelasio" w:eastAsia="Gelasio" w:hAnsi="Gelasio"/>
          <w:b/>
          <w:bCs/>
          <w:color w:val="2B2B2B"/>
          <w:sz w:val="25"/>
          <w:szCs w:val="25"/>
        </w:rPr>
        <w:t xml:space="preserve">De la verdad a la acción: el enfoque de umbrales</w:t>
      </w:r>
    </w:p>
    <w:p>
      <w:pPr>
        <w:pStyle w:val="BodyJ"/>
        <w:keepNext w:val="false"/>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keepNext w:val="false"/>
      </w:pPr>
      <w:r>
        <w:t xml:space="preserve">Pauker y Kassirer formalizaron el enfoque de umbrales (threshold approach):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Errores asimétricos</w:t>
      </w:r>
    </w:p>
    <w:p>
      <w:pPr>
        <w:pStyle w:val="BodyJ"/>
        <w:keepNext w:val="false"/>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keepNext w:val="false"/>
      </w:pPr>
      <w:r>
        <w:t xml:space="preserve">Los dos momentos de Carmen ilustran esta asimetría de costos. En la madrugada del ingreso, la pregunta era si había indicación de cirugía de urgencia: isquemia, perforación o un abdomen que no respondiera. La reanimación respondió en pocas horas —con 2.000 ml de Ringer lactato y noradrenalina, el llene capilar mejoró, la taquicardia bajó y el dolor abdominal cedió—, el abdomen no tenía signos peritoneales y la tomografía no mostraba isquemia: el umbral para operar de urgencia no se cruzó, y la decisión quedó vigilada, con el abdomen reexaminado y un lactato de control que bajó a 2,3 mmol/L. Días después, con Carmen recuperada en sala, la matriz de consecuencias se invierte. El error más costoso ya no es operar sin indicación,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sin isquemia ni signos peritoneales y con respuesta a la reanimación, el daño esperado de operar de urgencia supera al de reanimar y vigilar; al día 7, el daño esperado de un alta sin operar supera al de una cirugía programada. Los hechos anatómicos no cambiaron; cambió el costo del error de omisión.</w:t>
            </w:r>
          </w:p>
        </w:tc>
      </w:tr>
    </w:tbl>
    <w:p>
      <w:pPr>
        <w:spacing w:after="60"/>
      </w:pPr>
    </w:p>
    <w:p>
      <w:pPr>
        <w:pStyle w:val="TallerHead"/>
        <w:keepNext/>
        <w:keepLines/>
      </w:pPr>
      <w:r>
        <w:t xml:space="preserve">Caja de herramientas. Frecuencias naturales al lado de la cama</w:t>
      </w:r>
    </w:p>
    <w:p>
      <w:pPr>
        <w:pStyle w:val="BodyJ"/>
        <w:keepNext w:val="false"/>
      </w:pPr>
      <w:r>
        <w:t xml:space="preserve">Los umbrales sirven sólo si se sabe dónde queda la probabilidad después de una prueba, y es ahí donde la intuición falla de manera más predecible. Una condición tiene una probabilidad pretest de 10%, y la prueba, sensibilidad de 90% y especificidad de 80%; el resultado llega positivo. En ejercicios docentes, la respuesta intuitiva se concentra entre 80% y 90%: se lee la sensibilidad de la prueba como si fuera la probabilidad de la enfermedad, y la prevalencia de 10% desaparece del cálculo. En frecuencias naturales sobre 1.000 pacientes, 100 tienen la condición y 90 de ellos dan positivo; de los 900 sin la condición, 180 dan positivo (20% de falsos positivos). Total de positivos: 270. Probabilidad postest = 90/270 = 33%.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en frecuencias naturales: de 270 resultados positivos, sólo 90 corresponden a la enfermedad. La probabilidad postest (33%) queda lejos de la certeza que la intuición atribuye a una «prueba positiva».</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El umbral es un juicio de valor: el riesgo inductivo</w:t>
      </w:r>
    </w:p>
    <w:p>
      <w:pPr>
        <w:pStyle w:val="BodyJ"/>
        <w:keepNext w:val="false"/>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Carl Hempel llamó a esto riesgo inductivo (inductive risk; Hempel, 1965). Heather Douglas mostró que ese riesgo no aparece sólo al final, cuando se acepta una conclusión, sino en las etapas internas de la investigación: qué método elegir, cómo caracterizar un dato ambiguo, cómo interpretarlo. En cada una, cuánta evidencia se exige antes de afirmar que un compuesto es tóxico depende de qué error —afirmar de más o afirmar de menos— produce más daño; su caso son las láminas de hígado de rata con que se fijó la toxicidad de la dioxina, leídas por patólogos distintos con resultados distintos (Douglas, 2000, pp. 565-577).</w:t>
      </w:r>
    </w:p>
    <w:p>
      <w:pPr>
        <w:pStyle w:val="BodyJ"/>
        <w:keepNext w:val="false"/>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D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keepNext w:val="false"/>
      </w:pPr>
      <w:r>
        <w:t xml:space="preserve">Esta fundamentación tiene una consecuencia liberadora. Reconocer que hay valores dentro del umbral no corrompe la objetividad clínica; la localiza. Los hechos y las probabilidades se estiman con toda la disciplina de la Parte I, aunque tampoco ahí falta el valor: cuánta evidencia se pide antes de dar algo por hecho depende de lo que cuesta equivocarse, y por eso la capa de hechos declara su fuente y su método. El punto de corte se delibera —con el paciente cuando es posible— y se declara. Lo indefendible no es que haya valores en la decisión: es esconderlos detrás de una retórica de pura evidencia.</w:t>
      </w:r>
    </w:p>
    <w:p>
      <w:pPr>
        <w:pStyle w:val="Heading3"/>
        <w:keepNext/>
        <w:keepLines/>
        <w:spacing w:after="120" w:before="280"/>
      </w:pPr>
      <w:r>
        <w:rPr>
          <w:rFonts w:ascii="Gelasio" w:cs="Gelasio" w:eastAsia="Gelasio" w:hAnsi="Gelasio"/>
          <w:b/>
          <w:bCs/>
          <w:color w:val="2B2B2B"/>
          <w:sz w:val="25"/>
          <w:szCs w:val="25"/>
        </w:rPr>
        <w:t xml:space="preserve">El cruce con la bioética: el contexto global del paciente como hecho clínico</w:t>
      </w:r>
    </w:p>
    <w:p>
      <w:pPr>
        <w:pStyle w:val="BodyJ"/>
        <w:keepNext w:val="false"/>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keepNext w:val="false"/>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keepNext w:val="false"/>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12,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Heading3"/>
        <w:keepNext/>
        <w:keepLines/>
        <w:spacing w:after="120" w:before="280"/>
      </w:pPr>
      <w:r>
        <w:rPr>
          <w:rFonts w:ascii="Gelasio" w:cs="Gelasio" w:eastAsia="Gelasio" w:hAnsi="Gelasio"/>
          <w:b/>
          <w:bCs/>
          <w:color w:val="2B2B2B"/>
          <w:sz w:val="25"/>
          <w:szCs w:val="25"/>
        </w:rPr>
        <w:t xml:space="preserve">Cuatro tópicos, proporcionalidad y deliberación</w:t>
      </w:r>
    </w:p>
    <w:p>
      <w:pPr>
        <w:pStyle w:val="BodyJ"/>
        <w:keepNext w:val="false"/>
      </w:pPr>
      <w:r>
        <w:t xml:space="preserve">La bioética clínica ofrece herramientas de trabajo para este cruce, y la más difundida tiene un aire de familia con HII-D. Jonsen, Siegler y Winslade propusieron ordenar todo caso en cuatro tópicos (four topics): indicaciones médicas, preferencias del paciente, calidad de vida y rasgos contextuales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keepNext w:val="false"/>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—«hacer todo», «no hacer nada»— casi nunca son los prudentes, y suelen ser los que se eligen cuando nadie deliberó.</w:t>
      </w:r>
    </w:p>
    <w:p>
      <w:pPr>
        <w:pStyle w:val="BodyJ"/>
        <w:keepNext w:val="false"/>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EnUnaFrase"/>
      </w:pPr>
      <w:r>
        <w:rPr>
          <w:b/>
          <w:bCs/>
        </w:rPr>
        <w:t xml:space="preserve">En una frase.</w:t>
      </w:r>
      <w:r>
        <w:t xml:space="preserve"> Decidir sin certeza no es un mal menor: es la forma normal del juicio clínico cuando trabaja bien —umbrales explícitos, valores declarados y el contexto global del paciente dentro del cálculo—.</w:t>
      </w:r>
    </w:p>
    <w:p>
      <w:pPr>
        <w:pStyle w:val="BodyJ"/>
        <w:keepNext/>
        <w:spacing w:after="80" w:before="160"/>
      </w:pPr>
      <w:r>
        <w:rPr>
          <w:b/>
          <w:bCs/>
        </w:rPr>
        <w:t xml:space="preserve">Tres preguntas para la próxima visita.</w:t>
      </w:r>
    </w:p>
    <w:p>
      <w:pPr>
        <w:pStyle w:val="BodyJ"/>
        <w:keepNext/>
        <w:numPr>
          <w:ilvl w:val="0"/>
          <w:numId w:val="14"/>
        </w:numPr>
      </w:pPr>
      <w:r>
        <w:t xml:space="preserve">¿Cuál es el umbral implícito de mi decisión: qué probabilidad de estar equivocado la haría cambiar?</w:t>
      </w:r>
    </w:p>
    <w:p>
      <w:pPr>
        <w:pStyle w:val="BodyJ"/>
        <w:keepNext/>
        <w:numPr>
          <w:ilvl w:val="0"/>
          <w:numId w:val="14"/>
        </w:numPr>
      </w:pPr>
      <w:r>
        <w:t xml:space="preserve">¿Estoy exigiendo certeza diagnóstica donde bastaría compromiso práctico, o actuando para no tolerar una duda?</w:t>
      </w:r>
    </w:p>
    <w:p>
      <w:pPr>
        <w:pStyle w:val="BodyJ"/>
        <w:keepNext w:val="false"/>
        <w:numPr>
          <w:ilvl w:val="0"/>
          <w:numId w:val="14"/>
        </w:numPr>
      </w:pPr>
      <w:r>
        <w:t xml:space="preserve">De mi paciente más grave de hoy: ¿sé cómo funcionaba antes de enfermar, con quién vive y qué espera del tratamiento —y está escrito en alguna parte—?</w:t>
      </w:r>
    </w:p>
    <w:p>
      <w:pPr>
        <w:pStyle w:val="Heading2"/>
        <w:keepNext/>
        <w:keepLines/>
        <w:pageBreakBefore/>
        <w:spacing w:after="300" w:before="600"/>
      </w:pPr>
      <w:r>
        <w:rPr>
          <w:rFonts w:ascii="Gelasio" w:cs="Gelasio" w:eastAsia="Gelasio" w:hAnsi="Gelasio"/>
          <w:b/>
          <w:bCs/>
          <w:color w:val="8C2F2F"/>
          <w:sz w:val="22"/>
          <w:szCs w:val="22"/>
        </w:rPr>
        <w:t xml:space="preserve">Capítulo 11</w:t>
      </w:r>
      <w:r>
        <w:rPr>
          <w:rFonts w:ascii="Gelasio" w:cs="Gelasio" w:eastAsia="Gelasio" w:hAnsi="Gelasio"/>
          <w:b/>
          <w:bCs/>
          <w:color w:val="3D5A6C"/>
          <w:sz w:val="32"/>
          <w:szCs w:val="32"/>
        </w:rPr>
        <w:br/>
        <w:t xml:space="preserve">Cuando saber más no cambia nada: el valor de un examen</w:t>
      </w:r>
    </w:p>
    <w:p>
      <w:pPr>
        <w:pStyle w:val="BodyJ"/>
        <w:keepNext w:val="false"/>
      </w:pPr>
      <w:r>
        <w:t xml:space="preserve">Policlínico, once de la mañana. Una mujer de 52 años con hipotiroidismo por tiroiditis de Hashimoto, en tratamiento con levotiroxina y con la TSH en rango, trae la ecografía tiroidea que alguien pidió en un control anterior. El cuello es normal al examen: no hay bocio ni nódulos palpables. El informe describe una glándula de ecoestructura heterogénea, compatible con tiroiditis, y un nódulo sólido de 6 milímetros «a controlar». Ella llega asustada; la palabra nódulo le sonó a cáncer. Nada de lo que dice el informe cambia lo que se iba a hacer, que es seguir con la misma dosis de levotiroxina. Pero la última línea ya cambió otras cosas: ahora hay un nódulo en la ficha, una paciente con miedo y un control ecográfico que nadie indicó por una razón clínica.</w:t>
      </w:r>
    </w:p>
    <w:p>
      <w:pPr>
        <w:pStyle w:val="BodyJ"/>
        <w:keepNext w:val="false"/>
      </w:pPr>
      <w:r>
        <w:t xml:space="preserve">El capítulo anterior preguntó cuánta evidencia basta para actuar. Éste pregunta lo inverso: cuándo buscar más evidencia no sirve para actuar. Hasta aquí el libro ha empujado en una sola dirección —precisar el hecho, graduar la inferencia, nombrar la incertidumbre—, y ese empuje necesita su límite. No toda duda merece resolverse, y no todo examen informa.</w:t>
      </w:r>
    </w:p>
    <w:p>
      <w:pPr>
        <w:pStyle w:val="Heading3"/>
        <w:keepNext/>
        <w:keepLines/>
        <w:spacing w:after="120" w:before="280"/>
      </w:pPr>
      <w:r>
        <w:rPr>
          <w:rFonts w:ascii="Gelasio" w:cs="Gelasio" w:eastAsia="Gelasio" w:hAnsi="Gelasio"/>
          <w:b/>
          <w:bCs/>
          <w:color w:val="2B2B2B"/>
          <w:sz w:val="25"/>
          <w:szCs w:val="25"/>
        </w:rPr>
        <w:t xml:space="preserve">El valor de un dato es lo que cambia</w:t>
      </w:r>
    </w:p>
    <w:p>
      <w:pPr>
        <w:pStyle w:val="BodyJ"/>
        <w:keepNext w:val="false"/>
      </w:pPr>
      <w:r>
        <w:t xml:space="preserve">El enfoque de umbrales del capítulo 10 tiene una consecuencia que rara vez se dice en voz alta. Si la probabilidad de una enfermedad cae en la zona de «testear», un examen tiene sentido porque alguno de sus resultados puede sacarla de esa zona: un positivo que la empuja sobre el umbral de tratamiento, o un negativo que la baja del umbral de prueba (Pauker &amp; Kassirer, 1980). Pero si el resultado positivo y el negativo dejan al paciente en la misma zona, o conducen a la misma conducta, el examen no informa la decisión. Puede ser exacto, barato y seguro, y aun así no valer nada para lo que hay que decidir. La teoría de la decisión lo llama valor de la información: un dato vale en la medida en que puede cambiar la acción. En la sala, la pregunta es más corta: ¿qué voy a hacer distinto con cada resultado?</w:t>
      </w:r>
    </w:p>
    <w:p>
      <w:pPr>
        <w:pStyle w:val="BodyJ"/>
        <w:keepNext w:val="false"/>
      </w:pPr>
      <w:r>
        <w:t xml:space="preserve">La ecografía de esa paciente lo muestra con claridad. Si muestra tiroiditis, se sigue con levotiroxina; si es normal, también; si muestra un nódulo pequeño, también, y además empieza un problema nuevo. Las tres ramas terminan en la misma conducta. Y el hallazgo de la tercera no es una rareza: con un ecógrafo de alta frecuencia se encontraron nódulos tiroideos en 432 de 635 personas que acudían a un chequeo preventivo —dos de cada tres—, y el mismo trabajo recuerda que un estudio poblacional alemán, con equipos menos sensibles, los había encontrado en un tercio (Guth et al., 2009). Un examen que encuentra algo en casi todos no distingue a nadie. El grupo de trabajo de tiroides de la Sociedad Brasileña de Endocrinología puso entre las diez recomendaciones que priorizó no pedir ecografía para buscar nódulos en pacientes sin alteraciones anatómicas al examen, y su lista final pide no repetir los anticuerpos antitiroideos en el seguimiento de un Hashimoto que ya los tuvo positivos: una vez positivos, la causa del hipotiroidismo está definida (Dora et al., 2021). A escala de población, el patrón tiene nombre. En Estados Unidos, la detección de cáncer de tiroides aumentó 4,5% por año durante una década sin un cambio correspondiente en la mortalidad, y el grupo que fija allí las recomendaciones de tamizaje recomendó no buscarlo en adultos sin síntomas, porque el sobrediagnóstico y el sobretratamiento probablemente son sustanciales (US Preventive Services Task Force, 2017).</w:t>
      </w:r>
    </w:p>
    <w:p>
      <w:pPr>
        <w:pStyle w:val="Heading3"/>
        <w:keepNext/>
        <w:keepLines/>
        <w:spacing w:after="120" w:before="280"/>
      </w:pPr>
      <w:r>
        <w:rPr>
          <w:rFonts w:ascii="Gelasio" w:cs="Gelasio" w:eastAsia="Gelasio" w:hAnsi="Gelasio"/>
          <w:b/>
          <w:bCs/>
          <w:color w:val="2B2B2B"/>
          <w:sz w:val="25"/>
          <w:szCs w:val="25"/>
        </w:rPr>
        <w:t xml:space="preserve">Un positivo que no informa</w:t>
      </w:r>
    </w:p>
    <w:p>
      <w:pPr>
        <w:pStyle w:val="BodyJ"/>
        <w:keepNext w:val="false"/>
      </w:pPr>
      <w:r>
        <w:t xml:space="preserve">Otra consulta, otra semana. Una mujer de 34 años con dolor difuso y cansancio de meses, sin artritis, sin lesiones en la piel ni úlceras orales, con un examen físico normal y un hemograma y una función renal normales. Le pidieron anticuerpos antinucleares «para descartar lupus». Resultado: positivos, 1/80, patrón moteado. Con ese papel llega a la interconsulta con reumatología, y con él llega también la palabra lupus, que nadie le dijo pero que ella encontró sola.</w:t>
      </w:r>
    </w:p>
    <w:p>
      <w:pPr>
        <w:pStyle w:val="BodyJ"/>
        <w:keepNext w:val="false"/>
      </w:pPr>
      <w:r>
        <w:t xml:space="preserve">El resultado era previsible sin pedirlo. En personas sanas, los anticuerpos antinucleares por inmunofluorescencia salen positivos en el 31,7% a una dilución de 1/40, en el 13,3% a 1/80 y en el 5,0% a 1/160 (Tan et al., 1997); en una muestra representativa de la población estadounidense de 12 años o más, en el 13,8%, y en el 17,8% de las mujeres (Satoh et al., 2012). Cuando se revisaron 232 pacientes derivados a un centro de reumatología por un ANA positivo pedido fuera de la especialidad, el valor predictivo positivo fue de 2,1% para lupus y de 9,1% para cualquier enfermedad asociada a anticuerpos antinucleares; ningún paciente con un título menor de 1/160 la tenía, y el motivo más frecuente para haber pedido el examen fue el dolor generalizado (Abeles &amp; Abeles, 2013). En las frecuencias naturales del capítulo 10: de cada cien pacientes que llegan así, más de noventa traen un positivo que no corresponde a ninguna de esas enfermedades.</w:t>
      </w:r>
    </w:p>
    <w:p>
      <w:pPr>
        <w:pStyle w:val="BodyJ"/>
        <w:keepNext w:val="false"/>
      </w:pPr>
      <w:r>
        <w:t xml:space="preserve">Escrito antes de pedirlo, el examen se habría desarmado solo. Si sale negativo, el dolor sigue sin explicación y el plan es el mismo: buscar su causa por donde la clínica indique. Si sale positivo a título bajo, el plan es el mismo, pero ahora con un rótulo, una interconsulta y, a menudo, el paso siguiente de la cascada: las subserologías, que el Colegio Americano de Reumatología pide no solicitar sin un ANA positivo y una sospecha clínica de enfermedad inmunológica (Yazdany et al., 2013). El rótulo, además, viaja: «ANA (+)» escrito una vez puede volverse, tres notas después, «antecedente autoinmune», con la autoridad de un hecho que nadie verificó; es el fósil narrativo del capítulo 13.</w:t>
      </w:r>
    </w:p>
    <w:p>
      <w:pPr>
        <w:pStyle w:val="BodyJ"/>
        <w:keepNext w:val="false"/>
      </w:pPr>
      <w:r>
        <w:t xml:space="preserve">Lo mismo, invertido. Cuando la sospecha es real —artritis, fotosensibilidad, citopenias, compromiso renal o serositis—, el ANA es el examen correcto, y su sensibilidad a títulos bajos hace que un negativo sirva para descartar (Tan et al., 1997). No es el examen el que sobra; es la pregunta la que falta.</w:t>
      </w:r>
    </w:p>
    <w:p>
      <w:pPr>
        <w:pStyle w:val="Heading3"/>
        <w:keepNext/>
        <w:keepLines/>
        <w:spacing w:after="120" w:before="280"/>
      </w:pPr>
      <w:r>
        <w:rPr>
          <w:rFonts w:ascii="Gelasio" w:cs="Gelasio" w:eastAsia="Gelasio" w:hAnsi="Gelasio"/>
          <w:b/>
          <w:bCs/>
          <w:color w:val="2B2B2B"/>
          <w:sz w:val="25"/>
          <w:szCs w:val="25"/>
        </w:rPr>
        <w:t xml:space="preserve">La incertidumbre que conviene dejar</w:t>
      </w:r>
    </w:p>
    <w:p>
      <w:pPr>
        <w:pStyle w:val="BodyJ"/>
        <w:keepNext w:val="false"/>
      </w:pPr>
      <w:r>
        <w:t xml:space="preserve">Hay dudas que ningún resultado disponible convertiría en un cambio de conducta, de vigilancia o de información que el paciente necesite. Este libro las llama incertidumbre que conviene dejar: se declara por escrito y no se persigue. La cartografía del capítulo 3 ya la incluía —«lo que no cambiaría la conducta inmediata»—, junto a la duda que, si estuviera equivocada, produciría daño grave, y que por eso obliga a buscar; allí se nombró, y aquí se desarrolla. Kassirer lo había advertido: la búsqueda obstinada de certeza genera pruebas innecesarias sin eliminar el residuo de duda (Kassirer, 1989).</w:t>
      </w:r>
    </w:p>
    <w:p>
      <w:pPr>
        <w:pStyle w:val="BodyJ"/>
        <w:keepNext w:val="false"/>
      </w:pPr>
      <w:r>
        <w:t xml:space="preserve">Carmen tiene varias. Por qué este cuarto episodio fue tanto más grave que los tres anteriores; si la bacteriemia vino de una translocación o de una isquemia transitoria ya resuelta, un mecanismo que el Interludio I dejó como posible y no demostrado. Ninguna respuesta cambia el antibiótico, que ya cubre el foco abdominal, ni la indicación de reparar la hernia, que descansa en la gravedad alcanzada y no en el mecanismo. Escribirlo así —«mecanismo no demostrado; no cambia la conducta»— no es negligencia: es la manera de que la duda no se convierta, al día siguiente, en una tomografía más.</w:t>
      </w:r>
    </w:p>
    <w:p>
      <w:pPr>
        <w:pStyle w:val="Heading3"/>
        <w:keepNext/>
        <w:keepLines/>
        <w:spacing w:after="120" w:before="280"/>
      </w:pPr>
      <w:r>
        <w:rPr>
          <w:rFonts w:ascii="Gelasio" w:cs="Gelasio" w:eastAsia="Gelasio" w:hAnsi="Gelasio"/>
          <w:b/>
          <w:bCs/>
          <w:color w:val="2B2B2B"/>
          <w:sz w:val="25"/>
          <w:szCs w:val="25"/>
        </w:rPr>
        <w:t xml:space="preserve">Por qué igual se pide</w:t>
      </w:r>
    </w:p>
    <w:p>
      <w:pPr>
        <w:pStyle w:val="BodyJ"/>
        <w:keepNext w:val="false"/>
      </w:pPr>
      <w:r>
        <w:t xml:space="preserve">Si tantas veces el resultado no cambia nada, ¿por qué se pide? Las razones son reconocibles. Para quedarse tranquilo el médico, que duerme mejor con el informe en la ficha. Para tranquilizar al paciente, aunque la evidencia no ayuda: en una revisión de catorce ensayos aleatorizados con pacientes de baja probabilidad de enfermedad grave, los exámenes no redujeron la preocupación por la enfermedad, la ansiedad ni la persistencia de los síntomas, y sólo se sugirió una reducción pequeña de las consultas posteriores (Rolfe &amp; Burton, 2013). Por miedo al reclamo, que es la documentación defensiva del capítulo 15. Por completar la ficha o el protocolo, que piden el examen aunque el caso no lo necesite. Por inercia: el control «de rutina» que nadie revisa, como la ecografía de la paciente con Hashimoto. Y por curiosidad, que es una virtud del clínico pero no una indicación para el paciente.</w:t>
      </w:r>
    </w:p>
    <w:p>
      <w:pPr>
        <w:pStyle w:val="BodyJ"/>
        <w:keepNext w:val="false"/>
      </w:pPr>
      <w:r>
        <w:t xml:space="preserve">Ninguno de esos motivos es una indicación. Algunos son necesidades legítimas —la del paciente que quiere una respuesta, la del médico que teme— que piden otra cosa: una conversación, una explicación del plan, un criterio de reconsulta escrito.</w:t>
      </w:r>
    </w:p>
    <w:p>
      <w:pPr>
        <w:pStyle w:val="Heading3"/>
        <w:keepNext/>
        <w:keepLines/>
        <w:spacing w:after="120" w:before="280"/>
      </w:pPr>
      <w:r>
        <w:rPr>
          <w:rFonts w:ascii="Gelasio" w:cs="Gelasio" w:eastAsia="Gelasio" w:hAnsi="Gelasio"/>
          <w:b/>
          <w:bCs/>
          <w:color w:val="2B2B2B"/>
          <w:sz w:val="25"/>
          <w:szCs w:val="25"/>
        </w:rPr>
        <w:t xml:space="preserve">¿Nada para quién?</w:t>
      </w:r>
    </w:p>
    <w:p>
      <w:pPr>
        <w:pStyle w:val="BodyJ"/>
        <w:keepNext w:val="false"/>
      </w:pPr>
      <w:r>
        <w:t xml:space="preserve">«No cambia nada» es una afirmación fuerte, y hay que preguntar para quién. Un resultado que no cambia el tratamiento puede cambiar algo para el paciente: ponerle nombre a lo que tiene, un pronóstico para ordenar sus asuntos, un dato que importa a su familia, el fin de una búsqueda que lo tiene en vilo. Ese valor existe y es suyo; es la pregunta del capítulo 10 —consecuencias para quién, medidas en qué moneda— aplicada a la información. Lo que no corresponde es disfrazarlo de indicación médica. Si se pide por eso, se escribe por eso: «se solicita a petición de la paciente, que quiere saber si su hija debe estudiarse, sabiendo que el resultado no cambia su tratamiento». Esa línea deja la decisión en quien corresponde y le advierte al próximo lector que el examen no respondía a una pregunta clínica.</w:t>
      </w:r>
    </w:p>
    <w:p>
      <w:pPr>
        <w:pStyle w:val="BodyJ"/>
        <w:keepNext w:val="false"/>
      </w:pPr>
      <w:r>
        <w:t xml:space="preserve">Hay también exámenes que no cambian nada hoy pero fijan la línea de base de una vigilancia. Ésos tienen propósito, y el propósito se escribe: «basal, para comparar si aparece…».</w:t>
      </w:r>
    </w:p>
    <w:p>
      <w:pPr>
        <w:pStyle w:val="Heading3"/>
        <w:keepNext/>
        <w:keepLines/>
        <w:spacing w:after="120" w:before="280"/>
      </w:pPr>
      <w:r>
        <w:rPr>
          <w:rFonts w:ascii="Gelasio" w:cs="Gelasio" w:eastAsia="Gelasio" w:hAnsi="Gelasio"/>
          <w:b/>
          <w:bCs/>
          <w:color w:val="2B2B2B"/>
          <w:sz w:val="25"/>
          <w:szCs w:val="25"/>
        </w:rPr>
        <w:t xml:space="preserve">Cuando saber más, además, daña</w:t>
      </w:r>
    </w:p>
    <w:p>
      <w:pPr>
        <w:pStyle w:val="BodyJ"/>
        <w:keepNext w:val="false"/>
      </w:pPr>
      <w:r>
        <w:t xml:space="preserve">A veces el examen que no cambia nada hace algo peor que no informar: crea un problema. En una revisión de revisiones sistemáticas, los hallazgos incidentales aparecieron en más de un tercio de las resonancias cardiacas, de las tomografías de tórax y de las colonografías por tomografía (O'Sullivan et al., 2018). Cada hallazgo abre una pregunta que antes no existía, y la pregunta pide otro examen. En una encuesta nacional a internistas estadounidenses, el 99,4% había vivido cascadas de atención tras un hallazgo incidental, y relataron daño psicológico para sus pacientes en el 68,4%, daño físico en el 15,6% y una carga económica en el 57,5% (Ganguli et al., 2019). El nódulo de 6 milímetros de la primera escena ya empezó la suya. Y el hallazgo, como toda frase, viaja: «nódulo tiroideo en estudio» puede seguir en la ficha años después, sin que nadie recuerde por qué se buscó.</w:t>
      </w:r>
    </w:p>
    <w:p>
      <w:pPr>
        <w:pStyle w:val="Heading3"/>
        <w:keepNext/>
        <w:keepLines/>
        <w:spacing w:after="120" w:before="280"/>
      </w:pPr>
      <w:r>
        <w:rPr>
          <w:rFonts w:ascii="Gelasio" w:cs="Gelasio" w:eastAsia="Gelasio" w:hAnsi="Gelasio"/>
          <w:b/>
          <w:bCs/>
          <w:color w:val="2B2B2B"/>
          <w:sz w:val="25"/>
          <w:szCs w:val="25"/>
        </w:rPr>
        <w:t xml:space="preserve">La herramienta: «si sale…, haré…»</w:t>
      </w:r>
    </w:p>
    <w:p>
      <w:pPr>
        <w:pStyle w:val="BodyJ"/>
        <w:keepNext/>
      </w:pPr>
      <w:r>
        <w:t xml:space="preserve">Antes de pedir un examen, una línea por resultado posible: «si sale X, haré A; si sale Y, haré B». Si A y B son iguales, el examen no se pide, salvo que el paciente lo quiera por razones propias, y entonces se escribe así. La regla cabe en la capa D de HII-D: cada examen pendiente lleva su propósito y lo que se hará con cada resultado, junto al plazo y al responsable que ya pide el bloque de reevaluación del Apéndice A. En los dos casos del capítulo, las líneas se escriben solas:</w:t>
      </w:r>
    </w:p>
    <w:p>
      <w:pPr>
        <w:pStyle w:val="Quote1"/>
      </w:pPr>
      <w:r>
        <w:t xml:space="preserve">Ecografía tiroidea: si muestra tiroiditis, levotiroxina; si es normal, levotiroxina; si muestra un nódulo pequeño, levotiroxina y un estudio que nadie buscaba. No se pide.</w:t>
      </w:r>
    </w:p>
    <w:p>
      <w:pPr>
        <w:pStyle w:val="Quote1"/>
      </w:pPr>
      <w:r>
        <w:t xml:space="preserve">ANA en dolor difuso sin signos de autoinmunidad: si es negativo, seguir estudiando el dolor; si es positivo a título bajo, seguir estudiando el dolor, con un rótulo y una interconsulta. No se pide; se pedirá si aparecen artritis, fotosensibilidad, citopenias o compromiso renal.</w:t>
      </w:r>
    </w:p>
    <w:p>
      <w:pPr>
        <w:pStyle w:val="Heading3"/>
        <w:keepNext/>
        <w:keepLines/>
        <w:spacing w:after="120" w:before="280"/>
      </w:pPr>
      <w:r>
        <w:rPr>
          <w:rFonts w:ascii="Gelasio" w:cs="Gelasio" w:eastAsia="Gelasio" w:hAnsi="Gelasio"/>
          <w:b/>
          <w:bCs/>
          <w:color w:val="2B2B2B"/>
          <w:sz w:val="25"/>
          <w:szCs w:val="25"/>
        </w:rPr>
        <w:t xml:space="preserve">Lo que no debe concluirse</w:t>
      </w:r>
    </w:p>
    <w:p>
      <w:pPr>
        <w:pStyle w:val="BodyJ"/>
        <w:keepNext w:val="false"/>
      </w:pPr>
      <w:r>
        <w:t xml:space="preserve">Esto no es un alegato contra los exámenes. El que puede cambiar la conducta hay que pedirlo, y pedirlo a tiempo; la omisión también mata, y el capítulo 7 midió cuánto. La simetría es la del capítulo 10: hay errores por exceso y por defecto, y ninguno es inocente por ser el contrario del otro. La pregunta no es «¿pido o no pido?», sino «¿qué haré con cada resultado?». Cuando la respuesta distingue, se pide; cuando no distingue, la duda se deja escrita y se vuelve a mirar si el cuadro cambia.</w:t>
      </w:r>
    </w:p>
    <w:p>
      <w:pPr>
        <w:pStyle w:val="EnUnaFrase"/>
      </w:pPr>
      <w:r>
        <w:rPr>
          <w:b/>
          <w:bCs/>
        </w:rPr>
        <w:t xml:space="preserve">En una frase.</w:t>
      </w:r>
      <w:r>
        <w:t xml:space="preserve"> Un examen vale lo que su resultado puede cambiar —una conducta, una vigilancia o algo que el paciente necesita saber—; si no cambia nada para nadie, no es prudencia sino ruido con costo, y la duda que no cambia la conducta se declara y se deja.</w:t>
      </w:r>
    </w:p>
    <w:p>
      <w:pPr>
        <w:pStyle w:val="BodyJ"/>
        <w:keepNext/>
        <w:spacing w:after="80" w:before="160"/>
      </w:pPr>
      <w:r>
        <w:rPr>
          <w:b/>
          <w:bCs/>
        </w:rPr>
        <w:t xml:space="preserve">Tres preguntas para la próxima visita.</w:t>
      </w:r>
    </w:p>
    <w:p>
      <w:pPr>
        <w:pStyle w:val="BodyJ"/>
        <w:keepNext/>
        <w:numPr>
          <w:ilvl w:val="0"/>
          <w:numId w:val="15"/>
        </w:numPr>
      </w:pPr>
      <w:r>
        <w:t xml:space="preserve">De los exámenes que pedí esta semana, ¿cuál habría pedido igual si antes hubiera escrito qué haría con cada resultado?</w:t>
      </w:r>
    </w:p>
    <w:p>
      <w:pPr>
        <w:pStyle w:val="BodyJ"/>
        <w:keepNext/>
        <w:numPr>
          <w:ilvl w:val="0"/>
          <w:numId w:val="15"/>
        </w:numPr>
      </w:pPr>
      <w:r>
        <w:t xml:space="preserve">¿Qué duda de mi paciente más complejo conviene declarar y dejar, en vez de perseguir?</w:t>
      </w:r>
    </w:p>
    <w:p>
      <w:pPr>
        <w:pStyle w:val="BodyJ"/>
        <w:keepNext w:val="false"/>
        <w:numPr>
          <w:ilvl w:val="0"/>
          <w:numId w:val="15"/>
        </w:numPr>
      </w:pPr>
      <w:r>
        <w:t xml:space="preserve">El último examen que pedí para tranquilizar, ¿a quién tranquilizaba: al paciente o a mí?</w:t>
      </w:r>
    </w:p>
    <w:p>
      <w:pPr>
        <w:pStyle w:val="Heading2"/>
        <w:keepNext/>
        <w:keepLines/>
        <w:pageBreakBefore/>
        <w:spacing w:after="300" w:before="600"/>
      </w:pPr>
      <w:r>
        <w:rPr>
          <w:rFonts w:ascii="Gelasio" w:cs="Gelasio" w:eastAsia="Gelasio" w:hAnsi="Gelasio"/>
          <w:b/>
          <w:bCs/>
          <w:color w:val="8C2F2F"/>
          <w:sz w:val="22"/>
          <w:szCs w:val="22"/>
        </w:rPr>
        <w:t xml:space="preserve">Capítulo 12</w:t>
      </w:r>
      <w:r>
        <w:rPr>
          <w:rFonts w:ascii="Gelasio" w:cs="Gelasio" w:eastAsia="Gelasio" w:hAnsi="Gelasio"/>
          <w:b/>
          <w:bCs/>
          <w:color w:val="3D5A6C"/>
          <w:sz w:val="32"/>
          <w:szCs w:val="32"/>
        </w:rPr>
        <w:br/>
        <w:t xml:space="preserve">Temporalidad, trayectoria y razonamiento contrafactual</w:t>
      </w:r>
    </w:p>
    <w:p>
      <w:pPr>
        <w:pStyle w:val="BodyJ"/>
        <w:keepNext w:val="false"/>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keepNext/>
        <w:keepLines/>
        <w:spacing w:after="120" w:before="280"/>
      </w:pPr>
      <w:r>
        <w:rPr>
          <w:rFonts w:ascii="Gelasio" w:cs="Gelasio" w:eastAsia="Gelasio" w:hAnsi="Gelasio"/>
          <w:b/>
          <w:bCs/>
          <w:color w:val="2B2B2B"/>
          <w:sz w:val="25"/>
          <w:szCs w:val="25"/>
        </w:rPr>
        <w:t xml:space="preserve">El caso clínico es una trayectoria</w:t>
      </w:r>
    </w:p>
    <w:p>
      <w:pPr>
        <w:pStyle w:val="BodyJ"/>
        <w:keepNext w:val="false"/>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keepNext w:val="false"/>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keepNext/>
        <w:keepLines/>
        <w:spacing w:after="120" w:before="280"/>
      </w:pPr>
      <w:r>
        <w:rPr>
          <w:rFonts w:ascii="Gelasio" w:cs="Gelasio" w:eastAsia="Gelasio" w:hAnsi="Gelasio"/>
          <w:b/>
          <w:bCs/>
          <w:color w:val="2B2B2B"/>
          <w:sz w:val="25"/>
          <w:szCs w:val="25"/>
        </w:rPr>
        <w:t xml:space="preserve">El tiempo como fuente de evidencia</w:t>
      </w:r>
    </w:p>
    <w:p>
      <w:pPr>
        <w:pStyle w:val="BodyJ"/>
        <w:keepNext w:val="false"/>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keepNext w:val="false"/>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Una predicción útil lleva, entonces, su plazo escrito: no «PCR en descenso», sino «PCR en descenso al cuarto día».</w:t>
      </w:r>
    </w:p>
    <w:p>
      <w:pPr>
        <w:pStyle w:val="BodyJ"/>
        <w:keepNext w:val="false"/>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keepNext w:val="false"/>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keepNext/>
        <w:keepLines/>
        <w:spacing w:after="120" w:before="280"/>
      </w:pPr>
      <w:r>
        <w:rPr>
          <w:rFonts w:ascii="Gelasio" w:cs="Gelasio" w:eastAsia="Gelasio" w:hAnsi="Gelasio"/>
          <w:b/>
          <w:bCs/>
          <w:color w:val="2B2B2B"/>
          <w:sz w:val="25"/>
          <w:szCs w:val="25"/>
        </w:rPr>
        <w:t xml:space="preserve">Tiempo, reversibilidad y umbral</w:t>
      </w:r>
    </w:p>
    <w:p>
      <w:pPr>
        <w:pStyle w:val="BodyJ"/>
        <w:keepNext w:val="false"/>
      </w:pPr>
      <w:r>
        <w:t xml:space="preserve">La misma probabilidad conduce a decisiones distintas según el tiempo: el umbral del capítulo 10 no está fijo en el eje temporal. Cuando el daño progresa rápidamente, el valor de esperar información disminuye. Cuando la conducta es reversible, puede iniciarse con un umbral menor y reevaluarse. Cuando es irreversible, la deliberación debe ser más exigente —y el tiempo que se compra con una medida reversible es, a menudo, la mejor inversión diagnóstica disponible—.</w:t>
      </w:r>
    </w:p>
    <w:p>
      <w:pPr>
        <w:pStyle w:val="BodyJ"/>
        <w:keepNext w:val="false"/>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(Apéndice D) pone la alternativa —esperar con diseño— por escrito.</w:t>
      </w:r>
    </w:p>
    <w:p>
      <w:pPr>
        <w:pStyle w:val="BodyJ"/>
        <w:keepNext w:val="false"/>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que en la ciudad ordena una observación se convierte aquí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keepNext/>
        <w:keepLines/>
        <w:spacing w:after="120" w:before="280"/>
      </w:pPr>
      <w:r>
        <w:rPr>
          <w:rFonts w:ascii="Gelasio" w:cs="Gelasio" w:eastAsia="Gelasio" w:hAnsi="Gelasio"/>
          <w:b/>
          <w:bCs/>
          <w:color w:val="2B2B2B"/>
          <w:sz w:val="25"/>
          <w:szCs w:val="25"/>
        </w:rPr>
        <w:t xml:space="preserve">Causalidad y contrafactuales</w:t>
      </w:r>
    </w:p>
    <w:p>
      <w:pPr>
        <w:pStyle w:val="BodyJ"/>
        <w:keepNext w:val="false"/>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keepNext w:val="false"/>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keepNext/>
        <w:keepLines/>
        <w:spacing w:after="120" w:before="280"/>
      </w:pPr>
      <w:r>
        <w:rPr>
          <w:rFonts w:ascii="Gelasio" w:cs="Gelasio" w:eastAsia="Gelasio" w:hAnsi="Gelasio"/>
          <w:b/>
          <w:bCs/>
          <w:color w:val="2B2B2B"/>
          <w:sz w:val="25"/>
          <w:szCs w:val="25"/>
        </w:rPr>
        <w:t xml:space="preserve">Puntos de inflexión</w:t>
      </w:r>
    </w:p>
    <w:p>
      <w:pPr>
        <w:pStyle w:val="BodyJ"/>
        <w:keepNext w:val="false"/>
      </w:pPr>
      <w:r>
        <w:t xml:space="preserve">Algunas evoluciones cambian cualitativamente el caso. Una recurrencia menor puede convertirse en un episodio con shock; una enfermedad estable puede adquirir disfunción orgánica; una respuesta inicial puede dar paso a deterioro. El cuarto episodio de Carmen es el ejemplo de este libro: no fue uno más de la serie, sino el que cambió de categoría, y la trayectoria —intervalos cada vez más cortos, primer shock— pesó más que cualquier dato aislado. El punto de inflexión no es sólo otro dato: redefine el riesgo de estrategias futuras. La frase medular debe hacerlo visible.</w:t>
      </w:r>
    </w:p>
    <w:p>
      <w:pPr>
        <w:pStyle w:val="BodyJ"/>
        <w:keepNext w:val="false"/>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keepNext w:val="false"/>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keepNext/>
        <w:spacing w:after="80" w:before="160"/>
      </w:pPr>
      <w:r>
        <w:rPr>
          <w:b/>
          <w:bCs/>
        </w:rPr>
        <w:t xml:space="preserve">Tres preguntas para la próxima visita.</w:t>
      </w:r>
    </w:p>
    <w:p>
      <w:pPr>
        <w:pStyle w:val="BodyJ"/>
        <w:keepNext/>
        <w:numPr>
          <w:ilvl w:val="0"/>
          <w:numId w:val="16"/>
        </w:numPr>
      </w:pPr>
      <w:r>
        <w:t xml:space="preserve">«Está mejor»: ¿mejor que cuándo, en qué variable y a qué velocidad?</w:t>
      </w:r>
    </w:p>
    <w:p>
      <w:pPr>
        <w:pStyle w:val="BodyJ"/>
        <w:keepNext/>
        <w:numPr>
          <w:ilvl w:val="0"/>
          <w:numId w:val="16"/>
        </w:numPr>
      </w:pPr>
      <w:r>
        <w:t xml:space="preserve">¿Qué predijo mi diagnóstico hace 48 horas, y la evolución lo confirmó o lo desmintió?</w:t>
      </w:r>
    </w:p>
    <w:p>
      <w:pPr>
        <w:pStyle w:val="BodyJ"/>
        <w:keepNext w:val="false"/>
        <w:numPr>
          <w:ilvl w:val="0"/>
          <w:numId w:val="16"/>
        </w:numPr>
      </w:pPr>
      <w:r>
        <w:t xml:space="preserve">Mi «observación» de hoy, ¿tiene plazo, variables y criterio de salida, o es una espera sin diseño?</w:t>
      </w:r>
    </w:p>
    <w:p>
      <w:pPr>
        <w:pStyle w:val="Heading2"/>
        <w:keepNext/>
        <w:keepLines/>
        <w:pageBreakBefore/>
        <w:spacing w:after="300" w:before="600"/>
      </w:pPr>
      <w:r>
        <w:rPr>
          <w:rFonts w:ascii="Gelasio" w:cs="Gelasio" w:eastAsia="Gelasio" w:hAnsi="Gelasio"/>
          <w:b/>
          <w:bCs/>
          <w:color w:val="8C2F2F"/>
          <w:sz w:val="22"/>
          <w:szCs w:val="22"/>
        </w:rPr>
        <w:t xml:space="preserve">Capítulo 13</w:t>
      </w:r>
      <w:r>
        <w:rPr>
          <w:rFonts w:ascii="Gelasio" w:cs="Gelasio" w:eastAsia="Gelasio" w:hAnsi="Gelasio"/>
          <w:b/>
          <w:bCs/>
          <w:color w:val="3D5A6C"/>
          <w:sz w:val="32"/>
          <w:szCs w:val="32"/>
        </w:rPr>
        <w:br/>
        <w:t xml:space="preserve">La ficha clínica como instrumento de pensamiento</w:t>
      </w:r>
    </w:p>
    <w:p>
      <w:pPr>
        <w:pStyle w:val="BodyJ"/>
        <w:keepNext w:val="false"/>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keepNext/>
        <w:keepLines/>
        <w:spacing w:after="120" w:before="280"/>
      </w:pPr>
      <w:r>
        <w:rPr>
          <w:rFonts w:ascii="Gelasio" w:cs="Gelasio" w:eastAsia="Gelasio" w:hAnsi="Gelasio"/>
          <w:b/>
          <w:bCs/>
          <w:color w:val="2B2B2B"/>
          <w:sz w:val="25"/>
          <w:szCs w:val="25"/>
        </w:rPr>
        <w:t xml:space="preserve">Registrar no es archivar: la ficha produce lo visible</w:t>
      </w:r>
    </w:p>
    <w:p>
      <w:pPr>
        <w:pStyle w:val="BodyJ"/>
        <w:keepNext w:val="false"/>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keepNext w:val="false"/>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BodyJ"/>
        <w:keepNext w:val="false"/>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La segunda frase es de Carmen (capítulo 1), y el ejemplo no es hipotético: la plantilla decide si una frase así llega al siguiente turno. Lo que no cabe en el formulario no se pierde por descuido; se pierde por diseño.</w:t>
      </w:r>
    </w:p>
    <w:p>
      <w:pPr>
        <w:pStyle w:val="BodyJ"/>
        <w:keepNext w:val="false"/>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la crítica del formulario: preguntar qué vuelve visible, qué vuelve invisible y a quién sirve esa distribución. El médico no siempre puede rediseñar la plantilla; siempre puede saber qué le está haciendo a su percepción.</w:t>
      </w:r>
    </w:p>
    <w:p>
      <w:pPr>
        <w:pStyle w:val="BodyJ"/>
        <w:keepNext w:val="false"/>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keepNext/>
        <w:keepLines/>
        <w:spacing w:after="120" w:before="280"/>
      </w:pPr>
      <w:r>
        <w:rPr>
          <w:rFonts w:ascii="Gelasio" w:cs="Gelasio" w:eastAsia="Gelasio" w:hAnsi="Gelasio"/>
          <w:b/>
          <w:bCs/>
          <w:color w:val="2B2B2B"/>
          <w:sz w:val="25"/>
          <w:szCs w:val="25"/>
        </w:rPr>
        <w:t xml:space="preserve">El problema como unidad</w:t>
      </w:r>
    </w:p>
    <w:p>
      <w:pPr>
        <w:pStyle w:val="BodyJ"/>
        <w:keepNext w:val="false"/>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keepNext w:val="false"/>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caracteres de una evolución típica, entonces, no se escribieron el día en que aparecen firmados; cuántos se volvieron a leer y a pensar antes de firmar, el estudio no lo midió. La escala es de sistema, no de individuo: en más de cien millones de notas de un mismo sistema universitario, la mitad del texto (50,1%) repetía texto anterior sobre el mismo paciente, y la proporción subió de 33,0% en 2015 a 54,2% en 2020; los autores advierten que prohibir copiar y pegar puede empeorar otro problema, la dispersión de la información (Steinkamp et al., 2022).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La matriz HII-D y la frase medular</w:t>
      </w:r>
    </w:p>
    <w:p>
      <w:pPr>
        <w:pStyle w:val="BodyJ"/>
        <w:keepNext/>
      </w:pPr>
      <w:r>
        <w:t xml:space="preserve">Puede aplicarse una secuencia simple:</w:t>
      </w:r>
    </w:p>
    <w:p>
      <w:pPr>
        <w:pStyle w:val="BodyJ"/>
        <w:keepNext/>
        <w:numPr>
          <w:ilvl w:val="0"/>
          <w:numId w:val="5"/>
        </w:numPr>
      </w:pPr>
      <w:r>
        <w:rPr>
          <w:b/>
          <w:bCs/>
        </w:rPr>
        <w:t xml:space="preserve">H — Hechos</w:t>
      </w:r>
      <w:r>
        <w:t xml:space="preserve">: datos relevantes, fuente, fecha y evolución.</w:t>
      </w:r>
    </w:p>
    <w:p>
      <w:pPr>
        <w:pStyle w:val="BodyJ"/>
        <w:keepNext/>
        <w:numPr>
          <w:ilvl w:val="0"/>
          <w:numId w:val="5"/>
        </w:numPr>
      </w:pPr>
      <w:r>
        <w:rPr>
          <w:b/>
          <w:bCs/>
        </w:rPr>
        <w:t xml:space="preserve">I — Inferencias</w:t>
      </w:r>
      <w:r>
        <w:t xml:space="preserve">: diagnóstico o mecanismo propuesto, con grado de respaldo.</w:t>
      </w:r>
    </w:p>
    <w:p>
      <w:pPr>
        <w:pStyle w:val="BodyJ"/>
        <w:keepNext/>
        <w:numPr>
          <w:ilvl w:val="0"/>
          <w:numId w:val="5"/>
        </w:numPr>
      </w:pPr>
      <w:r>
        <w:rPr>
          <w:b/>
          <w:bCs/>
        </w:rPr>
        <w:t xml:space="preserve">I — Incertidumbre</w:t>
      </w:r>
      <w:r>
        <w:t xml:space="preserve">: alternativas, límites de pruebas y preguntas abiertas.</w:t>
      </w:r>
    </w:p>
    <w:p>
      <w:pPr>
        <w:pStyle w:val="BodyJ"/>
        <w:keepNext w:val="false"/>
        <w:numPr>
          <w:ilvl w:val="0"/>
          <w:numId w:val="5"/>
        </w:numPr>
      </w:pPr>
      <w:r>
        <w:rPr>
          <w:b/>
          <w:bCs/>
        </w:rPr>
        <w:t xml:space="preserve">D — Decisión</w:t>
      </w:r>
      <w:r>
        <w:t xml:space="preserve">: conducta, razón, umbral y criterio de reapertura.</w:t>
      </w:r>
    </w:p>
    <w:p>
      <w:pPr>
        <w:pStyle w:val="BodyJ"/>
        <w:keepNext w:val="false"/>
      </w:pPr>
      <w:r>
        <w:t xml:space="preserve">No es necesario rotular cada párrafo. La estructura puede estar implícita, pero debe ser recuperable. En casos complejos, explicitarla reduce ambigüedad.</w:t>
      </w:r>
    </w:p>
    <w:p>
      <w:pPr>
        <w:pStyle w:val="BodyJ"/>
        <w:keepNext w:val="false"/>
      </w:pPr>
      <w:r>
        <w:t xml:space="preserve">Ejemplo:</w:t>
      </w:r>
    </w:p>
    <w:p>
      <w:pPr>
        <w:pStyle w:val="BodyJ"/>
        <w:keepNext w:val="false"/>
      </w:pPr>
      <w:r>
        <w:rPr>
          <w:i/>
          <w:iCs/>
        </w:rPr>
        <w:t xml:space="preserve">Hechos:</w:t>
      </w:r>
      <w:r>
        <w:t xml:space="preserve"> paciente con lesión medular, vejiga neurogénica y sonda Foley permanente; presenta orina turbia, piuria y urocultivo positivo tras recambio reciente del catéter, y cumple tres días de antibiótico indicado como pielonefritis. Se mantiene afebril, hemodinámicamente estable y sin deterioro respecto de su basal. Parámetros inflamatorios elevados, sin valores anteriores al ingreso, en contexto de un cáncer renal metastásico activo. Antecedente documentado de colonización previa por enterobacteria multirresistente.</w:t>
      </w:r>
    </w:p>
    <w:p>
      <w:pPr>
        <w:pStyle w:val="BodyJ"/>
        <w:keepNext w:val="false"/>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keepNext w:val="false"/>
      </w:pPr>
      <w:r>
        <w:rPr>
          <w:i/>
          <w:iCs/>
        </w:rPr>
        <w:t xml:space="preserve">Incertidumbre:</w:t>
      </w:r>
      <w:r>
        <w:t xml:space="preserve"> los síntomas urinarios bajos clásicos no son evaluables por su lesión medular; el riesgo es subestimar una infección incipiente de expresión atípica.</w:t>
      </w:r>
    </w:p>
    <w:p>
      <w:pPr>
        <w:pStyle w:val="BodyJ"/>
        <w:keepNext w:val="false"/>
      </w:pPr>
      <w:r>
        <w:rPr>
          <w:i/>
          <w:iCs/>
        </w:rPr>
        <w:t xml:space="preserve">Decisión:</w:t>
      </w:r>
      <w:r>
        <w:t xml:space="preserve"> suspender el antibiótico, porque la bacteriuria asintomática no se trata en pacientes con lesión medular (Nicolle et al., 2019).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volver a prescribir.</w:t>
      </w:r>
    </w:p>
    <w:p>
      <w:pPr>
        <w:pStyle w:val="BodyJ"/>
        <w:keepNext w:val="false"/>
      </w:pPr>
      <w:r>
        <w:t xml:space="preserve">Después de ordenar el caso, el paso siguiente es formular una frase medular. No reemplaza la evolución completa; ofrece una representación operativa. Debe incluir la naturaleza del evento, la inferencia con su grado, la incertidumbre crítica —el límite principal de certeza, que suele ser el elemento que cambia el riesgo— y el efecto sobre la conducta.</w:t>
      </w:r>
    </w:p>
    <w:p>
      <w:pPr>
        <w:pStyle w:val="BodyJ"/>
        <w:keepNext w:val="false"/>
      </w:pPr>
      <w:r>
        <w:t xml:space="preserve">En el caso anterior: «Bacteriuria y piuria tras recambio de sonda Foley en paciente con vejiga neurogénica y antecedente de colonización multirresistente, sin signos sistémicos ni autonómicos que configuren infección activa; se suspende la antibioterapia bajo vigilancia dirigida para evitar selección de resistencia.»</w:t>
      </w:r>
    </w:p>
    <w:p>
      <w:pPr>
        <w:pStyle w:val="BodyJ"/>
        <w:keepNext w:val="false"/>
      </w:pPr>
      <w:r>
        <w:t xml:space="preserve">La frase contiene una inferencia y una conducta. No declara que la infección sea imposible. Explica por qué la evidencia actual no supera el umbral terapéutico.</w:t>
      </w:r>
    </w:p>
    <w:p>
      <w:pPr>
        <w:pStyle w:val="Heading3"/>
        <w:keepNext/>
        <w:keepLines/>
        <w:spacing w:after="120" w:before="280"/>
      </w:pPr>
      <w:r>
        <w:rPr>
          <w:rFonts w:ascii="Gelasio" w:cs="Gelasio" w:eastAsia="Gelasio" w:hAnsi="Gelasio"/>
          <w:b/>
          <w:bCs/>
          <w:color w:val="2B2B2B"/>
          <w:sz w:val="25"/>
          <w:szCs w:val="25"/>
        </w:rPr>
        <w:t xml:space="preserve">La ficha de resultados y la ficha de proceso</w:t>
      </w:r>
    </w:p>
    <w:p>
      <w:pPr>
        <w:pStyle w:val="BodyJ"/>
        <w:keepNext w:val="false"/>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keepNext w:val="false"/>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Heading3"/>
        <w:keepNext/>
        <w:keepLines/>
        <w:spacing w:after="120" w:before="280"/>
      </w:pPr>
      <w:r>
        <w:rPr>
          <w:rFonts w:ascii="Gelasio" w:cs="Gelasio" w:eastAsia="Gelasio" w:hAnsi="Gelasio"/>
          <w:b/>
          <w:bCs/>
          <w:color w:val="2B2B2B"/>
          <w:sz w:val="25"/>
          <w:szCs w:val="25"/>
        </w:rPr>
        <w:t xml:space="preserve">La neumonía escrita como proceso</w:t>
      </w:r>
    </w:p>
    <w:p>
      <w:pPr>
        <w:pStyle w:val="BodyJ"/>
        <w:keepNext/>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keepNext w:val="false"/>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(Metlay et al., 2019). La actualización de 2024 de la Society of Critical Care Medicine, ya con ese ensayo sobre la mesa, los recomienda en la neumonía bacteriana grave hospitalizada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keepNext w:val="false"/>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12 describió. Y la dejó anotada antes de que llegara el resultado: «una PCR alta a las 48 horas con paciente bien no reabre el caso; una PCR que no cae al cuarto día, sí».</w:t>
      </w:r>
    </w:p>
    <w:p>
      <w:pPr>
        <w:pStyle w:val="Heading3"/>
        <w:keepNext/>
        <w:keepLines/>
        <w:spacing w:after="120" w:before="280"/>
      </w:pPr>
      <w:r>
        <w:rPr>
          <w:rFonts w:ascii="Gelasio" w:cs="Gelasio" w:eastAsia="Gelasio" w:hAnsi="Gelasio"/>
          <w:b/>
          <w:bCs/>
          <w:color w:val="2B2B2B"/>
          <w:sz w:val="25"/>
          <w:szCs w:val="25"/>
        </w:rPr>
        <w:t xml:space="preserve">Temporalidad y revisión</w:t>
      </w:r>
    </w:p>
    <w:p>
      <w:pPr>
        <w:pStyle w:val="BodyJ"/>
        <w:keepNext w:val="false"/>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keepNext w:val="false"/>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keepNext/>
        <w:spacing w:after="80" w:before="160"/>
      </w:pPr>
      <w:r>
        <w:rPr>
          <w:b/>
          <w:bCs/>
        </w:rPr>
        <w:t xml:space="preserve">Tres preguntas para la próxima visita.</w:t>
      </w:r>
    </w:p>
    <w:p>
      <w:pPr>
        <w:pStyle w:val="BodyJ"/>
        <w:keepNext/>
        <w:numPr>
          <w:ilvl w:val="0"/>
          <w:numId w:val="17"/>
        </w:numPr>
      </w:pPr>
      <w:r>
        <w:t xml:space="preserve">¿Qué párrafo de mi evolución de hoy es copia de ayer, y sigue siendo verdad?</w:t>
      </w:r>
    </w:p>
    <w:p>
      <w:pPr>
        <w:pStyle w:val="BodyJ"/>
        <w:keepNext/>
        <w:numPr>
          <w:ilvl w:val="0"/>
          <w:numId w:val="17"/>
        </w:numPr>
      </w:pPr>
      <w:r>
        <w:t xml:space="preserve">Si yo no estuviera mañana, ¿el médico que me reemplace sabría por mi nota qué vigilar y qué reabriría el caso?</w:t>
      </w:r>
    </w:p>
    <w:p>
      <w:pPr>
        <w:pStyle w:val="BodyJ"/>
        <w:keepNext w:val="false"/>
        <w:numPr>
          <w:ilvl w:val="0"/>
          <w:numId w:val="17"/>
        </w:numPr>
      </w:pPr>
      <w:r>
        <w:t xml:space="preserve">¿Mi lista de problemas distingue hechos, hipótesis, acciones pendientes e incertidumbres, o todo tiene el mismo estatus?</w:t>
      </w:r>
    </w:p>
    <w:p>
      <w:pPr>
        <w:pStyle w:val="Heading2"/>
        <w:keepNext/>
        <w:keepLines/>
        <w:pageBreakBefore/>
        <w:spacing w:after="300" w:before="600"/>
      </w:pPr>
      <w:r>
        <w:rPr>
          <w:rFonts w:ascii="Gelasio" w:cs="Gelasio" w:eastAsia="Gelasio" w:hAnsi="Gelasio"/>
          <w:b/>
          <w:bCs/>
          <w:color w:val="8C2F2F"/>
          <w:sz w:val="22"/>
          <w:szCs w:val="22"/>
        </w:rPr>
        <w:t xml:space="preserve">Capítulo 14</w:t>
      </w:r>
      <w:r>
        <w:rPr>
          <w:rFonts w:ascii="Gelasio" w:cs="Gelasio" w:eastAsia="Gelasio" w:hAnsi="Gelasio"/>
          <w:b/>
          <w:bCs/>
          <w:color w:val="3D5A6C"/>
          <w:sz w:val="32"/>
          <w:szCs w:val="32"/>
        </w:rPr>
        <w:br/>
        <w:t xml:space="preserve">Pensar con otros: equipos, desacuerdo y comunicación de la incertidumbre</w:t>
      </w:r>
    </w:p>
    <w:p>
      <w:pPr>
        <w:pStyle w:val="BodyJ"/>
        <w:keepNext w:val="false"/>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keepNext/>
        <w:keepLines/>
        <w:spacing w:after="120" w:before="280"/>
      </w:pPr>
      <w:r>
        <w:rPr>
          <w:rFonts w:ascii="Gelasio" w:cs="Gelasio" w:eastAsia="Gelasio" w:hAnsi="Gelasio"/>
          <w:b/>
          <w:bCs/>
          <w:color w:val="2B2B2B"/>
          <w:sz w:val="25"/>
          <w:szCs w:val="25"/>
        </w:rPr>
        <w:t xml:space="preserve">La mente clínica no termina en el cráneo</w:t>
      </w:r>
    </w:p>
    <w:p>
      <w:pPr>
        <w:pStyle w:val="BodyJ"/>
        <w:keepNext w:val="false"/>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keepNext w:val="false"/>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keepNext w:val="false"/>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keepNext/>
        <w:keepLines/>
        <w:spacing w:after="120" w:before="280"/>
      </w:pPr>
      <w:r>
        <w:rPr>
          <w:rFonts w:ascii="Gelasio" w:cs="Gelasio" w:eastAsia="Gelasio" w:hAnsi="Gelasio"/>
          <w:b/>
          <w:bCs/>
          <w:color w:val="2B2B2B"/>
          <w:sz w:val="25"/>
          <w:szCs w:val="25"/>
        </w:rPr>
        <w:t xml:space="preserve">Transferir es transformar</w:t>
      </w:r>
    </w:p>
    <w:p>
      <w:pPr>
        <w:pStyle w:val="BodyJ"/>
        <w:keepNext w:val="false"/>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keepNext w:val="false"/>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keepNext w:val="false"/>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keepNext/>
        <w:keepLines/>
        <w:spacing w:after="120" w:before="280"/>
      </w:pPr>
      <w:r>
        <w:rPr>
          <w:rFonts w:ascii="Gelasio" w:cs="Gelasio" w:eastAsia="Gelasio" w:hAnsi="Gelasio"/>
          <w:b/>
          <w:bCs/>
          <w:color w:val="2B2B2B"/>
          <w:sz w:val="25"/>
          <w:szCs w:val="25"/>
        </w:rPr>
        <w:t xml:space="preserve">El desacuerdo como instrumento y el diseño para la corrección</w:t>
      </w:r>
    </w:p>
    <w:p>
      <w:pPr>
        <w:pStyle w:val="BodyJ"/>
        <w:keepNext w:val="false"/>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keepNext w:val="false"/>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keepNext w:val="false"/>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BodyJ"/>
        <w:keepNext w:val="false"/>
      </w:pPr>
      <w:r>
        <w:t xml:space="preserve">Ese lenguaje común necesita un sistema que lo sostenga. 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Las National Academies conceptualizaron el diagnóstico como un proceso de equipo y aprendizaje continuo, no como un acto aislado (National Academies of Sciences, Engineering, and Medicine, 2015).</w:t>
      </w:r>
    </w:p>
    <w:p>
      <w:pPr>
        <w:pStyle w:val="BodyJ"/>
        <w:keepNext w:val="false"/>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keepNext/>
        <w:keepLines/>
        <w:spacing w:after="120" w:before="280"/>
      </w:pPr>
      <w:r>
        <w:rPr>
          <w:rFonts w:ascii="Gelasio" w:cs="Gelasio" w:eastAsia="Gelasio" w:hAnsi="Gelasio"/>
          <w:b/>
          <w:bCs/>
          <w:color w:val="2B2B2B"/>
          <w:sz w:val="25"/>
          <w:szCs w:val="25"/>
        </w:rPr>
        <w:t xml:space="preserve">Comunicar incertidumbre sin perder confianza</w:t>
      </w:r>
    </w:p>
    <w:p>
      <w:pPr>
        <w:pStyle w:val="BodyJ"/>
        <w:keepNext w:val="false"/>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keepNext w:val="false"/>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keepNext/>
      </w:pPr>
      <w:r>
        <w:t xml:space="preserve">Una comunicación útil incluye cuatro elementos:</w:t>
      </w:r>
    </w:p>
    <w:p>
      <w:pPr>
        <w:pStyle w:val="BodyJ"/>
        <w:keepNext/>
        <w:numPr>
          <w:ilvl w:val="0"/>
          <w:numId w:val="18"/>
        </w:numPr>
      </w:pPr>
      <w:r>
        <w:rPr>
          <w:b/>
          <w:bCs/>
        </w:rPr>
        <w:t xml:space="preserve">Qué sabemos</w:t>
      </w:r>
      <w:r>
        <w:t xml:space="preserve">: hallazgos confirmados y su relevancia.</w:t>
      </w:r>
    </w:p>
    <w:p>
      <w:pPr>
        <w:pStyle w:val="BodyJ"/>
        <w:keepNext/>
        <w:numPr>
          <w:ilvl w:val="0"/>
          <w:numId w:val="18"/>
        </w:numPr>
      </w:pPr>
      <w:r>
        <w:rPr>
          <w:b/>
          <w:bCs/>
        </w:rPr>
        <w:t xml:space="preserve">Qué creemos</w:t>
      </w:r>
      <w:r>
        <w:t xml:space="preserve">: explicación principal y alternativas importantes.</w:t>
      </w:r>
    </w:p>
    <w:p>
      <w:pPr>
        <w:pStyle w:val="BodyJ"/>
        <w:keepNext/>
        <w:numPr>
          <w:ilvl w:val="0"/>
          <w:numId w:val="18"/>
        </w:numPr>
      </w:pPr>
      <w:r>
        <w:rPr>
          <w:b/>
          <w:bCs/>
        </w:rPr>
        <w:t xml:space="preserve">Qué no sabemos todavía</w:t>
      </w:r>
      <w:r>
        <w:t xml:space="preserve">: límites concretos.</w:t>
      </w:r>
    </w:p>
    <w:p>
      <w:pPr>
        <w:pStyle w:val="BodyJ"/>
        <w:keepNext w:val="false"/>
        <w:numPr>
          <w:ilvl w:val="0"/>
          <w:numId w:val="18"/>
        </w:numPr>
      </w:pPr>
      <w:r>
        <w:rPr>
          <w:b/>
          <w:bCs/>
        </w:rPr>
        <w:t xml:space="preserve">Qué haremos</w:t>
      </w:r>
      <w:r>
        <w:t xml:space="preserve">: acción, vigilancia y momento de revisión.</w:t>
      </w:r>
    </w:p>
    <w:p>
      <w:pPr>
        <w:pStyle w:val="BodyJ"/>
        <w:keepNext w:val="false"/>
      </w:pPr>
      <w:r>
        <w:t xml:space="preserve">Este esquema reduce dos riesgos: transmitir falsa seguridad y trasladar al paciente una ambigüedad no elaborada.</w:t>
      </w:r>
    </w:p>
    <w:p>
      <w:pPr>
        <w:pStyle w:val="BodyJ"/>
        <w:keepNext w:val="false"/>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keepNext/>
        <w:keepLines/>
        <w:spacing w:after="120" w:before="280"/>
      </w:pPr>
      <w:r>
        <w:rPr>
          <w:rFonts w:ascii="Gelasio" w:cs="Gelasio" w:eastAsia="Gelasio" w:hAnsi="Gelasio"/>
          <w:b/>
          <w:bCs/>
          <w:color w:val="2B2B2B"/>
          <w:sz w:val="25"/>
          <w:szCs w:val="25"/>
        </w:rPr>
        <w:t xml:space="preserve">Incertidumbre dentro del equipo</w:t>
      </w:r>
    </w:p>
    <w:p>
      <w:pPr>
        <w:pStyle w:val="BodyJ"/>
        <w:keepNext w:val="false"/>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keepNext w:val="false"/>
      </w:pPr>
      <w:r>
        <w:t xml:space="preserve">Hay una gramática para eso, y la escribió un chileno. Flores, con Winograd, describió el trabajo coordinado como una red de «conversaciones para la acción» (conversation for action):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keepNext w:val="false"/>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keepNext/>
        <w:keepLines/>
        <w:spacing w:after="120" w:before="280"/>
      </w:pPr>
      <w:r>
        <w:rPr>
          <w:rFonts w:ascii="Gelasio" w:cs="Gelasio" w:eastAsia="Gelasio" w:hAnsi="Gelasio"/>
          <w:b/>
          <w:bCs/>
          <w:color w:val="2B2B2B"/>
          <w:sz w:val="25"/>
          <w:szCs w:val="25"/>
        </w:rPr>
        <w:t xml:space="preserve">La ética de la fuerza verbal</w:t>
      </w:r>
    </w:p>
    <w:p>
      <w:pPr>
        <w:pStyle w:val="BodyJ"/>
        <w:keepNext w:val="false"/>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keepNext w:val="false"/>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keepNext/>
        <w:spacing w:after="80" w:before="160"/>
      </w:pPr>
      <w:r>
        <w:rPr>
          <w:b/>
          <w:bCs/>
        </w:rPr>
        <w:t xml:space="preserve">Tres preguntas para la próxima visita.</w:t>
      </w:r>
    </w:p>
    <w:p>
      <w:pPr>
        <w:pStyle w:val="BodyJ"/>
        <w:keepNext/>
        <w:numPr>
          <w:ilvl w:val="0"/>
          <w:numId w:val="19"/>
        </w:numPr>
      </w:pPr>
      <w:r>
        <w:t xml:space="preserve">¿Qué observó enfermería en las últimas 24 horas que no pasó por mi evaluación?</w:t>
      </w:r>
    </w:p>
    <w:p>
      <w:pPr>
        <w:pStyle w:val="BodyJ"/>
        <w:keepNext/>
        <w:numPr>
          <w:ilvl w:val="0"/>
          <w:numId w:val="19"/>
        </w:numPr>
      </w:pPr>
      <w:r>
        <w:t xml:space="preserve">En mi último desacuerdo clínico, ¿discrepábamos en hechos, inferencias, incertidumbre, valores o umbral?</w:t>
      </w:r>
    </w:p>
    <w:p>
      <w:pPr>
        <w:pStyle w:val="BodyJ"/>
        <w:keepNext w:val="false"/>
        <w:numPr>
          <w:ilvl w:val="0"/>
          <w:numId w:val="19"/>
        </w:numPr>
      </w:pPr>
      <w:r>
        <w:t xml:space="preserve">¿Mi paciente sabe qué sabemos, qué creemos, qué no sabemos aún y qué haremos —o sólo recibió una etiqueta—?</w:t>
      </w:r>
    </w:p>
    <w:p>
      <w:pPr>
        <w:pStyle w:val="Heading2"/>
        <w:keepNext/>
        <w:keepLines/>
        <w:pageBreakBefore/>
        <w:spacing w:after="300" w:before="600"/>
      </w:pPr>
      <w:r>
        <w:rPr>
          <w:rFonts w:ascii="Gelasio" w:cs="Gelasio" w:eastAsia="Gelasio" w:hAnsi="Gelasio"/>
          <w:b/>
          <w:bCs/>
          <w:color w:val="8C2F2F"/>
          <w:sz w:val="22"/>
          <w:szCs w:val="22"/>
        </w:rPr>
        <w:t xml:space="preserve">Interludio III</w:t>
      </w:r>
      <w:r>
        <w:rPr>
          <w:rFonts w:ascii="Gelasio" w:cs="Gelasio" w:eastAsia="Gelasio" w:hAnsi="Gelasio"/>
          <w:b/>
          <w:bCs/>
          <w:color w:val="3D5A6C"/>
          <w:sz w:val="32"/>
          <w:szCs w:val="32"/>
        </w:rPr>
        <w:br/>
        <w:t xml:space="preserve">La decisión de Carmen</w:t>
      </w:r>
    </w:p>
    <w:p>
      <w:pPr>
        <w:pStyle w:val="BodyJ"/>
        <w:keepNext w:val="false"/>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keepNext w:val="false"/>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keepNext w:val="false"/>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keepNext w:val="false"/>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keepNext w:val="false"/>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keepNext w:val="false"/>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keepNext/>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keepNext/>
        <w:pageBreakBefore/>
      </w:pPr>
      <w:r>
        <w:t xml:space="preserve">PARTE IV</w:t>
      </w:r>
    </w:p>
    <w:p>
      <w:pPr>
        <w:pStyle w:val="PartTitle"/>
        <w:keepNext/>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15). Luego, de dónde vienen las capas: una genealogía del razonamiento clínico, de Hipócrates a Balint, que pregunta en qué medicina se separó cada una, qué tan originales fueron quienes lo hicieron y en qué se equivocaron (capítulo 16). Después, el método HII-D en forma completa y en versión de sesenta segundos (capítulo 17), un cuaderno de ocho casos para leer metacognitivamente —incluida la resolución de la historia de Carmen— y el problema de enseñar y organizar todo esto (capítulo 18). Cierran el libro dos espejos: la inteligencia artificial en el proceso diagnóstico y terapéutico —qué hace, qué arriesga, cómo se la enfrenta— (capítulo 19), y la poesía —porque el debate sobre lo que la palabra tiene derecho a hacer también se libró en verso, y en Chile (capítulo 20)—.</w:t>
      </w:r>
    </w:p>
    <w:p>
      <w:pPr>
        <w:pStyle w:val="Heading2"/>
        <w:keepNext/>
        <w:keepLines/>
        <w:pageBreakBefore/>
        <w:spacing w:after="300" w:before="600"/>
      </w:pPr>
      <w:r>
        <w:rPr>
          <w:rFonts w:ascii="Gelasio" w:cs="Gelasio" w:eastAsia="Gelasio" w:hAnsi="Gelasio"/>
          <w:b/>
          <w:bCs/>
          <w:color w:val="8C2F2F"/>
          <w:sz w:val="22"/>
          <w:szCs w:val="22"/>
        </w:rPr>
        <w:t xml:space="preserve">Capítulo 15</w:t>
      </w:r>
      <w:r>
        <w:rPr>
          <w:rFonts w:ascii="Gelasio" w:cs="Gelasio" w:eastAsia="Gelasio" w:hAnsi="Gelasio"/>
          <w:b/>
          <w:bCs/>
          <w:color w:val="3D5A6C"/>
          <w:sz w:val="32"/>
          <w:szCs w:val="32"/>
        </w:rPr>
        <w:br/>
        <w:t xml:space="preserve">Humildad epistémica y responsabilidad clínica</w:t>
      </w:r>
    </w:p>
    <w:p>
      <w:pPr>
        <w:pStyle w:val="BodyJ"/>
        <w:keepNext w:val="false"/>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keepNext/>
        <w:keepLines/>
        <w:spacing w:after="120" w:before="280"/>
      </w:pPr>
      <w:r>
        <w:rPr>
          <w:rFonts w:ascii="Gelasio" w:cs="Gelasio" w:eastAsia="Gelasio" w:hAnsi="Gelasio"/>
          <w:b/>
          <w:bCs/>
          <w:color w:val="2B2B2B"/>
          <w:sz w:val="25"/>
          <w:szCs w:val="25"/>
        </w:rPr>
        <w:t xml:space="preserve">Afirmar es asumir una responsabilidad</w:t>
      </w:r>
    </w:p>
    <w:p>
      <w:pPr>
        <w:pStyle w:val="BodyJ"/>
        <w:keepNext w:val="false"/>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keepNext w:val="false"/>
      </w:pPr>
      <w:r>
        <w:t xml:space="preserve">Hay que decirlo de entrada, porque el resto del capítulo lo presupone: pensar bien es parte de la ética primordial del médico, no un refinamiento intelectual que se agrega a ella. Es su herramienta principal, de la que parte todo lo demás —y en la que, cuando falla, termina todo lo demás—. La idea tiene un antecedente filosófico exacto. Clifford sostuvo en 1877, en «La ética de la creencia» (</w:t>
      </w:r>
      <w:r>
        <w:rPr>
          <w:i/>
          <w:iCs/>
        </w:rPr>
        <w:t xml:space="preserve">The Ethics of Belief</w:t>
      </w:r>
      <w:r>
        <w:t xml:space="preserve">),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keepNext w:val="false"/>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keepNext/>
        <w:keepLines/>
        <w:spacing w:after="120" w:before="280"/>
      </w:pPr>
      <w:r>
        <w:rPr>
          <w:rFonts w:ascii="Gelasio" w:cs="Gelasio" w:eastAsia="Gelasio" w:hAnsi="Gelasio"/>
          <w:b/>
          <w:bCs/>
          <w:color w:val="2B2B2B"/>
          <w:sz w:val="25"/>
          <w:szCs w:val="25"/>
        </w:rPr>
        <w:t xml:space="preserve">Humildad epistémica</w:t>
      </w:r>
    </w:p>
    <w:p>
      <w:pPr>
        <w:pStyle w:val="BodyJ"/>
        <w:keepNext w:val="false"/>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keepNext w:val="false"/>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keepNext/>
        <w:keepLines/>
        <w:spacing w:after="120" w:before="280"/>
      </w:pPr>
      <w:r>
        <w:rPr>
          <w:rFonts w:ascii="Gelasio" w:cs="Gelasio" w:eastAsia="Gelasio" w:hAnsi="Gelasio"/>
          <w:b/>
          <w:bCs/>
          <w:color w:val="2B2B2B"/>
          <w:sz w:val="25"/>
          <w:szCs w:val="25"/>
        </w:rPr>
        <w:t xml:space="preserve">La humildad como motor: explorar, aprender, reenfocar</w:t>
      </w:r>
    </w:p>
    <w:p>
      <w:pPr>
        <w:pStyle w:val="BodyJ"/>
        <w:keepNext w:val="false"/>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—saber dónde termina lo que uno sabe, y dejar que ese saber actúe (Whitcomb et al., 2017)—. Definida así, la humildad no es un freno. Es un motor: la única disposición que mantiene el caso abierto después de que ya hay una respuesta que funciona.</w:t>
      </w:r>
    </w:p>
    <w:p>
      <w:pPr>
        <w:pStyle w:val="BodyJ"/>
        <w:keepNext w:val="false"/>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—y saber la diferencia es humildad operando—.</w:t>
      </w:r>
    </w:p>
    <w:p>
      <w:pPr>
        <w:pStyle w:val="BodyJ"/>
        <w:keepNext w:val="false"/>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keepNext w:val="false"/>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—de lo urinario a lo abdominal, de la lesión estructural al trastorno funcional, del objetivo curativo al de confort—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keepNext w:val="false"/>
      </w:pPr>
      <w:r>
        <w:t xml:space="preserve">Vista así, la humildad no es una virtud separada de la phronesis invocada desde el capítulo 6: es su condición de funcionamiento. La prudencia práctica integra, en el caso particular, lo que ningún algoritmo integra por el clínico: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keepNext w:val="false"/>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keepNext/>
        <w:keepLines/>
        <w:spacing w:after="120" w:before="280"/>
      </w:pPr>
      <w:r>
        <w:rPr>
          <w:rFonts w:ascii="Gelasio" w:cs="Gelasio" w:eastAsia="Gelasio" w:hAnsi="Gelasio"/>
          <w:b/>
          <w:bCs/>
          <w:color w:val="2B2B2B"/>
          <w:sz w:val="25"/>
          <w:szCs w:val="25"/>
        </w:rPr>
        <w:t xml:space="preserve">Credibilidad y experiencia del paciente</w:t>
      </w:r>
    </w:p>
    <w:p>
      <w:pPr>
        <w:pStyle w:val="BodyJ"/>
        <w:keepNext w:val="false"/>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keepNext w:val="false"/>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keepNext w:val="false"/>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keepNext w:val="false"/>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keepNext/>
        <w:keepLines/>
        <w:spacing w:after="120" w:before="280"/>
      </w:pPr>
      <w:r>
        <w:rPr>
          <w:rFonts w:ascii="Gelasio" w:cs="Gelasio" w:eastAsia="Gelasio" w:hAnsi="Gelasio"/>
          <w:b/>
          <w:bCs/>
          <w:color w:val="2B2B2B"/>
          <w:sz w:val="25"/>
          <w:szCs w:val="25"/>
        </w:rPr>
        <w:t xml:space="preserve">La ética de la incertidumbre</w:t>
      </w:r>
    </w:p>
    <w:p>
      <w:pPr>
        <w:pStyle w:val="BodyJ"/>
        <w:keepNext w:val="false"/>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keepNext w:val="false"/>
      </w:pPr>
      <w:r>
        <w:t xml:space="preserve">La decisión compartida (shared decision-making) no significa que médico y paciente aporten lo mismo. El profesional ofrece conocimiento técnico, estimación de consecuencias y recomendación; el paciente aporta experiencia, objetivos y tolerancia al riesgo (Elwyn et al., 2012).</w:t>
      </w:r>
    </w:p>
    <w:p>
      <w:pPr>
        <w:pStyle w:val="BodyJ"/>
        <w:keepNext w:val="false"/>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keepNext/>
        <w:keepLines/>
        <w:spacing w:after="120" w:before="280"/>
      </w:pPr>
      <w:r>
        <w:rPr>
          <w:rFonts w:ascii="Gelasio" w:cs="Gelasio" w:eastAsia="Gelasio" w:hAnsi="Gelasio"/>
          <w:b/>
          <w:bCs/>
          <w:color w:val="2B2B2B"/>
          <w:sz w:val="25"/>
          <w:szCs w:val="25"/>
        </w:rPr>
        <w:t xml:space="preserve">El miedo también escribe: documentación defensiva y segunda víctima</w:t>
      </w:r>
    </w:p>
    <w:p>
      <w:pPr>
        <w:pStyle w:val="BodyJ"/>
        <w:keepNext w:val="false"/>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keepNext w:val="false"/>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keepNext/>
        <w:keepLines/>
        <w:spacing w:after="120" w:before="280"/>
      </w:pPr>
      <w:r>
        <w:rPr>
          <w:rFonts w:ascii="Gelasio" w:cs="Gelasio" w:eastAsia="Gelasio" w:hAnsi="Gelasio"/>
          <w:b/>
          <w:bCs/>
          <w:color w:val="2B2B2B"/>
          <w:sz w:val="25"/>
          <w:szCs w:val="25"/>
        </w:rPr>
        <w:t xml:space="preserve">Autoridad sin opacidad</w:t>
      </w:r>
    </w:p>
    <w:p>
      <w:pPr>
        <w:pStyle w:val="BodyJ"/>
        <w:keepNext w:val="false"/>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keepNext w:val="false"/>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keepNext w:val="false"/>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keepNext w:val="false"/>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keepNext w:val="false"/>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sólo el peso que puede sostener.</w:t>
      </w:r>
    </w:p>
    <w:p>
      <w:pPr>
        <w:pStyle w:val="BodyJ"/>
        <w:keepNext/>
        <w:spacing w:after="80" w:before="160"/>
      </w:pPr>
      <w:r>
        <w:rPr>
          <w:b/>
          <w:bCs/>
        </w:rPr>
        <w:t xml:space="preserve">Tres preguntas para la próxima visita.</w:t>
      </w:r>
    </w:p>
    <w:p>
      <w:pPr>
        <w:pStyle w:val="BodyJ"/>
        <w:keepNext/>
        <w:numPr>
          <w:ilvl w:val="0"/>
          <w:numId w:val="20"/>
        </w:numPr>
      </w:pPr>
      <w:r>
        <w:t xml:space="preserve">¿A qué paciente le estoy creyendo menos de lo que su testimonio merece, y por qué?</w:t>
      </w:r>
    </w:p>
    <w:p>
      <w:pPr>
        <w:pStyle w:val="BodyJ"/>
        <w:keepNext/>
        <w:numPr>
          <w:ilvl w:val="0"/>
          <w:numId w:val="20"/>
        </w:numPr>
      </w:pPr>
      <w:r>
        <w:t xml:space="preserve">Mi última recomendación firme: ¿podría explicar qué hechos la sostienen, qué incertidumbres la modificarían y qué valores del paciente pesan?</w:t>
      </w:r>
    </w:p>
    <w:p>
      <w:pPr>
        <w:pStyle w:val="BodyJ"/>
        <w:keepNext w:val="false"/>
        <w:numPr>
          <w:ilvl w:val="0"/>
          <w:numId w:val="20"/>
        </w:numPr>
      </w:pPr>
      <w:r>
        <w:t xml:space="preserve">¿Hay en mis fichas una etiqueta («funcional», «no adherente», «poco colaborador») que esté distribuyendo credibilidad en lugar de información?</w:t>
      </w:r>
    </w:p>
    <w:p>
      <w:pPr>
        <w:pStyle w:val="Heading2"/>
        <w:keepNext/>
        <w:keepLines/>
        <w:pageBreakBefore/>
        <w:spacing w:after="300" w:before="600"/>
      </w:pPr>
      <w:r>
        <w:rPr>
          <w:rFonts w:ascii="Gelasio" w:cs="Gelasio" w:eastAsia="Gelasio" w:hAnsi="Gelasio"/>
          <w:b/>
          <w:bCs/>
          <w:color w:val="8C2F2F"/>
          <w:sz w:val="22"/>
          <w:szCs w:val="22"/>
        </w:rPr>
        <w:t xml:space="preserve">Capítulo 16</w:t>
      </w:r>
      <w:r>
        <w:rPr>
          <w:rFonts w:ascii="Gelasio" w:cs="Gelasio" w:eastAsia="Gelasio" w:hAnsi="Gelasio"/>
          <w:b/>
          <w:bCs/>
          <w:color w:val="3D5A6C"/>
          <w:sz w:val="32"/>
          <w:szCs w:val="32"/>
        </w:rPr>
        <w:br/>
        <w:t xml:space="preserve">Una genealogía de las capas: de Hipócrates a Balint</w:t>
      </w:r>
    </w:p>
    <w:p>
      <w:pPr>
        <w:pStyle w:val="BodyJ"/>
        <w:keepNext/>
      </w:pPr>
      <w:r>
        <w:t xml:space="preserve">Una nota de evolución cualquiera, escrita anoche en cualquier servicio de medicina interna:</w:t>
      </w:r>
    </w:p>
    <w:p>
      <w:pPr>
        <w:pStyle w:val="Quote1"/>
      </w:pPr>
      <w:r>
        <w:t xml:space="preserve">Crepitaciones en base derecha. Probable neumonía adquirida en la comunidad; tromboembolismo pulmonar menos probable, no excluido. Si en 48 horas no mejora, angio-TAC. La paciente teme hospitalizarse porque cuida a su marido.</w:t>
      </w:r>
    </w:p>
    <w:p>
      <w:pPr>
        <w:pStyle w:val="BodyJ"/>
        <w:keepNext w:val="false"/>
      </w:pPr>
      <w:r>
        <w:t xml:space="preserve">Cuatro líneas, y cada una tiene antepasados. «Crepitaciones» viene de un médico del hospital Necker de París que enrolló un cuaderno para oír un corazón. «Probable» supone que alguien se atrevió a contar enfermos. «Si en 48 horas no mejora» resume una larga discusión sobre cómo se pone a prueba una hipótesis y cuánta evidencia basta para actuar. Y la última frase, la que muchas notas omiten, entró a la medicina contra la resistencia del modelo que gobernaba todo lo demás. Antes de que el capítulo siguiente condense el libro en un método, éste recorre esa genealogía. No es una historia de la medicina ni un panteón; es una pregunta más estrecha. Quiénes separaron cada una de las capas que HII-D pide distinguir, en qué medicina lo hicieron, qué tan originales fueron y en qué se equivocaron. La respuesta tiene una moraleja que conviene adelantar: ninguna de las capas es nueva, y casi ninguno de los que las separaron fue el primero en verlas. Lo que dejaron fue otra cosa.</w:t>
      </w:r>
    </w:p>
    <w:p>
      <w:pPr>
        <w:pStyle w:val="Heading3"/>
        <w:keepNext/>
        <w:keepLines/>
        <w:spacing w:after="120" w:before="280"/>
      </w:pPr>
      <w:r>
        <w:rPr>
          <w:rFonts w:ascii="Gelasio" w:cs="Gelasio" w:eastAsia="Gelasio" w:hAnsi="Gelasio"/>
          <w:b/>
          <w:bCs/>
          <w:color w:val="2B2B2B"/>
          <w:sz w:val="25"/>
          <w:szCs w:val="25"/>
        </w:rPr>
        <w:t xml:space="preserve">Antes de las capas: Hipócrates y Galeno</w:t>
      </w:r>
    </w:p>
    <w:p>
      <w:pPr>
        <w:pStyle w:val="BodyJ"/>
        <w:keepNext w:val="false"/>
      </w:pPr>
      <w:r>
        <w:t xml:space="preserve">La medicina hipocrática —un conjunto de escritos griegos de los siglos V y IV antes de nuestra era, de varios autores, reunidos bajo el nombre de un médico de Cos— nació contra un competidor que hoy cuesta imaginar: la explicación divina. El tratado sobre la llamada enfermedad sagrada, la epilepsia, abre con una declaración de método. No le parece más divina ni más sagrada que las otras enfermedades: tiene una causa natural, y su supuesto origen divino se debe a la inexperiencia de los hombres y a su asombro ante lo que no entienden (Hipócrates, 1923b). Es una de las separaciones de capas más antiguas que conserva la medicina escrita. Las convulsiones quedan de un lado; la inferencia que las atribuía a los dioses, del otro, desacreditada por falta de razones.</w:t>
      </w:r>
    </w:p>
    <w:p>
      <w:pPr>
        <w:pStyle w:val="BodyJ"/>
        <w:keepNext w:val="false"/>
      </w:pPr>
      <w:r>
        <w:t xml:space="preserve">El libro I de las </w:t>
      </w:r>
      <w:r>
        <w:rPr>
          <w:i/>
          <w:iCs/>
        </w:rPr>
        <w:t xml:space="preserve">Epidemias</w:t>
      </w:r>
      <w:r>
        <w:t xml:space="preserve"> contiene una fórmula que podría servir de epígrafe a este libro: declarar el pasado, diagnosticar el presente, predecir el futuro; y frente a las enfermedades, acostumbrarse a dos cosas, ayudar o no dañar (Hipócrates, 1923a, p. 165). Están ahí, en germen, las cuatro capas: lo que ocurrió, lo que se infiere de ello, lo que viene —que siempre es incierto— y lo que se hace. La decisión ya trae su asimetría, y la tradición la endureció en un latín que no escribió ningún griego. </w:t>
      </w:r>
      <w:r>
        <w:rPr>
          <w:i/>
          <w:iCs/>
        </w:rPr>
        <w:t xml:space="preserve">Primum non nocere</w:t>
      </w:r>
      <w:r>
        <w:t xml:space="preserve"> no es de Hipócrates ni de Galeno; la fórmula latina aparece impresa recién en el siglo XIX (Smith, 2005).</w:t>
      </w:r>
    </w:p>
    <w:p>
      <w:pPr>
        <w:pStyle w:val="BodyJ"/>
        <w:keepNext w:val="false"/>
      </w:pPr>
      <w:r>
        <w:t xml:space="preserve">Los libros I y III de las </w:t>
      </w:r>
      <w:r>
        <w:rPr>
          <w:i/>
          <w:iCs/>
        </w:rPr>
        <w:t xml:space="preserve">Epidemias</w:t>
      </w:r>
      <w:r>
        <w:t xml:space="preserve"> reúnen además cuarenta y dos historias clínicas escritas día por día, de las que veinticinco terminan en la muerte. El tratamiento casi no aparece: el autor no quería mostrar cómo curar, sino descubrir la secuencia de los síntomas (Hipócrates, 1923a, p. 144). Su traductor inglés llamó a esos dos libros el producto más notable de la ciencia griega (Hipócrates, 1923a, p. 141), y vale la pena mirar lo que no hacen: no seleccionan los éxitos. Una casuística con casi 60% de muertes es lo contrario de la que publica quien quiere demostrar que su tratamiento sirve. La honestidad que el capítulo 13 le pide a la ficha tiene antecedentes más viejos que el papel. Y la incertidumbre también: dos milenios después, Osler abrió su tratado de medicina con el primer aforismo hipocrático, «la experiencia es falaz y el juicio, difícil» (Osler, 1892).</w:t>
      </w:r>
    </w:p>
    <w:p>
      <w:pPr>
        <w:pStyle w:val="BodyJ"/>
        <w:keepNext w:val="false"/>
      </w:pPr>
      <w:r>
        <w:t xml:space="preserve">Galeno, médico griego del siglo II en la Roma imperial y médico de la corte de Marco Aurelio, heredó una disputa que es todavía la nuestra. Los «empíricos» trataban por semejanza con casos anteriores, sin comprometerse con ninguna teoría sobre el interior del cuerpo; los «racionalistas» razonaban desde la fisiología. Galeno concedía a los primeros que la experiencia sola acierta en muchos casos, y que entre ser un empírico puro y adoptar una teoría errónea había que preferir infinitamente lo primero. Pero sostenía que conocer el interior del cuerpo permite distinguir enfermedades de síntomas parecidos allí donde el empírico se equivoca (Singer, 2024). Es la tensión entre reconocimiento de patrones y razonamiento causal del capítulo 6, dieciocho siglos antes.</w:t>
      </w:r>
    </w:p>
    <w:p>
      <w:pPr>
        <w:pStyle w:val="BodyJ"/>
        <w:keepNext w:val="false"/>
      </w:pPr>
      <w:r>
        <w:t xml:space="preserve">Galeno disecaba y experimentaba —ligó la médula espinal de cerdos vivos para mostrar que el cerebro gobierna el habla y el movimiento—, pero en su época sólo se disecaban animales (Singer, 2024). Su anatomía humana fue en parte una anatomía de animales, y el error que importa aquí no fue suyo, sino de quienes vinieron después. Su obra fue la anatomía de Occidente durante más de mil años. Cuando en una disección medieval el cadáver no coincidía con Galeno, se declaraba anormal al cadáver; Vesalio, que en 1543 publicaría la obra que empezó a corregirlo, confesaba años antes que discutir su autoridad le daba casi tanto miedo como dudar de la inmortalidad del alma (Xiang &amp; Venkatesan, 2023). Es la forma extrema de la frase heredada del capítulo 7: una afirmación tan autorizada que el hecho que la contradice se reclasifica como anomalía.</w:t>
      </w:r>
    </w:p>
    <w:p>
      <w:pPr>
        <w:pStyle w:val="Heading3"/>
        <w:keepNext/>
        <w:keepLines/>
        <w:spacing w:after="120" w:before="280"/>
      </w:pPr>
      <w:r>
        <w:rPr>
          <w:rFonts w:ascii="Gelasio" w:cs="Gelasio" w:eastAsia="Gelasio" w:hAnsi="Gelasio"/>
          <w:b/>
          <w:bCs/>
          <w:color w:val="2B2B2B"/>
          <w:sz w:val="25"/>
          <w:szCs w:val="25"/>
        </w:rPr>
        <w:t xml:space="preserve">Los hechos: el oído de Laennec y el colectivo de Fleck</w:t>
      </w:r>
    </w:p>
    <w:p>
      <w:pPr>
        <w:pStyle w:val="BodyJ"/>
        <w:keepNext w:val="false"/>
      </w:pPr>
      <w:r>
        <w:t xml:space="preserve">En el París que siguió a la Revolución, una generación de médicos —Bichat, Corvisart, Bayle— se propuso correlacionar lo que se observaba junto a la cama con lo que mostraba la mesa de autopsias (Roguin, 2006). Foucault, citado en el capítulo 4, leyó ahí el nacimiento de una mirada. René Laennec cuenta su parte con sencillez. En 1816 lo consultó una joven con síntomas de enfermedad cardiaca, en quien la palpación y la percusión servían de poco por su gordura, y cuya edad y sexo le impedían apoyar la oreja en su pecho. Recordó un fenómeno acústico conocido —el golpe de alfiler que se oye en el otro extremo de una viga—, enrolló un cuaderno de papel y oyó el corazón de una manera mucho más neta y distinta que nunca antes. De inmediato empezó una serie de observaciones en el hospital Necker (Laennec, 1819, pp. 7–8).</w:t>
      </w:r>
    </w:p>
    <w:p>
      <w:pPr>
        <w:pStyle w:val="BodyJ"/>
        <w:keepNext w:val="false"/>
      </w:pPr>
      <w:r>
        <w:t xml:space="preserve">Su originalidad no fue el instrumento. La auscultación directa se conocía desde los hipocráticos, y Corvisart había traducido en 1808 la percusión de Auenbrugger (Roguin, 2006). Fue el método que lo rodeó: cada sonido se describió, se nombró y se confrontó con la lesión que mostraba la autopsia. Para Laennec, la anatomía patológica era «la antorcha más segura que puede guiar al médico» (Laennec, 1819, p. xxi). El signo valía porque existía un patrón de referencia capaz de desmentirlo.</w:t>
      </w:r>
    </w:p>
    <w:p>
      <w:pPr>
        <w:pStyle w:val="BodyJ"/>
        <w:keepNext w:val="false"/>
      </w:pPr>
      <w:r>
        <w:t xml:space="preserve">Así nació un vocabulario que todavía usamos. Al ruido de la neumonía inicial lo comparó con el de la sal que crepita cuando se la calienta en una vasija. Lo llamó </w:t>
      </w:r>
      <w:r>
        <w:rPr>
          <w:i/>
          <w:iCs/>
        </w:rPr>
        <w:t xml:space="preserve">râle crépitant</w:t>
      </w:r>
      <w:r>
        <w:t xml:space="preserve"> y escribió que era el signo patognomónico del primer grado de la neumonía: «sería difícil describirlo mejor; pero basta haberlo oído una sola vez para no desconocerlo nunca más» (Laennec, 1819, p. 172). La frase contiene, sin proponérselo, dos lecciones de este libro. La segunda mitad es conocimiento tácito en estado puro (capítulo 6): el hecho auscultatorio se aprende oyendo, no leyendo. La primera es un exceso. Las crepitaciones se oyen también en la insuficiencia cardiaca y en la fibrosis pulmonar, y ningún clínico de hoy las llamaría patognomónicas. El fundador del hecho auscultatorio le asignó más fuerza inferencial de la que tenía. Murió a los cuarenta y cinco años, de la tuberculosis que había enseñado a reconocer (Roguin, 2006).</w:t>
      </w:r>
    </w:p>
    <w:p>
      <w:pPr>
        <w:pStyle w:val="BodyJ"/>
        <w:keepNext w:val="false"/>
      </w:pPr>
      <w:r>
        <w:t xml:space="preserve">Lo que sobrevive de Laennec es la idea de que un hecho clínico se produce: hacen falta un instrumento, un oído entrenado y un patrón de referencia contra el cual calibrarlos. Es el gradiente de facticidad del capítulo 1. Un siglo después, un médico de laboratorio llevó la idea más lejos. Ludwik Fleck era bacteriólogo en Lwów, la actual Lviv; sus primeros textos epistemológicos trataban sobre el modo de pensar de la medicina, y en 1935 publicó en Basilea un libro sobre cómo se había llegado a la reacción de Wassermann, la prueba serológica de la sífilis (Sady, 2025). La tesis estaba en el título: un hecho científico tiene génesis y desarrollo. Lo que una comunidad acepta como hecho depende de su «colectivo de pensamiento», la comunidad de personas que intercambian ideas, y de su «estilo de pensamiento», que Fleck definió como una disposición a la percepción dirigida (Fleck, 1979, pp. 39 y 99). «El conocimiento es la actividad más socialmente condicionada del hombre», escribió (Fleck, 1979, p. 42).</w:t>
      </w:r>
    </w:p>
    <w:p>
      <w:pPr>
        <w:pStyle w:val="BodyJ"/>
        <w:keepNext w:val="false"/>
      </w:pPr>
      <w:r>
        <w:t xml:space="preserve">Una de sus observaciones toca directamente la clínica. Percibir de inmediato una forma exige experiencia en el campo; se adquiere sólo después de mucho ver, «y al mismo tiempo, por supuesto, perdemos la capacidad de ver lo que contradice la forma» (Fleck, 1979, p. 92). Es la mitad oscura de la pericia del capítulo 6, escrita en 1935. El libro casi no se leyó: su editorial no vendió un solo ejemplar entre 1962 y 1966 y terminó destruyendo los que quedaban (Sady, 2025). Fleck sobrevivió al gueto, a Auschwitz y a Buchenwald —en el gueto produjo una vacuna contra el tifus— y murió en Israel en 1961. Su originalidad se mide por quién lo leyó: Kuhn reconoció en el prefacio de </w:t>
      </w:r>
      <w:r>
        <w:rPr>
          <w:i/>
          <w:iCs/>
        </w:rPr>
        <w:t xml:space="preserve">La estructura de las revoluciones científicas</w:t>
      </w:r>
      <w:r>
        <w:t xml:space="preserve"> que aquella monografía «casi desconocida» anticipaba muchas de sus propias ideas (Kuhn, 1996, pp. vii–viii). Lo que dejó para la cama del enfermo es una pregunta que la ficha rara vez se hace: este hecho, ¿lo sería para otro equipo, con otro estilo de pensamiento?</w:t>
      </w:r>
    </w:p>
    <w:p>
      <w:pPr>
        <w:pStyle w:val="Heading3"/>
        <w:keepNext/>
        <w:keepLines/>
        <w:spacing w:after="120" w:before="280"/>
      </w:pPr>
      <w:r>
        <w:rPr>
          <w:rFonts w:ascii="Gelasio" w:cs="Gelasio" w:eastAsia="Gelasio" w:hAnsi="Gelasio"/>
          <w:b/>
          <w:bCs/>
          <w:color w:val="2B2B2B"/>
          <w:sz w:val="25"/>
          <w:szCs w:val="25"/>
        </w:rPr>
        <w:t xml:space="preserve">Las inferencias: Bernard y Semmelweis</w:t>
      </w:r>
    </w:p>
    <w:p>
      <w:pPr>
        <w:pStyle w:val="BodyJ"/>
        <w:keepNext w:val="false"/>
      </w:pPr>
      <w:r>
        <w:t xml:space="preserve">Claude Bernard escribió su </w:t>
      </w:r>
      <w:r>
        <w:rPr>
          <w:i/>
          <w:iCs/>
        </w:rPr>
        <w:t xml:space="preserve">Introducción al estudio de la medicina experimental</w:t>
      </w:r>
      <w:r>
        <w:t xml:space="preserve"> en 1865, desde el laboratorio de fisiología y contra quienes fundaban sus opiniones en el «tacto médico» o en la inspiración (Bernard, 1865, p. 96). Su respuesta fue la hipótesis puesta a prueba. La idea experimental es una idea previa, pero se presenta como hipótesis, y sus consecuencias deben someterse al criterio de la experiencia para juzgar su valor (Bernard, 1865, p. 49). Agregó dos exigencias que este libro hace suyas. «La verdadera ciencia enseña a dudar y a abstenerse en la ignorancia» (Bernard, 1865, p. 96). Y como el </w:t>
      </w:r>
      <w:r>
        <w:rPr>
          <w:i/>
          <w:iCs/>
        </w:rPr>
        <w:t xml:space="preserve">post hoc, ergo propter hoc</w:t>
      </w:r>
      <w:r>
        <w:t xml:space="preserve"> es el error típico de los médicos, las ideas sólo se asientan con solidez si se busca destruir las propias conclusiones mediante contrapruebas (Bernard, 1865, pp. 98–99). Es la falsabilidad que el capítulo 17 le exige a HII-D, setenta años antes de que tuviera ese nombre.</w:t>
      </w:r>
    </w:p>
    <w:p>
      <w:pPr>
        <w:pStyle w:val="BodyJ"/>
        <w:keepNext w:val="false"/>
      </w:pPr>
      <w:r>
        <w:t xml:space="preserve">Bernard fue además el autor del </w:t>
      </w:r>
      <w:r>
        <w:rPr>
          <w:i/>
          <w:iCs/>
        </w:rPr>
        <w:t xml:space="preserve">medio interior</w:t>
      </w:r>
      <w:r>
        <w:t xml:space="preserve">: los organismos superiores viven en un medio líquido propio —la sangre y los fluidos que bañan los tejidos—, distinto del medio exterior (Bernard, 1865, pp. 108–109). Reclamó la prioridad de esa idea, que creía haber sido el primero en expresar con claridad. Pero sobre la originalidad de su método fue más modesto que sus admiradores: los grandes experimentadores, escribió, existieron antes que los preceptos de la experimentación (Bernard, 1865, p. 90).</w:t>
      </w:r>
    </w:p>
    <w:p>
      <w:pPr>
        <w:pStyle w:val="BodyJ"/>
        <w:keepNext w:val="false"/>
      </w:pPr>
      <w:r>
        <w:t xml:space="preserve">Su error es instructivo, porque nació de una virtud. Desconfiaba de los promedios: el análisis de la orina de veinticuatro horas mezclada era «el análisis de una orina que no existe», y el uso de la estadística conducía en medicina «casi necesariamente al error» (Bernard, 1865, pp. 235–236). Si un cirujano concluía que la mortalidad de una operación era de dos por cada cinco, ese dato «no significa absolutamente nada científicamente» y no da ninguna certeza para la operación siguiente, porque no dice si el próximo paciente estará entre los vivos o entre los muertos (Bernard, 1865, p. 241). Se equivocó en la conclusión y acertó en el problema. Lo que plantea es exactamente la distancia entre el ensayo y el caso singular del capítulo 9, y él mismo matizó: la estadística puede guiar el pronóstico, y no rechazaba su uso, sino que no se buscara ir más allá (Bernard, 1865, p. 243).</w:t>
      </w:r>
    </w:p>
    <w:p>
      <w:pPr>
        <w:pStyle w:val="BodyJ"/>
        <w:keepNext w:val="false"/>
      </w:pPr>
      <w:r>
        <w:t xml:space="preserve">Casi dos décadas antes del libro de Bernard, en la maternidad del Hospital General de Viena se hacía, sin que nadie lo planeara, uno de los experimentos naturales más citados de la historia. Desde 1840 funcionaban allí dos clínicas: en la primera se formaban los estudiantes de medicina; en la segunda, las matronas. Las parturientas se admitían en días alternos (Stang et al., 2022). Entre 1841 y 1846 murieron 1.989 de las 20.042 mujeres que dieron a luz en la primera, casi 10%, y 691 de las 17.791 de la segunda, menos de 4% (Semmelweis, 1861, p. 3). Ignaz Semmelweis, asistente en la primera, tenía una diferencia que nadie explicaba.</w:t>
      </w:r>
    </w:p>
    <w:p>
      <w:pPr>
        <w:pStyle w:val="BodyJ"/>
        <w:keepNext w:val="false"/>
      </w:pPr>
      <w:r>
        <w:t xml:space="preserve">La pista llegó con una muerte. En marzo de 1847, Kolletschka, profesor de medicina legal, fue herido en un dedo con el bisturí de un alumno durante una autopsia docente, y murió de un cuadro igual al de las puérperas: linfangitis, flebitis, pleuritis, peritonitis, meningitis. Semmelweis estaba en Venecia; al volver, escribe, la imagen de esa enfermedad lo persiguió día y noche hasta que tuvo que aceptar que era la misma (Semmelweis, 1861, pp. 53–54). La inferencia fue que los estudiantes llevaban en las manos partículas de los cadáveres desde la sala de autopsias a la de partos, cosa que las matronas no hacían. Desde mediados de mayo de 1847 exigió lavarse las manos con solución de cloro —primero agua clorada; después, por su precio, cal clorada—, y entre junio y diciembre murieron 56 de las 1.841 parturientas de la primera clínica, 3% (Semmelweis, 1861, pp. 55–57). En 1848, la mortalidad de ambas clínicas fue prácticamente la misma.</w:t>
      </w:r>
    </w:p>
    <w:p>
      <w:pPr>
        <w:pStyle w:val="BodyJ"/>
        <w:keepNext w:val="false"/>
      </w:pPr>
      <w:r>
        <w:t xml:space="preserve">El episodio que mejor muestra su razonamiento es posterior y menos citado. En octubre de 1847 ingresó una parturienta con un cáncer uterino supurado; los médicos que la examinaron se lavaron las manos sólo con jabón, y de las doce mujeres que parieron junto a ella murieron once. Semmelweis no defendió su hipótesis contra el dato: la amplió. No eran sólo los cadáveres, sino también la materia pútrida de enfermas vivas, y desde entonces se exigió el lavado con cloro también después de examinarlas (Semmelweis, 1861, pp. 59–60). Hempel hizo de este episodio, en 1966, el ejemplo de manual del método hipotético-deductivo, y la filosofía de la ciencia todavía lo discute (Hepburn &amp; Andersen, 2026).</w:t>
      </w:r>
    </w:p>
    <w:p>
      <w:pPr>
        <w:pStyle w:val="BodyJ"/>
        <w:keepNext w:val="false"/>
      </w:pPr>
      <w:r>
        <w:t xml:space="preserve">Y sin embargo fracasó. La respuesta a sus ideas fue casi uniformemente negativa (Kadar et al., 2018). Publicó su libro recién en 1861, trece años después de los hechos (Stang et al., 2022); trató de asesinos a sus críticos (Schreiner, 2020), y murió en 1865 en un asilo de Viena, de una sepsis causada por las heridas de una golpiza de sus cuidadores (Kadar et al., 2018). Tenía los hechos y una inferencia correcta. ¿Por qué no bastó? Hay razones conocidas: faltaba todavía una teoría microbiana que le diera un mecanismo, y él mismo dificultó que lo escucharan. Fleck ofrece otra, aunque nunca escribió sobre Semmelweis, y la lectura que sigue es nuestra. Para el colectivo de pensamiento de la obstetricia vienesa, sus cifras no eran todavía un hecho. No cabían en un estilo que explicaba la fiebre puerperal por influencias atmosféricas, cósmicas y telúricas —las que el propio Semmelweis se dedicó a refutar en su libro (Semmelweis, 1861)—, y además acusaban a quienes debían aceptarlas. Un hecho que obliga al lector a declararse culpable necesita más que una buena tabla. El capítulo 14 lo dijo de los equipos: tener razón no basta; hay que lograr que el desacuerdo se pueda escuchar.</w:t>
      </w:r>
    </w:p>
    <w:p>
      <w:pPr>
        <w:pStyle w:val="Heading3"/>
        <w:keepNext/>
        <w:keepLines/>
        <w:spacing w:after="120" w:before="280"/>
      </w:pPr>
      <w:r>
        <w:rPr>
          <w:rFonts w:ascii="Gelasio" w:cs="Gelasio" w:eastAsia="Gelasio" w:hAnsi="Gelasio"/>
          <w:b/>
          <w:bCs/>
          <w:color w:val="2B2B2B"/>
          <w:sz w:val="25"/>
          <w:szCs w:val="25"/>
        </w:rPr>
        <w:t xml:space="preserve">La incertidumbre: Louis cuenta, Osler la nombra</w:t>
      </w:r>
    </w:p>
    <w:p>
      <w:pPr>
        <w:pStyle w:val="BodyJ"/>
        <w:keepNext w:val="false"/>
      </w:pPr>
      <w:r>
        <w:t xml:space="preserve">En el París de la década de 1820 dominaba la medicina de Broussais, para quien casi toda fiebre era la inflamación de un órgano y el tratamiento natural, sacar sangre. Sólo en 1833, Francia importó 42 millones de sanguijuelas para uso médico (Morabia, 2006). Pierre-Charles-Alexandre Louis hizo algo que hoy parece trivial y entonces fue una provocación: contó. En su estudio de 1835 sobre los efectos de la sangría reunió 78 pacientes con neumonía, de los cuales murieron 28. Entre los sangrados en los primeros cuatro días de enfermedad murieron 18 de 41; entre los sangrados del quinto al noveno, 9 de 36. «Resultado espantoso, absurdo en apariencia», escribió (Louis, 1835, pp. 16–17).</w:t>
      </w:r>
    </w:p>
    <w:p>
      <w:pPr>
        <w:pStyle w:val="BodyJ"/>
        <w:keepNext w:val="false"/>
      </w:pPr>
      <w:r>
        <w:t xml:space="preserve">No se apresuró a concluir que sangrar temprano mataba. Advirtió que entre los sangrados el primer día había casi el doble de mayores de cincuenta años, «lo que debió tener una gran influencia sobre la mortalidad» (Louis, 1835, pp. 17–18). Es lo que hoy se llama confusión, nombrado antes de tener nombre: la diferencia entre dos grupos puede deberse a otra diferencia entre ellos. Su método numérico pedía comparar pacientes semejantes en todo lo demás y confiaba en que, con números grandes, los errores se compensarían en ambos grupos (Morabia, 2006). Su conclusión fue modesta: todo indicaba «límites estrechos» para la utilidad de la sangría en la neumonía (Louis, 1835, p. 21). No la abandonó; él mismo recordó que había mostrado la necesidad de recurrir a ella en las inflamaciones graves. Y contó cómo lo recibieron sus críticos: unos lo acusaron de desterrar la sangría, y otros se declararon contra su método y a favor de lo que comúnmente se llama la experiencia (Louis, 1835). La discusión entre el recuento y la experiencia del clínico empezó ahí y no ha terminado. Morabia lo llamó un epidemiólogo preformal (Morabia, 2006).</w:t>
      </w:r>
    </w:p>
    <w:p>
      <w:pPr>
        <w:pStyle w:val="BodyJ"/>
        <w:keepNext w:val="false"/>
      </w:pPr>
      <w:r>
        <w:t xml:space="preserve">Louis no fue el primero en comparar. Hacia el año 900, en una nota agregada a un comentario de las </w:t>
      </w:r>
      <w:r>
        <w:rPr>
          <w:i/>
          <w:iCs/>
        </w:rPr>
        <w:t xml:space="preserve">Epidemias</w:t>
      </w:r>
      <w:r>
        <w:t xml:space="preserve"> hipocráticas, el médico persa al-Razi escribió que había sangrado a un grupo de pacientes con signos de fiebre cerebral y dejado intencionalmente sin sangrar a otro, «para quitar la duda de mi opinión»; todos los del segundo grupo, anotó, enfermaron (Pormann, 2018). Tenía la forma de un ensayo controlado nueve siglos antes que Louis y llegó a la conclusión contraria: que la sangría servía. La comparación sin números, sin registro de cuántos ni de cómo se eligió a cada grupo, y sin nadie que la repitiera, confirmó lo que el comparador ya creía. Lo que Louis agregó no fue la idea de comparar, sino la obligación de contar, publicar los números y discutir lo que podía distorsionarlos. Con eso, la incertidumbre dejó de ser un estado de ánimo del médico y pasó a ser una propiedad de los datos, algo que se puede estimar y escribir.</w:t>
      </w:r>
    </w:p>
    <w:p>
      <w:pPr>
        <w:pStyle w:val="BodyJ"/>
        <w:keepNext w:val="false"/>
      </w:pPr>
      <w:r>
        <w:t xml:space="preserve">Dos generaciones después, William Osler la nombró sin pudor. Osler organizó la enseñanza junto a la cama en el hospital Johns Hopkins, donde el estudiante, decía, empieza con el paciente, continúa con el paciente y termina sus estudios con el paciente, usando los libros como herramientas (Osler, 1905, p. 331). A sus alumnos les advertía que los errores de juicio son inevitables en un arte que consiste en gran parte en sopesar probabilidades (Osler, 1905, p. 40). Y ante una sociedad médica, en 1903, defendió el axioma del obispo Butler, «la probabilidad es la guía de la vida», como más verdadero para la medicina que para cualquier otra profesión: no hay descrédito, aunque a veces sí mucha incomodidad, en «este eterno quizás» con que hay que encabezar tanto de lo que hacemos (Osler, 1905, pp. 347–348).</w:t>
      </w:r>
    </w:p>
    <w:p>
      <w:pPr>
        <w:pStyle w:val="BodyJ"/>
        <w:keepNext w:val="false"/>
      </w:pPr>
      <w:r>
        <w:t xml:space="preserve">La frase más citada de Osler sobre el tema —la medicina como ciencia de la incertidumbre y arte de la probabilidad— no aparece en ninguno de los escritos suyos que se revisaron para este capítulo. Proviene de una colección póstuma de aforismos de sus visitas, publicada en 1950, y conviene citarla como lo que es: una atribución. El detalle no es pedante. La frase que mejor resume la capa de incertidumbre circula como hecho sin procedencia verificable, que es exactamente el problema del capítulo 1.</w:t>
      </w:r>
    </w:p>
    <w:p>
      <w:pPr>
        <w:pStyle w:val="Heading3"/>
        <w:keepNext/>
        <w:keepLines/>
        <w:spacing w:after="120" w:before="280"/>
      </w:pPr>
      <w:r>
        <w:rPr>
          <w:rFonts w:ascii="Gelasio" w:cs="Gelasio" w:eastAsia="Gelasio" w:hAnsi="Gelasio"/>
          <w:b/>
          <w:bCs/>
          <w:color w:val="2B2B2B"/>
          <w:sz w:val="25"/>
          <w:szCs w:val="25"/>
        </w:rPr>
        <w:t xml:space="preserve">La decisión: Ledley y Lusted formalizan, Hill se atreve</w:t>
      </w:r>
    </w:p>
    <w:p>
      <w:pPr>
        <w:pStyle w:val="BodyJ"/>
        <w:keepNext w:val="false"/>
      </w:pPr>
      <w:r>
        <w:t xml:space="preserve">En 1959, Robert Ledley y Lee Lusted publicaron en </w:t>
      </w:r>
      <w:r>
        <w:rPr>
          <w:i/>
          <w:iCs/>
        </w:rPr>
        <w:t xml:space="preserve">Science</w:t>
      </w:r>
      <w:r>
        <w:t xml:space="preserve"> un artículo cuyo subtítulo es un programa: la lógica simbólica, la probabilidad y la teoría del valor ayudan a entender cómo razonan los médicos (Ledley &amp; Lusted, 1959). Había antecedentes —un aparato para asistir las facultades lógicas en el diagnóstico diferencial, la correlación mecánica de datos para diagnosticar enfermedades hematológicas (Nash, 1954; Lipkin &amp; Hardy, 1957)—, pero un contemporáneo lo juzgó con precisión: fue el primer intento de aplicar una estructura formal general al problema de la medicina clínica (Card, 1970, p. 183). Lo nuevo fue la descomposición. El diagnóstico quedaba como un problema lógico, un problema de probabilidad y, por separado, un problema de valores: cuánto cuesta cada error. Es la separación entre inferencia, incertidumbre y decisión de este libro, escrita en símbolos. En esa línea están el umbral de Pauker y Kassirer del capítulo 10, los sistemas de apoyo a la decisión y buena parte de lo que el capítulo 19 discute sobre inteligencia artificial.</w:t>
      </w:r>
    </w:p>
    <w:p>
      <w:pPr>
        <w:pStyle w:val="BodyJ"/>
        <w:keepNext w:val="false"/>
      </w:pPr>
      <w:r>
        <w:t xml:space="preserve">La crítica llegó de un clínico. Feinstein, que en la Introducción aparece reclamando una ciencia del juicio clínico, objetó en 1973 que el procedimiento bayesiano ignora el camino interno de la lógica diagnóstica (Feinstein, 1973). Tenía razón en algo que el capítulo 2 ya dijo: el teorema de Bayes actualiza hipótesis, pero no las genera. La abducción queda fuera de la fórmula.</w:t>
      </w:r>
    </w:p>
    <w:p>
      <w:pPr>
        <w:pStyle w:val="BodyJ"/>
        <w:keepNext w:val="false"/>
      </w:pPr>
      <w:r>
        <w:t xml:space="preserve">Austin Bradford Hill habló en 1965 ante la recién fundada Sección de Medicina del Trabajo de la Real Sociedad de Medicina, un año después del informe del Cirujano General de Estados Unidos sobre el tabaco y con sus propios estudios con Richard Doll sobre el cáncer de pulmón a la vista. La pregunta era la de siempre: ¿cuándo una asociación autoriza a hablar de causa? Su respuesta fueron nueve «puntos de vista»: fuerza, consistencia, especificidad, temporalidad, gradiente biológico, plausibilidad, coherencia, experimento y analogía. La posteridad los convirtió en «criterios», palabra que él nunca usó (Phillips &amp; Goodman, 2004). Él había dicho lo contrario. Ninguno de los nueve puede aportar pruebas indiscutibles a favor o en contra de la causalidad, ni puede exigirse como condición indispensable; lo que hacen es ayudar a responder la pregunta de fondo: ¿hay otra manera de explicar los hechos, otra respuesta igual o más probable que la causa? (Hill, 1965). Es la pregunta que el capítulo 2 pone en el centro de la inferencia clínica: no qué explica lo observado, sino qué más podría explicarlo. Sobre las pruebas de significación fue igual de breve: como el fuego, la prueba de ji cuadrado es un excelente sirviente y un mal amo (Hill, 1965). La saga de un valor p de 0,06 en el capítulo 9 es el comentario más largo de esa frase.</w:t>
      </w:r>
    </w:p>
    <w:p>
      <w:pPr>
        <w:pStyle w:val="BodyJ"/>
        <w:keepNext w:val="false"/>
      </w:pPr>
      <w:r>
        <w:t xml:space="preserve">Pero lo que hace de Hill un antepasado de la capa de decisión es la última sección de su conferencia, titulada «El caso para actuar»: «Todo trabajo científico es incompleto, sea observacional o experimental. Todo trabajo científico puede ser alterado o modificado por el avance del conocimiento. Eso no nos confiere la libertad de ignorar el conocimiento que ya tenemos ni de postergar la acción que parece exigir en un momento dado» (Hill, 1965, p. 300). Agregó enseguida que la evidencia exigida depende de lo que la acción cuesta. Con evidencia razonable se puede cambiar un aceite probablemente cancerígeno por otro en una fábrica, sin demasiada injusticia si uno se equivoca. Para hacer que la gente deje los cigarrillos, las grasas y el azúcar que le gustan, haría falta evidencia muy fuerte (Hill, 1965, p. 300). Es el umbral del capítulo 10 dicho por un epidemiólogo: cuánta evidencia basta depende del precio del error.</w:t>
      </w:r>
    </w:p>
    <w:p>
      <w:pPr>
        <w:pStyle w:val="Heading3"/>
        <w:keepNext/>
        <w:keepLines/>
        <w:spacing w:after="120" w:before="280"/>
      </w:pPr>
      <w:r>
        <w:rPr>
          <w:rFonts w:ascii="Gelasio" w:cs="Gelasio" w:eastAsia="Gelasio" w:hAnsi="Gelasio"/>
          <w:b/>
          <w:bCs/>
          <w:color w:val="2B2B2B"/>
          <w:sz w:val="25"/>
          <w:szCs w:val="25"/>
        </w:rPr>
        <w:t xml:space="preserve">El paciente: Engel y Balint</w:t>
      </w:r>
    </w:p>
    <w:p>
      <w:pPr>
        <w:pStyle w:val="BodyJ"/>
        <w:keepNext w:val="false"/>
      </w:pPr>
      <w:r>
        <w:t xml:space="preserve">En 1977, la psiquiatría estaba en crisis: unos decían que la enfermedad mental era un mito; otros pedían volver estrictamente al «modelo médico». George Engel, profesor de psiquiatría y de medicina en Rochester, respondió en </w:t>
      </w:r>
      <w:r>
        <w:rPr>
          <w:i/>
          <w:iCs/>
        </w:rPr>
        <w:t xml:space="preserve">Science</w:t>
      </w:r>
      <w:r>
        <w:t xml:space="preserve"> que la crisis no era de la psiquiatría, sino de toda la medicina, y que ambas venían del mismo defecto: un modelo de enfermedad que ya no alcanzaba para sus tareas científicas ni para sus responsabilidades sociales (Engel, 1977). El modelo biomédico, escribió, supone que la enfermedad queda completamente explicada por desviaciones de variables biológicas medibles, y no deja lugar para las dimensiones sociales, psicológicas y conductuales de enfermar. Agregó una frase que conecta su crítica con los cadáveres «anormales» de los galenistas: el modelo había adquirido el estatus de dogma, y mientras en ciencia un modelo se revisa o se abandona cuando no explica los datos, un dogma exige que los datos discrepantes se fuercen a calzar o se excluyan (Engel, 1977).</w:t>
      </w:r>
    </w:p>
    <w:p>
      <w:pPr>
        <w:pStyle w:val="BodyJ"/>
        <w:keepNext w:val="false"/>
      </w:pPr>
      <w:r>
        <w:t xml:space="preserve">Su propuesta, el modelo biopsicosocial, pedía considerar al paciente, el contexto social en que vive y el sistema que la sociedad organizó para enfrentar la enfermedad, incluido el propio rol del médico (Engel, 1977). La palabra no era suya —Grinker la había usado en 1954—, y la crítica más seria llegó después: el modelo terminó en un eclecticismo que dice qué mirar pero no cómo priorizar (Ghaemi, 2009). La objeción es justa, y este libro intenta una respuesta parcial. «Cuida a su marido» entra a la ficha como un hecho, con su procedencia, y pesa en la decisión como cualquier otro; lo que el modelo biopsicosocial nombró, HII-D intenta ubicarlo en una capa.</w:t>
      </w:r>
    </w:p>
    <w:p>
      <w:pPr>
        <w:pStyle w:val="BodyJ"/>
        <w:keepNext w:val="false"/>
      </w:pPr>
      <w:r>
        <w:t xml:space="preserve">Michael Balint, psiquiatra y psicoanalista de la Clínica Tavistock de Londres, llevaba años reuniendo a médicos generales en seminarios de investigación sobre las implicancias psicológicas de la práctica general cuando publicó, en 1957, el libro que resultó de ellos. Empieza con un hallazgo. El primer tema que discutieron fue el de los medicamentos que solían recetar, y la discusión reveló —«ciertamente no por primera vez en la historia de la medicina»— que el medicamento más usado en la práctica general era el propio médico. No importaba sólo el frasco o la caja de pastillas, sino la manera en que el médico los entregaba. El segundo hallazgo era peor: de ese medicamento no existía farmacología alguna, ninguna guía sobre su dosis, su forma ni su frecuencia (Balint, 1957, p. 1).</w:t>
      </w:r>
    </w:p>
    <w:p>
      <w:pPr>
        <w:pStyle w:val="BodyJ"/>
        <w:keepNext w:val="false"/>
      </w:pPr>
      <w:r>
        <w:t xml:space="preserve">Balint nombró además algo que cualquier internista reconoce. Cuando un paciente desconcertante circula entre su médico y una galaxia de especialistas, se produce la «colusión del anonimato»: se toman decisiones vitales sin que nadie se sienta plenamente responsable de ellas (Balint, 1957, p. 76). El capítulo 14 describió la cognición distribuida como una ventaja; Balint describió su costo. Una ficha en que cada interconsultor anota su parte y nadie firma la síntesis es la colusión del anonimato por escrito. Él mismo admitió que la idea central no era nueva. Lo nuevo fue el método: un grupo de médicos que discute con regularidad sus propios casos, a la vez investigación y formación (Balint, 1957, p. 3). Los grupos que llevan su nombre siguen reuniéndose.</w:t>
      </w:r>
    </w:p>
    <w:p>
      <w:pPr>
        <w:pStyle w:val="Heading3"/>
        <w:keepNext/>
        <w:keepLines/>
        <w:spacing w:after="120" w:before="280"/>
      </w:pPr>
      <w:r>
        <w:rPr>
          <w:rFonts w:ascii="Gelasio" w:cs="Gelasio" w:eastAsia="Gelasio" w:hAnsi="Gelasio"/>
          <w:b/>
          <w:bCs/>
          <w:color w:val="2B2B2B"/>
          <w:sz w:val="25"/>
          <w:szCs w:val="25"/>
        </w:rPr>
        <w:t xml:space="preserve">Qué tan originales fueron, y en qué se equivocaron</w:t>
      </w:r>
    </w:p>
    <w:p>
      <w:pPr>
        <w:pStyle w:val="BodyJ"/>
        <w:keepNext w:val="false"/>
      </w:pPr>
      <w:r>
        <w:t xml:space="preserve">Puesta en fila, la genealogía muestra un patrón. Casi ninguna de estas ideas era nueva cuando su autor la formuló. La auscultación se conocía desde los hipocráticos. Gordon y Holmes habían sospechado el contagio de la fiebre puerperal antes que Semmelweis (Stang et al., 2022). Al-Razi comparó grupos nueve siglos antes que Louis, y otros habían pensado el diagnóstico con máquinas antes que Ledley y Lusted. Grinker dijo «biopsicosocial» antes que Engel, Kuhn reconoció su deuda con Fleck y Balint escribió en su primera página que su hallazgo no era el primero. Lo que cada uno aportó fue un procedimiento que volvió verificable una intuición vieja: un cilindro de madera y la autopsia; una tabla con dos clínicas; un recuento con la advertencia de la edad; un lenguaje formal; nueve preguntas en lugar de reglas; un grupo que se reúne cada semana. Las ideas que sobreviven son las que se convierten en una práctica que otro puede repetir y que puede desmentir a quien la propuso.</w:t>
      </w:r>
    </w:p>
    <w:p>
      <w:pPr>
        <w:pStyle w:val="BodyJ"/>
        <w:keepNext w:val="false"/>
      </w:pPr>
      <w:r>
        <w:t xml:space="preserve">La misma lista muestra cuánto se equivocaron. Galeno describió como humana una anatomía en parte animal; Laennec llamó patognomónico a un ruido que no lo es; Louis siguió sangrando; Bernard despreció los promedios que hoy sostienen la medicina basada en evidencia; Semmelweis tenía razón y la perdió en parte por insultar a quienes debía convencer; Ledley y Lusted dejaron fuera de la fórmula la generación de hipótesis; el modelo de Engel no dice cómo priorizar. Los fundadores del razonamiento clínico no fueron clínicos infalibles. Fueron clínicos cuyo método permitió, después, corregirlos, y ésa es la única forma de autoridad que este libro defiende (capítulo 15).</w:t>
      </w:r>
    </w:p>
    <w:p>
      <w:pPr>
        <w:pStyle w:val="BodyJ"/>
        <w:keepNext w:val="false"/>
      </w:pPr>
      <w:r>
        <w:t xml:space="preserve">Dos advertencias impiden convertir este capítulo en un panteón. La primera: la genealogía es una selección, casi entera europea y norteamericana, porque de ahí vienen las instituciones que formaron la medicina que se practica en Chile, no porque el razonamiento clínico haya nacido sólo ahí; al-Razi está para recordarlo. La segunda: mirar el pasado buscando antepasados tiene un sesgo propio. Lo que parece anticipación genial suele ser lo que se parece a nosotros, y ninguno de estos médicos escribía para HII-D; leerlos así es útil mientras no se olvide que es una lectura.</w:t>
      </w:r>
    </w:p>
    <w:p>
      <w:pPr>
        <w:pStyle w:val="BodyJ"/>
        <w:keepNext w:val="false"/>
      </w:pPr>
      <w:r>
        <w:t xml:space="preserve">La lección alcanza a este libro. Las cuatro capas de HII-D están en una frase de las </w:t>
      </w:r>
      <w:r>
        <w:rPr>
          <w:i/>
          <w:iCs/>
        </w:rPr>
        <w:t xml:space="preserve">Epidemias</w:t>
      </w:r>
      <w:r>
        <w:t xml:space="preserve">; la incertidumbre como algo que se estima y se escribe, en Louis; la decisión separada de la inferencia, en Ledley y Lusted y en Hill; el paciente como fuente de hechos, en Engel y Balint. El capítulo siguiente no descubre nada. Intenta lo mismo que hicieron ellos, con menos genio y más modestia: convertir una distinción vieja en un procedimiento escrito —una hoja, una frase medular, una cláusula de reapertura— que otro pueda leer, repetir y refutar. Si el método vale, será por eso; y si no, el propio capítulo dice qué evidencia lo demostraría.</w:t>
      </w:r>
    </w:p>
    <w:p>
      <w:pPr>
        <w:pStyle w:val="EnUnaFrase"/>
      </w:pPr>
      <w:r>
        <w:rPr>
          <w:b/>
          <w:bCs/>
        </w:rPr>
        <w:t xml:space="preserve">En una frase.</w:t>
      </w:r>
      <w:r>
        <w:t xml:space="preserve"> Ninguna de las capas es nueva: todas tienen antepasados, y casi todos se equivocaron en algo; lo que sobrevive de cada uno es el procedimiento que permitió corregirlos, y eso es lo único que HII-D pretende heredar.</w:t>
      </w:r>
    </w:p>
    <w:p>
      <w:pPr>
        <w:pStyle w:val="BodyJ"/>
        <w:keepNext/>
        <w:spacing w:after="80" w:before="160"/>
      </w:pPr>
      <w:r>
        <w:rPr>
          <w:b/>
          <w:bCs/>
        </w:rPr>
        <w:t xml:space="preserve">Tres preguntas para la próxima visita.</w:t>
      </w:r>
    </w:p>
    <w:p>
      <w:pPr>
        <w:pStyle w:val="BodyJ"/>
        <w:keepNext/>
        <w:numPr>
          <w:ilvl w:val="0"/>
          <w:numId w:val="21"/>
        </w:numPr>
      </w:pPr>
      <w:r>
        <w:t xml:space="preserve">¿Qué hecho de mi nota de hoy depende de un instrumento o de un oído entrenado, y contra qué patrón de referencia se validó alguna vez?</w:t>
      </w:r>
    </w:p>
    <w:p>
      <w:pPr>
        <w:pStyle w:val="BodyJ"/>
        <w:keepNext/>
        <w:numPr>
          <w:ilvl w:val="0"/>
          <w:numId w:val="21"/>
        </w:numPr>
      </w:pPr>
      <w:r>
        <w:t xml:space="preserve">¿Qué costumbre del servicio sostenemos sólo porque nadie la ha contado, como la sangría antes de Louis?</w:t>
      </w:r>
    </w:p>
    <w:p>
      <w:pPr>
        <w:pStyle w:val="BodyJ"/>
        <w:keepNext w:val="false"/>
        <w:numPr>
          <w:ilvl w:val="0"/>
          <w:numId w:val="21"/>
        </w:numPr>
      </w:pPr>
      <w:r>
        <w:t xml:space="preserve">En mi último paciente que pasó por varios especialistas, ¿quién firmó la síntesis, o hubo colusión del anonimato?</w:t>
      </w:r>
    </w:p>
    <w:p>
      <w:pPr>
        <w:pStyle w:val="Heading2"/>
        <w:keepNext/>
        <w:keepLines/>
        <w:pageBreakBefore/>
        <w:spacing w:after="300" w:before="600"/>
      </w:pPr>
      <w:r>
        <w:rPr>
          <w:rFonts w:ascii="Gelasio" w:cs="Gelasio" w:eastAsia="Gelasio" w:hAnsi="Gelasio"/>
          <w:b/>
          <w:bCs/>
          <w:color w:val="8C2F2F"/>
          <w:sz w:val="22"/>
          <w:szCs w:val="22"/>
        </w:rPr>
        <w:t xml:space="preserve">Capítulo 17</w:t>
      </w:r>
      <w:r>
        <w:rPr>
          <w:rFonts w:ascii="Gelasio" w:cs="Gelasio" w:eastAsia="Gelasio" w:hAnsi="Gelasio"/>
          <w:b/>
          <w:bCs/>
          <w:color w:val="3D5A6C"/>
          <w:sz w:val="32"/>
          <w:szCs w:val="32"/>
        </w:rPr>
        <w:br/>
        <w:t xml:space="preserve">El método HII-D: una epistemología operativa</w:t>
      </w:r>
    </w:p>
    <w:p>
      <w:pPr>
        <w:pStyle w:val="BodyJ"/>
        <w:keepNext w:val="false"/>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keepNext/>
        <w:keepLines/>
        <w:spacing w:after="120" w:before="280"/>
      </w:pPr>
      <w:r>
        <w:rPr>
          <w:rFonts w:ascii="Gelasio" w:cs="Gelasio" w:eastAsia="Gelasio" w:hAnsi="Gelasio"/>
          <w:b/>
          <w:bCs/>
          <w:color w:val="2B2B2B"/>
          <w:sz w:val="25"/>
          <w:szCs w:val="25"/>
        </w:rPr>
        <w:t xml:space="preserve">Una heurística, no una escala</w:t>
      </w:r>
    </w:p>
    <w:p>
      <w:pPr>
        <w:pStyle w:val="BodyJ"/>
        <w:keepNext w:val="false"/>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keepNext w:val="false"/>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959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95925" cy="432435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Qué añade frente a los modelos existentes</w:t>
      </w:r>
    </w:p>
    <w:p>
      <w:pPr>
        <w:pStyle w:val="BodyJ"/>
        <w:keepNext w:val="false"/>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keepNext w:val="false"/>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BodyJ"/>
        <w:keepNext w:val="false"/>
      </w:pPr>
      <w:r>
        <w:t xml:space="preserve">El léxico de certeza tampoco nace aquí. En 1964, Sherman Kent propuso a los analistas de inteligencia de su país una escala de palabras con probabilidades asignadas —«casi seguro», alrededor de 93%; «probable», alrededor de 75%— después de comprobar que los miembros de un mismo comité habían leído «una posibilidad seria» como cualquier cosa entre 20% y 80% (Kent, 1964). En radiología, el servicio que creó un léxico así lo incluye en cada informe desde 2009 (Panicek &amp; Hricak, 2016). Cuando se preguntó a 142 radiólogos de un mismo hospital qué frase preferían para cada grado de certeza, el acuerdo fue bajo (alfa de Krippendorff de 0,217) (Shinagare et al., 2019), y una escala con porcentajes adoptada después por doce radiólogos voluntarios aumentó el uso de los términos recomendados de 80,0% a 85,8% (Shinagare et al., 2020). En población general, una revisión sistemática encontró que el valor atribuido a una misma palabra varía tanto que «raro» significó en promedio entre 7% y 21% según el estudio, y que en diez de doce muestras la mayoría prefería cifras, solas o junto a las palabras (Andreadis et al., 2021). Dos diferencias con esas escalas son deliberadas y conviene declararlas: este léxico gradúa inferencias dentro de la nota clínica y todavía no asigna números a sus palabras —esa traducción es parte del piloto pendiente—, y usa «posible» como un peldaño, cuando Kent lo dejaba a propósito fuera de la escala, sin probabilidad asignada.</w:t>
      </w:r>
    </w:p>
    <w:p>
      <w:pPr>
        <w:pStyle w:val="Heading3"/>
        <w:keepNext/>
        <w:keepLines/>
        <w:spacing w:after="120" w:before="280"/>
      </w:pPr>
      <w:r>
        <w:rPr>
          <w:rFonts w:ascii="Gelasio" w:cs="Gelasio" w:eastAsia="Gelasio" w:hAnsi="Gelasio"/>
          <w:b/>
          <w:bCs/>
          <w:color w:val="2B2B2B"/>
          <w:sz w:val="25"/>
          <w:szCs w:val="25"/>
        </w:rPr>
        <w:t xml:space="preserve">Paso 1. Definir la pregunta</w:t>
      </w:r>
    </w:p>
    <w:p>
      <w:pPr>
        <w:pStyle w:val="BodyJ"/>
        <w:keepNext w:val="false"/>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keepNext w:val="false"/>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keepNext/>
        <w:keepLines/>
        <w:spacing w:after="120" w:before="280"/>
      </w:pPr>
      <w:r>
        <w:rPr>
          <w:rFonts w:ascii="Gelasio" w:cs="Gelasio" w:eastAsia="Gelasio" w:hAnsi="Gelasio"/>
          <w:b/>
          <w:bCs/>
          <w:color w:val="2B2B2B"/>
          <w:sz w:val="25"/>
          <w:szCs w:val="25"/>
        </w:rPr>
        <w:t xml:space="preserve">Paso 2. Inventariar hechos y procedencia</w:t>
      </w:r>
    </w:p>
    <w:p>
      <w:pPr>
        <w:pStyle w:val="BodyJ"/>
        <w:keepNext w:val="false"/>
      </w:pPr>
      <w:r>
        <w:t xml:space="preserve">Se seleccionan hechos capaces de modificar la respuesta. Cada uno conserva fuente, fecha, tendencia y limitación. Debe distinguirse dato presente, hallazgo negativo, dato ausente y dato no evaluable.</w:t>
      </w:r>
    </w:p>
    <w:p>
      <w:pPr>
        <w:pStyle w:val="BodyJ"/>
        <w:keepNext w:val="false"/>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presión arterial media de 55 mmHg y 112 latidos por minuto; lactato de 3,9 mmol/L a las 04:15 y de 2,3 en el control; llene capilar de tres a cuatro segundos medido por Marcela; hemocultivos positivos a las 12 horas; tomografía sin isquemia; y la frase textual «esta vez la hernia no se dejó acomodar».</w:t>
      </w:r>
    </w:p>
    <w:p>
      <w:pPr>
        <w:pStyle w:val="Heading3"/>
        <w:keepNext/>
        <w:keepLines/>
        <w:spacing w:after="120" w:before="280"/>
      </w:pPr>
      <w:r>
        <w:rPr>
          <w:rFonts w:ascii="Gelasio" w:cs="Gelasio" w:eastAsia="Gelasio" w:hAnsi="Gelasio"/>
          <w:b/>
          <w:bCs/>
          <w:color w:val="2B2B2B"/>
          <w:sz w:val="25"/>
          <w:szCs w:val="25"/>
        </w:rPr>
        <w:t xml:space="preserve">Paso 3. Formular inferencias graduadas</w:t>
      </w:r>
    </w:p>
    <w:p>
      <w:pPr>
        <w:pStyle w:val="BodyJ"/>
        <w:keepNext w:val="false"/>
      </w:pPr>
      <w:r>
        <w:t xml:space="preserve">Se propone una representación principal y, si importa, alternativas. Cada inferencia se acompaña de una fuerza verbal proporcional: demostrado, altamente probable, probable, posible o no demostrado. Deben explicitarse los enlaces causales no observados.</w:t>
      </w:r>
    </w:p>
    <w:p>
      <w:pPr>
        <w:pStyle w:val="BodyJ"/>
        <w:keepNext w:val="false"/>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keepNext/>
        <w:keepLines/>
        <w:spacing w:after="120" w:before="280"/>
      </w:pPr>
      <w:r>
        <w:rPr>
          <w:rFonts w:ascii="Gelasio" w:cs="Gelasio" w:eastAsia="Gelasio" w:hAnsi="Gelasio"/>
          <w:b/>
          <w:bCs/>
          <w:color w:val="2B2B2B"/>
          <w:sz w:val="25"/>
          <w:szCs w:val="25"/>
        </w:rPr>
        <w:t xml:space="preserve">Paso 4. Mapear incertidumbre</w:t>
      </w:r>
    </w:p>
    <w:p>
      <w:pPr>
        <w:pStyle w:val="BodyJ"/>
        <w:keepNext w:val="false"/>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keepNext w:val="false"/>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keepNext/>
        <w:keepLines/>
        <w:spacing w:after="120" w:before="280"/>
      </w:pPr>
      <w:r>
        <w:rPr>
          <w:rFonts w:ascii="Gelasio" w:cs="Gelasio" w:eastAsia="Gelasio" w:hAnsi="Gelasio"/>
          <w:b/>
          <w:bCs/>
          <w:color w:val="2B2B2B"/>
          <w:sz w:val="25"/>
          <w:szCs w:val="25"/>
        </w:rPr>
        <w:t xml:space="preserve">Paso 5. Decidir por umbral y consecuencias</w:t>
      </w:r>
    </w:p>
    <w:p>
      <w:pPr>
        <w:pStyle w:val="BodyJ"/>
        <w:keepNext w:val="false"/>
      </w:pPr>
      <w:r>
        <w:t xml:space="preserve">La decisión integra probabilidad, gravedad, tiempo, reversibilidad, capacidad de monitorización y valores, y también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keepNext w:val="false"/>
      </w:pPr>
      <w:r>
        <w:t xml:space="preserve">Toda decisión incluye un plan de reapertura: criterio clínico, resultado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keepNext/>
        <w:keepLines/>
      </w:pPr>
      <w:r>
        <w:t xml:space="preserve">Caja de herramientas. HII-D en sesenta segundos</w:t>
      </w:r>
    </w:p>
    <w:p>
      <w:pPr>
        <w:pStyle w:val="BodyJ"/>
        <w:keepNext/>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keepNext/>
        <w:numPr>
          <w:ilvl w:val="0"/>
          <w:numId w:val="22"/>
        </w:numPr>
      </w:pPr>
      <w:r>
        <w:rPr>
          <w:b/>
          <w:bCs/>
        </w:rPr>
        <w:t xml:space="preserve">¿Qué vi y qué me contaron?</w:t>
      </w:r>
      <w:r>
        <w:t xml:space="preserve"> (un hecho decisivo, con su fuente)</w:t>
      </w:r>
    </w:p>
    <w:p>
      <w:pPr>
        <w:pStyle w:val="BodyJ"/>
        <w:keepNext/>
        <w:numPr>
          <w:ilvl w:val="0"/>
          <w:numId w:val="22"/>
        </w:numPr>
      </w:pPr>
      <w:r>
        <w:rPr>
          <w:b/>
          <w:bCs/>
        </w:rPr>
        <w:t xml:space="preserve">¿Qué creo y cuánto derecho tengo a creerlo?</w:t>
      </w:r>
      <w:r>
        <w:t xml:space="preserve"> (la inferencia principal, con su grado)</w:t>
      </w:r>
    </w:p>
    <w:p>
      <w:pPr>
        <w:pStyle w:val="BodyJ"/>
        <w:keepNext/>
        <w:numPr>
          <w:ilvl w:val="0"/>
          <w:numId w:val="22"/>
        </w:numPr>
      </w:pPr>
      <w:r>
        <w:rPr>
          <w:b/>
          <w:bCs/>
        </w:rPr>
        <w:t xml:space="preserve">¿Qué daño importante podría producir si estoy equivocado?</w:t>
      </w:r>
      <w:r>
        <w:t xml:space="preserve"> (la incertidumbre peligrosa, no todas)</w:t>
      </w:r>
    </w:p>
    <w:p>
      <w:pPr>
        <w:pStyle w:val="BodyJ"/>
        <w:keepNext w:val="false"/>
        <w:numPr>
          <w:ilvl w:val="0"/>
          <w:numId w:val="22"/>
        </w:numPr>
      </w:pPr>
      <w:r>
        <w:rPr>
          <w:b/>
          <w:bCs/>
        </w:rPr>
        <w:t xml:space="preserve">¿Qué hago y qué me haría cambiar antes del próximo control?</w:t>
      </w:r>
      <w:r>
        <w:t xml:space="preserve"> (decisión con criterio de reapertura)</w:t>
      </w:r>
    </w:p>
    <w:p>
      <w:pPr>
        <w:pStyle w:val="BodyJ"/>
        <w:keepNext w:val="false"/>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keepNext/>
        <w:keepLines/>
        <w:spacing w:after="120" w:before="280"/>
      </w:pPr>
      <w:r>
        <w:rPr>
          <w:rFonts w:ascii="Gelasio" w:cs="Gelasio" w:eastAsia="Gelasio" w:hAnsi="Gelasio"/>
          <w:b/>
          <w:bCs/>
          <w:color w:val="2B2B2B"/>
          <w:sz w:val="25"/>
          <w:szCs w:val="25"/>
        </w:rPr>
        <w:t xml:space="preserve">Uso en equipo, calibración y auditoría</w:t>
      </w:r>
    </w:p>
    <w:p>
      <w:pPr>
        <w:pStyle w:val="BodyJ"/>
        <w:keepNext w:val="false"/>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keepNext w:val="false"/>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BodyJ"/>
        <w:keepNext w:val="false"/>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keepNext w:val="false"/>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keepNext/>
        <w:keepLines/>
        <w:spacing w:after="120" w:before="280"/>
      </w:pPr>
      <w:r>
        <w:rPr>
          <w:rFonts w:ascii="Gelasio" w:cs="Gelasio" w:eastAsia="Gelasio" w:hAnsi="Gelasio"/>
          <w:b/>
          <w:bCs/>
          <w:color w:val="2B2B2B"/>
          <w:sz w:val="25"/>
          <w:szCs w:val="25"/>
        </w:rPr>
        <w:t xml:space="preserve">Qué evidencia me haría abandonar este método</w:t>
      </w:r>
    </w:p>
    <w:p>
      <w:pPr>
        <w:pStyle w:val="BodyJ"/>
        <w:keepNext w:val="false"/>
      </w:pPr>
      <w:r>
        <w:t xml:space="preserve">Un libro que exige compromisos observables a cada hipótesis clínica debe formular los suyos. Estos son los míos.</w:t>
      </w:r>
    </w:p>
    <w:p>
      <w:pPr>
        <w:pStyle w:val="BodyJ"/>
        <w:keepNext w:val="false"/>
      </w:pPr>
      <w:r>
        <w:t xml:space="preserve">Primero: si clínicos entrenados no logran un acuerdo razonable al clasificar las frases de una nota en hechos, inferencias e incertidumbre, la distinción central del método es subjetiva en la práctica, y HII-D debe reformularse o abandonarse. Medirlo no exige más que notas reales y dos o tres lectores: la unidad es la proposición (cada cláusula que afirma algo), cada lector la asigna por separado a una capa, y el acuerdo se mide con un índice corregido por azar, como kappa, contra un umbral fijado antes de mirar los datos; un kappa bajo 0,6 bastaría para reabrir el método. La trazabilidad que promete depende de que las capas sean reconocibles entre lectores, no sólo para quien escribe.</w:t>
      </w:r>
    </w:p>
    <w:p>
      <w:pPr>
        <w:pStyle w:val="BodyJ"/>
        <w:keepNext w:val="false"/>
      </w:pPr>
      <w:r>
        <w:t xml:space="preserve">Segundo: si las notas escritas con esta disciplina no difieren de las convencionales en instrumentos validados de calidad de registro, como el PDQI-9 (Stetson et al., 2012), ni en la capacidad de otro clínico para reconstruir el razonamiento a partir de ellas, el método es cosmética con nombre propio. La segunda prueba es la que importa: un clínico que no conoce al paciente lee la nota y escribe qué se sabe, qué se cree y con cuánta fuerza, y qué haría cambiar el plan; un evaluador que no sabe con qué formato se escribió compara esas respuestas con las del autor.</w:t>
      </w:r>
    </w:p>
    <w:p>
      <w:pPr>
        <w:pStyle w:val="BodyJ"/>
        <w:keepNext w:val="false"/>
      </w:pPr>
      <w:r>
        <w:t xml:space="preserve">Tercero: si un servicio que adopta el léxico de certeza no mueve en seis meses ninguno de los tres indicadores del Apéndice C, medidos en una muestra mensual de fichas antes y después de adoptarlo —ningún «se descarta» reconvertido, ningún criterio de reapertura agregado, ninguna vigilancia activada que antes no existía—, el léxico es un póster, no una herramienta.</w:t>
      </w:r>
    </w:p>
    <w:p>
      <w:pPr>
        <w:pStyle w:val="BodyJ"/>
        <w:keepNext w:val="false"/>
      </w:pPr>
      <w:r>
        <w:t xml:space="preserve">Cuarto: si los minutos que la versión completa agrega a cada nota, cronometrados, no se pagan con cambios en las tres pruebas anteriores, la respuesta racional no es la fe sino la poda: quedarse con la versión de sesenta segundos, o con nada.</w:t>
      </w:r>
    </w:p>
    <w:p>
      <w:pPr>
        <w:pStyle w:val="BodyJ"/>
        <w:keepNext w:val="false"/>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keepNext/>
        <w:keepLines/>
        <w:spacing w:after="120" w:before="280"/>
      </w:pPr>
      <w:r>
        <w:rPr>
          <w:rFonts w:ascii="Gelasio" w:cs="Gelasio" w:eastAsia="Gelasio" w:hAnsi="Gelasio"/>
          <w:b/>
          <w:bCs/>
          <w:color w:val="2B2B2B"/>
          <w:sz w:val="25"/>
          <w:szCs w:val="25"/>
        </w:rPr>
        <w:t xml:space="preserve">Límites</w:t>
      </w:r>
    </w:p>
    <w:p>
      <w:pPr>
        <w:pStyle w:val="BodyJ"/>
        <w:keepNext w:val="false"/>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keepNext w:val="false"/>
      </w:pPr>
      <w:r>
        <w:t xml:space="preserve">El valor del método depende de una actitud: aceptar que la claridad no consiste en eliminar la complejidad, sino en ordenar qué tipo de conocimiento representa cada afirmación.</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keepNext/>
        <w:spacing w:after="80" w:before="160"/>
      </w:pPr>
      <w:r>
        <w:rPr>
          <w:b/>
          <w:bCs/>
        </w:rPr>
        <w:t xml:space="preserve">Tres preguntas para la próxima visita.</w:t>
      </w:r>
    </w:p>
    <w:p>
      <w:pPr>
        <w:pStyle w:val="BodyJ"/>
        <w:keepNext/>
        <w:numPr>
          <w:ilvl w:val="0"/>
          <w:numId w:val="23"/>
        </w:numPr>
      </w:pPr>
      <w:r>
        <w:t xml:space="preserve">¿Cuál es la pregunta operativa de mi caso más difícil —la decisión real en juego, no «el diagnóstico»—?</w:t>
      </w:r>
    </w:p>
    <w:p>
      <w:pPr>
        <w:pStyle w:val="BodyJ"/>
        <w:keepNext/>
        <w:numPr>
          <w:ilvl w:val="0"/>
          <w:numId w:val="23"/>
        </w:numPr>
      </w:pPr>
      <w:r>
        <w:t xml:space="preserve">¿Mi nota de hoy permite a otro médico reconstruir mis cuatro capas, o sólo mi conclusión?</w:t>
      </w:r>
    </w:p>
    <w:p>
      <w:pPr>
        <w:pStyle w:val="BodyJ"/>
        <w:keepNext w:val="false"/>
        <w:numPr>
          <w:ilvl w:val="0"/>
          <w:numId w:val="23"/>
        </w:numPr>
      </w:pPr>
      <w:r>
        <w:t xml:space="preserve">¿Qué decisión de esta semana tomé sin criterio de reapertura, y todavía estoy a tiempo de escribirlo?</w:t>
      </w:r>
    </w:p>
    <w:p>
      <w:pPr>
        <w:pStyle w:val="Heading2"/>
        <w:keepNext/>
        <w:keepLines/>
        <w:pageBreakBefore/>
        <w:spacing w:after="300" w:before="600"/>
      </w:pPr>
      <w:r>
        <w:rPr>
          <w:rFonts w:ascii="Gelasio" w:cs="Gelasio" w:eastAsia="Gelasio" w:hAnsi="Gelasio"/>
          <w:b/>
          <w:bCs/>
          <w:color w:val="8C2F2F"/>
          <w:sz w:val="22"/>
          <w:szCs w:val="22"/>
        </w:rPr>
        <w:t xml:space="preserve">Cuaderno de casos</w:t>
      </w:r>
      <w:r>
        <w:rPr>
          <w:rFonts w:ascii="Gelasio" w:cs="Gelasio" w:eastAsia="Gelasio" w:hAnsi="Gelasio"/>
          <w:b/>
          <w:bCs/>
          <w:color w:val="3D5A6C"/>
          <w:sz w:val="32"/>
          <w:szCs w:val="32"/>
        </w:rPr>
        <w:br/>
        <w:t xml:space="preserve">Ocho viñetas para una lectura metacognitiva</w:t>
      </w:r>
    </w:p>
    <w:p>
      <w:pPr>
        <w:pStyle w:val="BodyJ"/>
        <w:keepNext w:val="false"/>
      </w:pPr>
      <w:r>
        <w:t xml:space="preserve">Las viñetas siguientes son composiciones docentes. Cada una se presenta con la estructura HII-D y una frase medular, salvo las dos primeras: vuelven a casos que el libro ya escribió en capas (el Interludio I y el capítulo 13) y guardan sólo lo que esas versiones no tienen. No son casos «resueltos»: son casos representados. La invitación es leer cada uno dos veces —primero como clínico, buscando la conducta; después como lector metacognitivo, observando qué hace cada capa—.</w:t>
      </w:r>
    </w:p>
    <w:p>
      <w:pPr>
        <w:pStyle w:val="Heading3"/>
        <w:keepNext/>
        <w:keepLines/>
        <w:spacing w:after="120" w:before="280"/>
      </w:pPr>
      <w:r>
        <w:rPr>
          <w:rFonts w:ascii="Gelasio" w:cs="Gelasio" w:eastAsia="Gelasio" w:hAnsi="Gelasio"/>
          <w:b/>
          <w:bCs/>
          <w:color w:val="2B2B2B"/>
          <w:sz w:val="25"/>
          <w:szCs w:val="25"/>
        </w:rPr>
        <w:t xml:space="preserve">Viñeta 1. Carmen: obstrucción recurrente y cambio cualitativo de riesgo</w:t>
      </w:r>
    </w:p>
    <w:p>
      <w:pPr>
        <w:pStyle w:val="BodyJ"/>
        <w:keepNext w:val="false"/>
      </w:pPr>
      <w:r>
        <w:t xml:space="preserve">La historia de Carmen atraviesa todo este libro. Sus datos y sus cuatro capas están escritos en el Interludio I, y no se repiten aquí; esta viñeta guarda lo que cabe en una entrega de turno y el final que el libro le debía.</w:t>
      </w:r>
    </w:p>
    <w:p>
      <w:pPr>
        <w:pStyle w:val="BodyJ"/>
        <w:keepNext w:val="false"/>
      </w:pPr>
      <w:r>
        <w:t xml:space="preserve">Mujer de 61 años con hernia incisional de la línea media y tres suboclusiones en el último año, resueltas con manejo médico. Ingresa por un cuarto episodio, esta vez con shock séptico y bacteriemia por gramnegativos, que responde en pocas horas a la reanimación y a los antibióticos; la tomografía no muestra isquemia ni perforación, y el abdomen no tiene signos peritoneales. La cirugía de urgencia no está indicada; la pregunta es otra: qué pasa si vuelve a ocurrir.</w:t>
      </w:r>
    </w:p>
    <w:p>
      <w:pPr>
        <w:pStyle w:val="BodyJ"/>
        <w:keepNext w:val="false"/>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keepNext w:val="false"/>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keepNext/>
        <w:keepLines/>
        <w:spacing w:after="120" w:before="280"/>
      </w:pPr>
      <w:r>
        <w:rPr>
          <w:rFonts w:ascii="Gelasio" w:cs="Gelasio" w:eastAsia="Gelasio" w:hAnsi="Gelasio"/>
          <w:b/>
          <w:bCs/>
          <w:color w:val="2B2B2B"/>
          <w:sz w:val="25"/>
          <w:szCs w:val="25"/>
        </w:rPr>
        <w:t xml:space="preserve">Viñeta 2. Bacteriuria en paciente con sonda permanente</w:t>
      </w:r>
    </w:p>
    <w:p>
      <w:pPr>
        <w:pStyle w:val="BodyJ"/>
        <w:keepNext w:val="false"/>
      </w:pPr>
      <w:r>
        <w:t xml:space="preserve">Es el paciente de la cama 12 del capítulo 8, cuya ficha el capítulo 13 ordenó entera en la matriz HII-D: hombre con lesión medular completa, sonda Foley permanente y un cáncer renal metastásico en progresión, con orina turbia, piuria y urocultivo positivo tras un recambio traumático de sonda, afebril y estable, y con antecedente de colonización por enterobacteria productora de BLEE. Las cuatro capas no se repiten; esta viñeta guarda lo que cabe en una entrega de turno y una lectura del antecedente que suele hacerse al revés.</w:t>
      </w:r>
    </w:p>
    <w:p>
      <w:pPr>
        <w:pStyle w:val="BodyJ"/>
        <w:keepNext w:val="false"/>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se suspende el antibiótico, con vigilancia clínica estricta y criterios explícitos de reapertura.»</w:t>
      </w:r>
    </w:p>
    <w:p>
      <w:pPr>
        <w:pStyle w:val="BodyJ"/>
        <w:keepNext w:val="false"/>
      </w:pPr>
      <w:r>
        <w:rPr>
          <w:i/>
          <w:iCs/>
        </w:rPr>
        <w:t xml:space="preserve">Qué se vigila, por escrito:</w:t>
      </w:r>
      <w:r>
        <w:t xml:space="preserve"> fiebre nueva, inestabilidad hemodinámica, aumento súbito de espasticidad, sudoración o malestar general inexplicable. Son los equivalentes de una respuesta sistémica o autonómica en quien no puede sentir la disuria ni el dolor lumbar.</w:t>
      </w:r>
    </w:p>
    <w:p>
      <w:pPr>
        <w:pStyle w:val="BodyJ"/>
        <w:keepNext w:val="false"/>
      </w:pPr>
      <w:r>
        <w:rPr>
          <w:i/>
          <w:iCs/>
        </w:rPr>
        <w:t xml:space="preserve">Lectura metacognitiva.</w:t>
      </w:r>
      <w:r>
        <w:t xml:space="preserve"> El antecedente de BLEE suele leerse como un gatillo para prescribir antes, y es al revés: como un tratamiento dirigido probablemente exigiría carbapenémicos, de alto impacto ecológico y toxicidad potencial, el umbral para reiniciar antibióticos debe ser más exigente, no menos. Y ni la turbidez ni la piuria discriminan, por sí solas, entre colonización e infección en un paciente sondado.</w:t>
      </w:r>
    </w:p>
    <w:p>
      <w:pPr>
        <w:pStyle w:val="Heading3"/>
        <w:keepNext/>
        <w:keepLines/>
        <w:spacing w:after="120" w:before="280"/>
      </w:pPr>
      <w:r>
        <w:rPr>
          <w:rFonts w:ascii="Gelasio" w:cs="Gelasio" w:eastAsia="Gelasio" w:hAnsi="Gelasio"/>
          <w:b/>
          <w:bCs/>
          <w:color w:val="2B2B2B"/>
          <w:sz w:val="25"/>
          <w:szCs w:val="25"/>
        </w:rPr>
        <w:t xml:space="preserve">Viñeta 3. Tres de la mañana: decidir con el reloj en contra</w:t>
      </w:r>
    </w:p>
    <w:p>
      <w:pPr>
        <w:pStyle w:val="BodyJ"/>
        <w:keepNext w:val="false"/>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keepNext w:val="false"/>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keepNext w:val="false"/>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keepNext w:val="false"/>
      </w:pPr>
      <w:r>
        <w:rPr>
          <w:i/>
          <w:iCs/>
        </w:rPr>
        <w:t xml:space="preserve">¿Qué daño importante podría producir si estoy equivocado?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keepNext w:val="false"/>
      </w:pPr>
      <w:r>
        <w:rPr>
          <w:i/>
          <w:iCs/>
        </w:rPr>
        <w:t xml:space="preserve">¿Qué hago y qué me haría cambiar antes del próximo control?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keepNext w:val="false"/>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keepNext w:val="false"/>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keepNext/>
        <w:keepLines/>
        <w:spacing w:after="120" w:before="280"/>
      </w:pPr>
      <w:r>
        <w:rPr>
          <w:rFonts w:ascii="Gelasio" w:cs="Gelasio" w:eastAsia="Gelasio" w:hAnsi="Gelasio"/>
          <w:b/>
          <w:bCs/>
          <w:color w:val="2B2B2B"/>
          <w:sz w:val="25"/>
          <w:szCs w:val="25"/>
        </w:rPr>
        <w:t xml:space="preserve">Viñeta 4. La consulta ambulatoria y el chequeo reciente</w:t>
      </w:r>
    </w:p>
    <w:p>
      <w:pPr>
        <w:pStyle w:val="BodyJ"/>
        <w:keepNext w:val="false"/>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keepNext w:val="false"/>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keepNext w:val="false"/>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keepNext w:val="false"/>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keepNext w:val="false"/>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keepNext w:val="false"/>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keepNext w:val="false"/>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keepNext/>
        <w:keepLines/>
        <w:spacing w:after="120" w:before="280"/>
      </w:pPr>
      <w:r>
        <w:rPr>
          <w:rFonts w:ascii="Gelasio" w:cs="Gelasio" w:eastAsia="Gelasio" w:hAnsi="Gelasio"/>
          <w:b/>
          <w:bCs/>
          <w:color w:val="2B2B2B"/>
          <w:sz w:val="25"/>
          <w:szCs w:val="25"/>
        </w:rPr>
        <w:t xml:space="preserve">Viñeta 5. Pronóstico incierto al final de la vida</w:t>
      </w:r>
    </w:p>
    <w:p>
      <w:pPr>
        <w:pStyle w:val="BodyJ"/>
        <w:keepNext w:val="false"/>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keepNext w:val="false"/>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keepNext w:val="false"/>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keepNext w:val="false"/>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qué cargas terapéuticas está dispuesto a tolerar y está en condiciones de decidirlo él mismo?</w:t>
      </w:r>
    </w:p>
    <w:p>
      <w:pPr>
        <w:pStyle w:val="BodyJ"/>
        <w:keepNext w:val="false"/>
      </w:pPr>
      <w:r>
        <w:rPr>
          <w:i/>
          <w:iCs/>
        </w:rPr>
        <w:t xml:space="preserve">Decisión:</w:t>
      </w:r>
      <w:r>
        <w:t xml:space="preserve"> antibióticos endovenosos y oxigenoterapia no invasiva con un objetivo explícito de alivio sintomático y eventual retorno a su casa (medidas reversibles y proporcionadas). Evaluar su capacidad de decidir en un período de lucidez —si comprende su situación y las opciones, si aprecia que se aplican a él, si razona sobre ellas y si puede expresar una elección (Appelbaum, 2007)— y, si la tiene, preguntarle a él antes que a la familia. La cuarta línea no se cierra en el pasillo ni en la interconsulta: se discute en una reunión familiar estructurada cuyo objeto es conocer y respetar la voluntad del paciente. Reevaluación a las 72 horas según respuesta funcional y confort.</w:t>
      </w:r>
    </w:p>
    <w:p>
      <w:pPr>
        <w:pStyle w:val="BodyJ"/>
        <w:keepNext w:val="false"/>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se evalúa su capacidad de decidir en la próxima ventana de lucidez y las medidas invasivas se subordinan a sus preferencias.»</w:t>
      </w:r>
    </w:p>
    <w:p>
      <w:pPr>
        <w:pStyle w:val="BodyJ"/>
        <w:keepNext w:val="false"/>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 Un paciente lúcido a ratos tampoco es un paciente sin voz: la capacidad se evalúa para cada decisión y en el momento en que se toma, y no se presume perdida porque fluctúe.</w:t>
      </w:r>
    </w:p>
    <w:p>
      <w:pPr>
        <w:pStyle w:val="Heading3"/>
        <w:keepNext/>
        <w:keepLines/>
        <w:spacing w:after="120" w:before="280"/>
      </w:pPr>
      <w:r>
        <w:rPr>
          <w:rFonts w:ascii="Gelasio" w:cs="Gelasio" w:eastAsia="Gelasio" w:hAnsi="Gelasio"/>
          <w:b/>
          <w:bCs/>
          <w:color w:val="2B2B2B"/>
          <w:sz w:val="25"/>
          <w:szCs w:val="25"/>
        </w:rPr>
        <w:t xml:space="preserve">Viñeta 6. Anatomía de un error consumado</w:t>
      </w:r>
    </w:p>
    <w:p>
      <w:pPr>
        <w:pStyle w:val="BodyJ"/>
        <w:keepNext w:val="false"/>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keepNext w:val="false"/>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keepNext/>
      </w:pPr>
      <w:r>
        <w:rPr>
          <w:i/>
          <w:iCs/>
        </w:rPr>
        <w:t xml:space="preserve">Reconstrucción epistémica por capas.</w:t>
      </w:r>
    </w:p>
    <w:p>
      <w:pPr>
        <w:pStyle w:val="BodyJ"/>
        <w:keepNext w:val="false"/>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keepNext w:val="false"/>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keepNext w:val="false"/>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 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keepNext w:val="false"/>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keepNext w:val="false"/>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 D. Treinta y seis horas más tarde, la pregunta no formulada la respondió el síncope.</w:t>
      </w:r>
    </w:p>
    <w:p>
      <w:pPr>
        <w:pStyle w:val="BodyJ"/>
        <w:keepNext w:val="false"/>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keepNext w:val="false"/>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Probabilidad clínica no alta y PERC no cumplido (frecuencia cardiaca, saturación, estrógenos): no procede el alta sin estudiar embolia pulmonar. Dímero D ahora y angioTAC si resulta elevado; si la probabilidad clínica fuera alta, angioTAC directo, sin dímero D. Reconsulta inmediata, por escrito, ante síncope, dolor torácico o disnea en reposo.»</w:t>
      </w:r>
    </w:p>
    <w:p>
      <w:pPr>
        <w:pStyle w:val="BodyJ"/>
        <w:keepNext w:val="false"/>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15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keepNext/>
        <w:keepLines/>
        <w:spacing w:after="120" w:before="280"/>
      </w:pPr>
      <w:r>
        <w:rPr>
          <w:rFonts w:ascii="Gelasio" w:cs="Gelasio" w:eastAsia="Gelasio" w:hAnsi="Gelasio"/>
          <w:b/>
          <w:bCs/>
          <w:color w:val="2B2B2B"/>
          <w:sz w:val="25"/>
          <w:szCs w:val="25"/>
        </w:rPr>
        <w:t xml:space="preserve">Viñeta 7. «Lo veo raro»: el testimonio de la madre</w:t>
      </w:r>
    </w:p>
    <w:p>
      <w:pPr>
        <w:pStyle w:val="BodyJ"/>
        <w:keepNext w:val="false"/>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keepNext w:val="false"/>
      </w:pPr>
      <w:r>
        <w:rPr>
          <w:i/>
          <w:iCs/>
        </w:rPr>
        <w:t xml:space="preserve">Hechos:</w:t>
      </w:r>
      <w:r>
        <w:t xml:space="preserve"> temperatura normalizada bajo antipirético (dato medido, pero bajo intervención); examen sin foco en una evaluación puntual; y un relato de tercero que describe un cambio conductual respecto del basal —información longitudinal a la que ningún examen de veinte minutos accede—.</w:t>
      </w:r>
    </w:p>
    <w:p>
      <w:pPr>
        <w:pStyle w:val="BodyJ"/>
        <w:keepNext w:val="false"/>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keepNext w:val="false"/>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keepNext w:val="false"/>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keepNext w:val="false"/>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keepNext w:val="false"/>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y, además, simplemente mala medicina: pocas fuentes de información tienen mejor razón señal-ruido que quien mira a ese niño todos los días.</w:t>
      </w:r>
    </w:p>
    <w:p>
      <w:pPr>
        <w:pStyle w:val="Heading3"/>
        <w:keepNext/>
        <w:keepLines/>
        <w:spacing w:after="120" w:before="280"/>
      </w:pPr>
      <w:r>
        <w:rPr>
          <w:rFonts w:ascii="Gelasio" w:cs="Gelasio" w:eastAsia="Gelasio" w:hAnsi="Gelasio"/>
          <w:b/>
          <w:bCs/>
          <w:color w:val="2B2B2B"/>
          <w:sz w:val="25"/>
          <w:szCs w:val="25"/>
        </w:rPr>
        <w:t xml:space="preserve">Viñeta 8. El dolor abdominal de la paciente que «somatiza»</w:t>
      </w:r>
    </w:p>
    <w:p>
      <w:pPr>
        <w:pStyle w:val="BodyJ"/>
        <w:keepNext w:val="false"/>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—la paciente tolera mal la palpación y su tratamiento antipsicótico puede atenuar la expresión del dolor y enlentecer el tránsito—.</w:t>
      </w:r>
    </w:p>
    <w:p>
      <w:pPr>
        <w:pStyle w:val="BodyJ"/>
        <w:keepNext w:val="false"/>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keepNext w:val="false"/>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(diagnostic overshadowing): atribuir los síntomas físicos a la enfermedad mental— y consecuencias medibles: las personas con enfermedad mental grave mueren 15 a 20 años antes, en gran parte por enfermedad física subdiagnosticada y subtratada (Thornicroft, 2011).</w:t>
      </w:r>
    </w:p>
    <w:p>
      <w:pPr>
        <w:pStyle w:val="BodyJ"/>
        <w:keepNext w:val="false"/>
      </w:pPr>
      <w:r>
        <w:rPr>
          <w:i/>
          <w:iCs/>
        </w:rPr>
        <w:t xml:space="preserve">Incertidumbre:</w:t>
      </w:r>
      <w:r>
        <w:t xml:space="preserve"> la peligrosa es un abdomen quirúrgico enmascarado —por el antipsicótico, por la dificultad comunicativa y por la disposición del equipo a cerrar temprano—. Es el caso donde el examen «poco confiable» obliga a más objetividad, no a menos: laboratorio e imagen deciden lo que la palpación no puede.</w:t>
      </w:r>
    </w:p>
    <w:p>
      <w:pPr>
        <w:pStyle w:val="BodyJ"/>
        <w:keepNext w:val="false"/>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keepNext w:val="false"/>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keepNext w:val="false"/>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lo contrario —usa la dificultad como excusa para bajar el estándar— y por eso mata.</w:t>
      </w:r>
    </w:p>
    <w:p>
      <w:pPr>
        <w:pStyle w:val="Heading3"/>
        <w:keepNext/>
        <w:keepLines/>
        <w:spacing w:after="120" w:before="280"/>
      </w:pPr>
      <w:r>
        <w:rPr>
          <w:rFonts w:ascii="Gelasio" w:cs="Gelasio" w:eastAsia="Gelasio" w:hAnsi="Gelasio"/>
          <w:b/>
          <w:bCs/>
          <w:color w:val="2B2B2B"/>
          <w:sz w:val="25"/>
          <w:szCs w:val="25"/>
        </w:rPr>
        <w:t xml:space="preserve">Lo común a las ocho viñetas</w:t>
      </w:r>
    </w:p>
    <w:p>
      <w:pPr>
        <w:pStyle w:val="BodyJ"/>
        <w:keepNext w:val="false"/>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keepNext/>
        <w:keepLines/>
        <w:pageBreakBefore/>
        <w:spacing w:after="300" w:before="600"/>
      </w:pPr>
      <w:r>
        <w:rPr>
          <w:rFonts w:ascii="Gelasio" w:cs="Gelasio" w:eastAsia="Gelasio" w:hAnsi="Gelasio"/>
          <w:b/>
          <w:bCs/>
          <w:color w:val="8C2F2F"/>
          <w:sz w:val="22"/>
          <w:szCs w:val="22"/>
        </w:rPr>
        <w:t xml:space="preserve">Capítulo 18</w:t>
      </w:r>
      <w:r>
        <w:rPr>
          <w:rFonts w:ascii="Gelasio" w:cs="Gelasio" w:eastAsia="Gelasio" w:hAnsi="Gelasio"/>
          <w:b/>
          <w:bCs/>
          <w:color w:val="3D5A6C"/>
          <w:sz w:val="32"/>
          <w:szCs w:val="32"/>
        </w:rPr>
        <w:br/>
        <w:t xml:space="preserve">Enseñar y organizar la metacognición clínica</w:t>
      </w:r>
    </w:p>
    <w:p>
      <w:pPr>
        <w:pStyle w:val="BodyJ"/>
        <w:keepNext w:val="false"/>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keepNext/>
        <w:keepLines/>
        <w:spacing w:after="120" w:before="280"/>
      </w:pPr>
      <w:r>
        <w:rPr>
          <w:rFonts w:ascii="Gelasio" w:cs="Gelasio" w:eastAsia="Gelasio" w:hAnsi="Gelasio"/>
          <w:b/>
          <w:bCs/>
          <w:color w:val="2B2B2B"/>
          <w:sz w:val="25"/>
          <w:szCs w:val="25"/>
        </w:rPr>
        <w:t xml:space="preserve">De la virtud individual al diseño institucional</w:t>
      </w:r>
    </w:p>
    <w:p>
      <w:pPr>
        <w:pStyle w:val="BodyJ"/>
        <w:keepNext w:val="false"/>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en consecuencia, una decisión epistémica antes que administrativa.</w:t>
      </w:r>
    </w:p>
    <w:p>
      <w:pPr>
        <w:pStyle w:val="BodyJ"/>
        <w:keepNext w:val="false"/>
      </w:pPr>
      <w:r>
        <w:t xml:space="preserve">Las National Academies recomendaron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keepNext/>
        <w:keepLines/>
        <w:spacing w:after="120" w:before="280"/>
      </w:pPr>
      <w:r>
        <w:rPr>
          <w:rFonts w:ascii="Gelasio" w:cs="Gelasio" w:eastAsia="Gelasio" w:hAnsi="Gelasio"/>
          <w:b/>
          <w:bCs/>
          <w:color w:val="2B2B2B"/>
          <w:sz w:val="25"/>
          <w:szCs w:val="25"/>
        </w:rPr>
        <w:t xml:space="preserve">Enseñar representaciones, no sólo respuestas</w:t>
      </w:r>
    </w:p>
    <w:p>
      <w:pPr>
        <w:pStyle w:val="BodyJ"/>
        <w:keepNext w:val="false"/>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keepNext w:val="false"/>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keepNext/>
        <w:keepLines/>
        <w:spacing w:after="120" w:before="280"/>
      </w:pPr>
      <w:r>
        <w:rPr>
          <w:rFonts w:ascii="Gelasio" w:cs="Gelasio" w:eastAsia="Gelasio" w:hAnsi="Gelasio"/>
          <w:b/>
          <w:bCs/>
          <w:color w:val="2B2B2B"/>
          <w:sz w:val="25"/>
          <w:szCs w:val="25"/>
        </w:rPr>
        <w:t xml:space="preserve">Un debate honesto: ¿se puede enseñar a pensar mejor?</w:t>
      </w:r>
    </w:p>
    <w:p>
      <w:pPr>
        <w:pStyle w:val="BodyJ"/>
        <w:keepNext w:val="false"/>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Los errores nacen tanto del pensamiento rápido como del lento; el vínculo entre los sesgos que se inducen en experimentos y los errores reales no está establecido; enseñar a reconocer sesgos no ha reducido los errores, mientras que reorganizar el conocimiento da beneficios pequeños pero constantes; los cursos de «pensamiento crítico» generalizable transfieren poco; y obligar a reflexionar sistemáticamente sobre casos fáciles no mejora la precisión y consume tiempo (Norman et al., 2017; Monteiro &amp; Norman, 2013; Monteiro et al., 2020).</w:t>
      </w:r>
    </w:p>
    <w:p>
      <w:pPr>
        <w:pStyle w:val="BodyJ"/>
        <w:keepNext w:val="false"/>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17):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keepNext/>
        <w:keepLines/>
        <w:spacing w:after="120" w:before="280"/>
      </w:pPr>
      <w:r>
        <w:rPr>
          <w:rFonts w:ascii="Gelasio" w:cs="Gelasio" w:eastAsia="Gelasio" w:hAnsi="Gelasio"/>
          <w:b/>
          <w:bCs/>
          <w:color w:val="2B2B2B"/>
          <w:sz w:val="25"/>
          <w:szCs w:val="25"/>
        </w:rPr>
        <w:t xml:space="preserve">Tres palancas: la visita, la revisión de errores y la ficha</w:t>
      </w:r>
    </w:p>
    <w:p>
      <w:pPr>
        <w:pStyle w:val="BodyJ"/>
        <w:keepNext w:val="false"/>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17)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keepNext w:val="false"/>
      </w:pPr>
      <w:r>
        <w:t xml:space="preserve">La entrega de turno debe transmitir tareas epistémicas, no sólo tratamientos. «Pendiente observar si…» y «si ocurre X, reabrir Y» son componentes de seguridad.</w:t>
      </w:r>
    </w:p>
    <w:p>
      <w:pPr>
        <w:pStyle w:val="BodyJ"/>
        <w:keepNext w:val="false"/>
      </w:pPr>
      <w:r>
        <w:t xml:space="preserve">La segunda palanca es la revisión de errores, y tiene una forma pública y otra privada. 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keepNext w:val="false"/>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BodyJ"/>
        <w:keepNext w:val="false"/>
      </w:pPr>
      <w:r>
        <w:t xml:space="preserve">La forma privada es el feedback diagnóstico: 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keepNext w:val="false"/>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portafolio de calibración del capítulo 5 es su versión mínima. El portafolio como instrumento docente tiene además desarrollo propio en la educación médica latinoamericana, incluida la validación en español de instrumentos para evaluar su uso (Riquelme et al., 2011).</w:t>
      </w:r>
    </w:p>
    <w:p>
      <w:pPr>
        <w:pStyle w:val="BodyJ"/>
        <w:keepNext w:val="false"/>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keepNext w:val="false"/>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keepNext/>
        <w:keepLines/>
        <w:spacing w:after="120" w:before="280"/>
      </w:pPr>
      <w:r>
        <w:rPr>
          <w:rFonts w:ascii="Gelasio" w:cs="Gelasio" w:eastAsia="Gelasio" w:hAnsi="Gelasio"/>
          <w:b/>
          <w:bCs/>
          <w:color w:val="2B2B2B"/>
          <w:sz w:val="25"/>
          <w:szCs w:val="25"/>
        </w:rPr>
        <w:t xml:space="preserve">Una competencia profesional</w:t>
      </w:r>
    </w:p>
    <w:p>
      <w:pPr>
        <w:pStyle w:val="BodyJ"/>
        <w:keepNext w:val="false"/>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keepNext w:val="false"/>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keepNext w:val="false"/>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—no se decreta—.</w:t>
      </w:r>
    </w:p>
    <w:p>
      <w:pPr>
        <w:pStyle w:val="BodyJ"/>
        <w:keepNext/>
        <w:spacing w:after="80" w:before="160"/>
      </w:pPr>
      <w:r>
        <w:rPr>
          <w:b/>
          <w:bCs/>
        </w:rPr>
        <w:t xml:space="preserve">Tres preguntas para la próxima visita.</w:t>
      </w:r>
    </w:p>
    <w:p>
      <w:pPr>
        <w:pStyle w:val="BodyJ"/>
        <w:keepNext/>
        <w:numPr>
          <w:ilvl w:val="0"/>
          <w:numId w:val="24"/>
        </w:numPr>
      </w:pPr>
      <w:r>
        <w:t xml:space="preserve">La última vez que enseñé un caso, ¿pedí el diagnóstico o pedí primero la representación del problema?</w:t>
      </w:r>
    </w:p>
    <w:p>
      <w:pPr>
        <w:pStyle w:val="BodyJ"/>
        <w:keepNext/>
        <w:numPr>
          <w:ilvl w:val="0"/>
          <w:numId w:val="24"/>
        </w:numPr>
      </w:pPr>
      <w:r>
        <w:t xml:space="preserve">¿Qué pasó con el último paciente que derivé o di de alta con diagnóstico incierto —y cómo podría enterarme sistemáticamente—?</w:t>
      </w:r>
    </w:p>
    <w:p>
      <w:pPr>
        <w:pStyle w:val="BodyJ"/>
        <w:keepNext w:val="false"/>
        <w:numPr>
          <w:ilvl w:val="0"/>
          <w:numId w:val="24"/>
        </w:numPr>
      </w:pPr>
      <w:r>
        <w:t xml:space="preserve">Si mañana dirigiera mi servicio, ¿cuál de las tres palancas (visita de sala, ficha, revisión de errores) cambiaría primero, y qué costaría?</w:t>
      </w:r>
    </w:p>
    <w:p>
      <w:pPr>
        <w:pStyle w:val="Heading2"/>
        <w:keepNext/>
        <w:keepLines/>
        <w:pageBreakBefore/>
        <w:spacing w:after="300" w:before="600"/>
      </w:pPr>
      <w:r>
        <w:rPr>
          <w:rFonts w:ascii="Gelasio" w:cs="Gelasio" w:eastAsia="Gelasio" w:hAnsi="Gelasio"/>
          <w:b/>
          <w:bCs/>
          <w:color w:val="8C2F2F"/>
          <w:sz w:val="22"/>
          <w:szCs w:val="22"/>
        </w:rPr>
        <w:t xml:space="preserve">Capítulo 19</w:t>
      </w:r>
      <w:r>
        <w:rPr>
          <w:rFonts w:ascii="Gelasio" w:cs="Gelasio" w:eastAsia="Gelasio" w:hAnsi="Gelasio"/>
          <w:b/>
          <w:bCs/>
          <w:color w:val="3D5A6C"/>
          <w:sz w:val="32"/>
          <w:szCs w:val="32"/>
        </w:rPr>
        <w:br/>
        <w:t xml:space="preserve">La inteligencia artificial en el proceso clínico: roles, riesgos y defensas</w:t>
      </w:r>
    </w:p>
    <w:p>
      <w:pPr>
        <w:pStyle w:val="BodyJ"/>
        <w:keepNext w:val="false"/>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keepNext/>
        <w:keepLines/>
        <w:spacing w:after="120" w:before="280"/>
      </w:pPr>
      <w:r>
        <w:rPr>
          <w:rFonts w:ascii="Gelasio" w:cs="Gelasio" w:eastAsia="Gelasio" w:hAnsi="Gelasio"/>
          <w:b/>
          <w:bCs/>
          <w:color w:val="2B2B2B"/>
          <w:sz w:val="25"/>
          <w:szCs w:val="25"/>
        </w:rPr>
        <w:t xml:space="preserve">Lenguaje plausible y verdad</w:t>
      </w:r>
    </w:p>
    <w:p>
      <w:pPr>
        <w:pStyle w:val="BodyJ"/>
        <w:keepNext w:val="false"/>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al contenido generado que carece de sentido o es infiel a su fuente, sea un documento o, en las preguntas abiertas, el conocimiento del mundo (Ji et al., 2023). El término es metafórico: el modelo no tiene una experiencia perceptiva que se desorganice como en la alucinación humana.</w:t>
      </w:r>
    </w:p>
    <w:p>
      <w:pPr>
        <w:pStyle w:val="BodyJ"/>
        <w:keepNext w:val="false"/>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keepNext/>
        <w:keepLines/>
        <w:spacing w:after="120" w:before="280"/>
      </w:pPr>
      <w:r>
        <w:rPr>
          <w:rFonts w:ascii="Gelasio" w:cs="Gelasio" w:eastAsia="Gelasio" w:hAnsi="Gelasio"/>
          <w:b/>
          <w:bCs/>
          <w:color w:val="2B2B2B"/>
          <w:sz w:val="25"/>
          <w:szCs w:val="25"/>
        </w:rPr>
        <w:t xml:space="preserve">El rol en el proceso diagnóstico</w:t>
      </w:r>
    </w:p>
    <w:p>
      <w:pPr>
        <w:pStyle w:val="BodyJ"/>
        <w:keepNext w:val="false"/>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keepNext w:val="false"/>
      </w:pPr>
      <w:r>
        <w:t xml:space="preserve">Pero el dato más instructivo sobre el rol diagnóstico real es otro: un ensayo aleatorizado entregó a médicos de medicina interna, familiar y de urgencias un modelo de lenguaje como apoyo para resolver casos clínicos. El grupo con el modelo no diagnosticó mejor que el grupo sin él —y el modelo solo, sin médico, superó a ambos (Goh et al., 2024)—. La lectura fácil («la máquina ya es mejor») pasa por alto la lección metacognitiva: el eslabón débil no fue el modelo ni el médico, sino la conversación entre ambos. El ensayo no midió cómo la usaron; la lectura más plausible, que es una inferencia, es que la usaron como oráculo de confirmación —pegarle el caso y mirar si coincide con lo que ya pensaban—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 El resultado, además, no es uniforme entre tareas. En un ensayo posterior del mismo grupo, sobre decisiones de manejo en cinco viñetas, los médicos con el modelo obtuvieron 6,5 puntos porcentuales más que con recursos convencionales (IC 95%, 2,7 a 10,2) y dedicaron más tiempo a cada caso (Goh et al., 2025). En 302 casos clínico-patológicos difíciles, los internistas asistidos por un modelo optimizado para el diagnóstico diferencial incluyeron el diagnóstico correcto entre sus diez primeros con más frecuencia que los asistidos por buscadores: 51,7% frente a 44,4% (McDuff et al., 2025). Ninguno de los tres trabajó con pacientes reales; muestran lo que la herramienta puede aportar, no lo que aporta en la sala.</w:t>
      </w:r>
    </w:p>
    <w:p>
      <w:pPr>
        <w:pStyle w:val="Heading3"/>
        <w:keepNext/>
        <w:keepLines/>
        <w:spacing w:after="120" w:before="280"/>
      </w:pPr>
      <w:r>
        <w:rPr>
          <w:rFonts w:ascii="Gelasio" w:cs="Gelasio" w:eastAsia="Gelasio" w:hAnsi="Gelasio"/>
          <w:b/>
          <w:bCs/>
          <w:color w:val="2B2B2B"/>
          <w:sz w:val="25"/>
          <w:szCs w:val="25"/>
        </w:rPr>
        <w:t xml:space="preserve">El rol en el proceso terapéutico</w:t>
      </w:r>
    </w:p>
    <w:p>
      <w:pPr>
        <w:pStyle w:val="BodyJ"/>
        <w:keepNext w:val="false"/>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¿funciona aquí, con estos pacientes, con esta prevalencia? Una herramienta no hereda la validez de su marca, y la validación externa no es un trámite, sino la diferencia entre una alerta y un ruido.</w:t>
      </w:r>
    </w:p>
    <w:p>
      <w:pPr>
        <w:pStyle w:val="BodyJ"/>
        <w:keepNext w:val="false"/>
      </w:pPr>
      <w:r>
        <w:t xml:space="preserve">Hay un segundo límite terapéutico más silencioso. Una recomendación de intervención generada por IA opera sobre lo que está escrito, y el capítulo 10 mostró que lo menos escrito de la ficha es precisamente el contexto global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—la que juzga si la intervención es proporcionada para este enfermo— enteramente del lado humano.</w:t>
      </w:r>
    </w:p>
    <w:p>
      <w:pPr>
        <w:pStyle w:val="Heading3"/>
        <w:keepNext/>
        <w:keepLines/>
        <w:spacing w:after="120" w:before="280"/>
      </w:pPr>
      <w:r>
        <w:rPr>
          <w:rFonts w:ascii="Gelasio" w:cs="Gelasio" w:eastAsia="Gelasio" w:hAnsi="Gelasio"/>
          <w:b/>
          <w:bCs/>
          <w:color w:val="2B2B2B"/>
          <w:sz w:val="25"/>
          <w:szCs w:val="25"/>
        </w:rPr>
        <w:t xml:space="preserve">El catálogo de riesgos</w:t>
      </w:r>
    </w:p>
    <w:p>
      <w:pPr>
        <w:pStyle w:val="BodyJ"/>
        <w:keepNext/>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keepNext w:val="false"/>
        <w:numPr>
          <w:ilvl w:val="0"/>
          <w:numId w:val="5"/>
        </w:numPr>
      </w:pPr>
      <w:r>
        <w:rPr>
          <w:b/>
          <w:bCs/>
        </w:rPr>
        <w:t xml:space="preserve">Confabulación.</w:t>
      </w:r>
      <w:r>
        <w:t xml:space="preserve"> Contenido que contradice la fuente o que ésta no permite verificar, presentado con coherencia (Ji et al., 2023). Es la certeza retórica industrializada: prosa donde los hechos, las inferencias y lo inventado llegan con la misma sintaxis.</w:t>
      </w:r>
    </w:p>
    <w:p>
      <w:pPr>
        <w:pStyle w:val="BodyJ"/>
        <w:keepNext w:val="false"/>
        <w:numPr>
          <w:ilvl w:val="0"/>
          <w:numId w:val="5"/>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keepNext w:val="false"/>
        <w:numPr>
          <w:ilvl w:val="0"/>
          <w:numId w:val="5"/>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—seis puntos absolutos menos que antes de la exposición (Budzyń et al., 2025)—. La pericia perceptual se mantiene con práctica; si la máquina practica por el clínico, la cuenta llega en la primera guardia sin máquina.</w:t>
      </w:r>
    </w:p>
    <w:p>
      <w:pPr>
        <w:pStyle w:val="BodyJ"/>
        <w:keepNext w:val="false"/>
        <w:numPr>
          <w:ilvl w:val="0"/>
          <w:numId w:val="5"/>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—y en poblaciones históricamente subatendidas se gasta menos (Obermeyer et al., 2019)—. El error no estaba en la matemática sino en la elección del sustituto. Ningún dato de entrenamiento es neutro; alguien decidió qué medir.</w:t>
      </w:r>
    </w:p>
    <w:p>
      <w:pPr>
        <w:pStyle w:val="BodyJ"/>
        <w:keepNext w:val="false"/>
        <w:numPr>
          <w:ilvl w:val="0"/>
          <w:numId w:val="5"/>
        </w:numPr>
      </w:pPr>
      <w:r>
        <w:rPr>
          <w:b/>
          <w:bCs/>
        </w:rPr>
        <w:t xml:space="preserve">Sobreconfianza no calibrada.</w:t>
      </w:r>
      <w:r>
        <w:t xml:space="preserve"> La confianza que los modelos expresan con palabras tiende a la sobreconfianza (Xiong et al., 2024), aunque las probabilidades que asignan a sus propias respuestas pueden estar bien calibradas cuando se les pregunta en el formato adecuado (Kadavath et al., 2022): el «estoy bastante seguro» del modelo es tono, no calibración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keepNext w:val="false"/>
        <w:numPr>
          <w:ilvl w:val="0"/>
          <w:numId w:val="5"/>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keepNext w:val="false"/>
      </w:pPr>
      <w:r>
        <w:t xml:space="preserve">La columna vertebral del catálogo es una sola observación: la IA no introdujo errores nuevos en la medicina. Automatizó los que ya teníamos y les quitó los frenos naturales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76725"/>
                          </a:xfrm>
                          <a:prstGeom prst="rect">
                            <a:avLst/>
                          </a:prstGeom>
                        </pic:spPr>
                      </pic:pic>
                    </a:graphicData>
                  </a:graphic>
                </wp:inline>
              </w:drawing>
            </w:r>
          </w:p>
          <w:p>
            <w:pPr>
              <w:pStyle w:val="Caption"/>
            </w:pPr>
            <w:r>
              <w:t xml:space="preserve">Figura 15. Parentescos: cada riesgo de la IA clínica junto al sesgo ya descrito y el capítulo donde vive; la captura cognitiva se describe en el apartado siguiente. Ningún riesgo es nuevo; la novedad es el amplificador.</w:t>
            </w:r>
          </w:p>
        </w:tc>
      </w:tr>
    </w:tbl>
    <w:p>
      <w:pPr>
        <w:spacing w:after="60"/>
      </w:pPr>
    </w:p>
    <w:p>
      <w:pPr>
        <w:pStyle w:val="Heading3"/>
        <w:keepNext/>
        <w:keepLines/>
        <w:spacing w:after="120" w:before="280"/>
      </w:pPr>
      <w:r>
        <w:rPr>
          <w:rFonts w:ascii="Gelasio" w:cs="Gelasio" w:eastAsia="Gelasio" w:hAnsi="Gelasio"/>
          <w:b/>
          <w:bCs/>
          <w:color w:val="2B2B2B"/>
          <w:sz w:val="25"/>
          <w:szCs w:val="25"/>
        </w:rPr>
        <w:t xml:space="preserve">El riesgo de fondo: la formación del razonador</w:t>
      </w:r>
    </w:p>
    <w:p>
      <w:pPr>
        <w:pStyle w:val="BodyJ"/>
        <w:keepNext w:val="false"/>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keepNext w:val="false"/>
      </w:pPr>
      <w:r>
        <w:t xml:space="preserve">El mecanismo es preciso. Escribir la nota clínica no es registrar un pensamiento terminado: seleccionar qué dato importa, jerarquizarlo y estructurarlo es parte del proceso mismo de pensar —la ficha como instrumento de pensamiento—. De ahí que la automatización completa de la escritura clínica no ahorre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keepNext w:val="false"/>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keepNext w:val="false"/>
      </w:pPr>
      <w:r>
        <w:t xml:space="preserve">La aviación conoce esta trampa con nombre propio: la paradoja de la automatización (automation paradox) —cuanto más competente es el sistema, menos ejercita el humano las habilidades necesarias para detectar cuándo falla, que es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—nunca para reemplazar su ejecución—.</w:t>
      </w:r>
    </w:p>
    <w:p>
      <w:pPr>
        <w:pStyle w:val="Heading3"/>
        <w:keepNext/>
        <w:keepLines/>
        <w:spacing w:after="120" w:before="280"/>
      </w:pPr>
      <w:r>
        <w:rPr>
          <w:rFonts w:ascii="Gelasio" w:cs="Gelasio" w:eastAsia="Gelasio" w:hAnsi="Gelasio"/>
          <w:b/>
          <w:bCs/>
          <w:color w:val="2B2B2B"/>
          <w:sz w:val="25"/>
          <w:szCs w:val="25"/>
        </w:rPr>
        <w:t xml:space="preserve">Del copiado humano al fósil algorítmico: los escribas ambientales</w:t>
      </w:r>
    </w:p>
    <w:p>
      <w:pPr>
        <w:pStyle w:val="BodyJ"/>
        <w:keepNext w:val="false"/>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 Los primeros ensayos aleatorizados, publicados en 2025, piden el mismo tono mesurado. En uno, con 238 médicos ambulatorios, uno de los dos escribas probados redujo en 9,5% el tiempo dedicado a escribir la nota y el otro no lo cambió; las encuestas sugirieron menos agotamiento, y los usuarios vieron inexactitudes clínicamente relevantes «ocasionalmente», la más citada de ellas, otra vez, la omisión (Lukac et al., 2025). En otro, con 66 profesionales, bajaron el agotamiento y el tiempo dedicado a las notas (Afshar et al., 2025).</w:t>
      </w:r>
    </w:p>
    <w:p>
      <w:pPr>
        <w:pStyle w:val="BodyJ"/>
        <w:keepNext w:val="false"/>
      </w:pPr>
      <w:r>
        <w:t xml:space="preserve">De ahí una regla de diseño, dicha en el vocabulario de las capas. Un escriba ambiental (ambient scribe) puede redactar el borrador de la capa H —qué se dijo, qué se midió, con hora y fuente—, a veces mejor que un humano cansado; pero ese borrador se verifica antes de firmar, porque el error dominante en las notas generadas fue la omisión, y lo omitido no se ve leyendo lo escrito: se ve contrastándolo con lo que pasó en la consulta.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keepNext/>
        <w:keepLines/>
        <w:spacing w:after="120" w:before="280"/>
      </w:pPr>
      <w:r>
        <w:rPr>
          <w:rFonts w:ascii="Gelasio" w:cs="Gelasio" w:eastAsia="Gelasio" w:hAnsi="Gelasio"/>
          <w:b/>
          <w:bCs/>
          <w:color w:val="2B2B2B"/>
          <w:sz w:val="25"/>
          <w:szCs w:val="25"/>
        </w:rPr>
        <w:t xml:space="preserve">Cómo enfrentarlos: las defensas del clínico</w:t>
      </w:r>
    </w:p>
    <w:p>
      <w:pPr>
        <w:pStyle w:val="BodyJ"/>
        <w:keepNext/>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keepNext w:val="false"/>
        <w:numPr>
          <w:ilvl w:val="0"/>
          <w:numId w:val="5"/>
        </w:numPr>
      </w:pPr>
      <w:r>
        <w:t xml:space="preserve">¿qué hechos provienen realmente del caso?;</w:t>
      </w:r>
    </w:p>
    <w:p>
      <w:pPr>
        <w:pStyle w:val="BodyJ"/>
        <w:keepNext w:val="false"/>
        <w:numPr>
          <w:ilvl w:val="0"/>
          <w:numId w:val="5"/>
        </w:numPr>
      </w:pPr>
      <w:r>
        <w:t xml:space="preserve">¿qué información agregó el modelo?;</w:t>
      </w:r>
    </w:p>
    <w:p>
      <w:pPr>
        <w:pStyle w:val="BodyJ"/>
        <w:keepNext w:val="false"/>
        <w:numPr>
          <w:ilvl w:val="0"/>
          <w:numId w:val="5"/>
        </w:numPr>
      </w:pPr>
      <w:r>
        <w:t xml:space="preserve">¿qué inferencias formula y con qué respaldo?;</w:t>
      </w:r>
    </w:p>
    <w:p>
      <w:pPr>
        <w:pStyle w:val="BodyJ"/>
        <w:keepNext w:val="false"/>
        <w:numPr>
          <w:ilvl w:val="0"/>
          <w:numId w:val="5"/>
        </w:numPr>
      </w:pPr>
      <w:r>
        <w:t xml:space="preserve">¿qué incertidumbres omitió?;</w:t>
      </w:r>
    </w:p>
    <w:p>
      <w:pPr>
        <w:pStyle w:val="BodyJ"/>
        <w:keepNext w:val="false"/>
        <w:numPr>
          <w:ilvl w:val="0"/>
          <w:numId w:val="5"/>
        </w:numPr>
      </w:pPr>
      <w:r>
        <w:t xml:space="preserve">¿qué decisión propone y cuáles serían sus riesgos?;</w:t>
      </w:r>
    </w:p>
    <w:p>
      <w:pPr>
        <w:pStyle w:val="BodyJ"/>
        <w:keepNext w:val="false"/>
        <w:numPr>
          <w:ilvl w:val="0"/>
          <w:numId w:val="5"/>
        </w:numPr>
      </w:pPr>
      <w:r>
        <w:t xml:space="preserve">¿qué fuente primaria permite verificar la afirmación?</w:t>
      </w:r>
    </w:p>
    <w:p>
      <w:pPr>
        <w:pStyle w:val="BodyJ"/>
        <w:keepNext/>
      </w:pPr>
      <w:r>
        <w:t xml:space="preserve">De esa auditoría se desprenden reglas de uso que caben en una tarjeta:</w:t>
      </w:r>
    </w:p>
    <w:p>
      <w:pPr>
        <w:pStyle w:val="BodyJ"/>
        <w:keepNext w:val="false"/>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keepNext w:val="false"/>
        <w:numPr>
          <w:ilvl w:val="0"/>
          <w:numId w:val="25"/>
        </w:numPr>
      </w:pPr>
      <w:r>
        <w:rPr>
          <w:b/>
          <w:bCs/>
        </w:rPr>
        <w:t xml:space="preserve">Verificar la afirmación decisiva contra una fuente primaria antes de actuar.</w:t>
      </w:r>
      <w:r>
        <w:t xml:space="preserve"> No todas: la decisiva —la que, de ser falsa, cambia la conducta—.</w:t>
      </w:r>
    </w:p>
    <w:p>
      <w:pPr>
        <w:pStyle w:val="BodyJ"/>
        <w:keepNext w:val="false"/>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keepNext w:val="false"/>
        <w:numPr>
          <w:ilvl w:val="0"/>
          <w:numId w:val="25"/>
        </w:numPr>
      </w:pPr>
      <w:r>
        <w:rPr>
          <w:b/>
          <w:bCs/>
        </w:rPr>
        <w:t xml:space="preserve">Tratar su confianza como tono, no como evidencia.</w:t>
      </w:r>
      <w:r>
        <w:t xml:space="preserve"> La seguridad de la prosa no informa la probabilidad de corrección —igual que la seguridad de un colega no sustituye sus razones—.</w:t>
      </w:r>
    </w:p>
    <w:p>
      <w:pPr>
        <w:pStyle w:val="BodyJ"/>
        <w:keepNext w:val="false"/>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keepNext w:val="false"/>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keepNext w:val="false"/>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keepNext/>
        <w:keepLines/>
        <w:spacing w:after="120" w:before="280"/>
      </w:pPr>
      <w:r>
        <w:rPr>
          <w:rFonts w:ascii="Gelasio" w:cs="Gelasio" w:eastAsia="Gelasio" w:hAnsi="Gelasio"/>
          <w:b/>
          <w:bCs/>
          <w:color w:val="2B2B2B"/>
          <w:sz w:val="25"/>
          <w:szCs w:val="25"/>
        </w:rPr>
        <w:t xml:space="preserve">Cómo enfrentarlos: las defensas de la institución</w:t>
      </w:r>
    </w:p>
    <w:p>
      <w:pPr>
        <w:pStyle w:val="BodyJ"/>
        <w:keepNext/>
      </w:pPr>
      <w:r>
        <w:t xml:space="preserve">Las defensas individuales no bastan, porque varios riesgos del catálogo operan a escala de sistema. Una institución que despliega IA clínica contrae obligaciones epistémicas precisas:</w:t>
      </w:r>
    </w:p>
    <w:p>
      <w:pPr>
        <w:pStyle w:val="BodyJ"/>
        <w:keepNext w:val="false"/>
        <w:numPr>
          <w:ilvl w:val="0"/>
          <w:numId w:val="5"/>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keepNext w:val="false"/>
        <w:numPr>
          <w:ilvl w:val="0"/>
          <w:numId w:val="5"/>
        </w:numPr>
      </w:pPr>
      <w:r>
        <w:rPr>
          <w:b/>
          <w:bCs/>
        </w:rPr>
        <w:t xml:space="preserve">Monitoreo continuo con umbrales de retirada.</w:t>
      </w:r>
      <w:r>
        <w:t xml:space="preserve"> Definir antes del despliegue qué degradación obliga a recalibrar o apagar: la falsabilidad del capítulo 17, aplicada al software.</w:t>
      </w:r>
    </w:p>
    <w:p>
      <w:pPr>
        <w:pStyle w:val="BodyJ"/>
        <w:keepNext w:val="false"/>
        <w:numPr>
          <w:ilvl w:val="0"/>
          <w:numId w:val="5"/>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keepNext w:val="false"/>
        <w:numPr>
          <w:ilvl w:val="0"/>
          <w:numId w:val="5"/>
        </w:numPr>
      </w:pPr>
      <w:r>
        <w:rPr>
          <w:b/>
          <w:bCs/>
        </w:rPr>
        <w:t xml:space="preserve">Presupuesto de alertas.</w:t>
      </w:r>
      <w:r>
        <w:t xml:space="preserve"> Cada alarma nueva compite por la misma atención finita; una alerta de bajo valor predictivo no es inocua —es ruido que entrena a ignorar, y el equipo que aprendió a ignorar no distingue qué está ignorando—.</w:t>
      </w:r>
    </w:p>
    <w:p>
      <w:pPr>
        <w:pStyle w:val="BodyJ"/>
        <w:keepNext w:val="false"/>
        <w:numPr>
          <w:ilvl w:val="0"/>
          <w:numId w:val="5"/>
        </w:numPr>
      </w:pPr>
      <w:r>
        <w:rPr>
          <w:b/>
          <w:bCs/>
        </w:rPr>
        <w:t xml:space="preserve">Formación que supervise el uso, no sólo la respuesta.</w:t>
      </w:r>
      <w:r>
        <w:t xml:space="preserve"> En docencia, observar cómo el aprendiz usa cognitivamente la herramienta —cuándo consulta, qué acepta, qué verifica, qué habría respondido antes de mirar— y proteger espacios deliberados de práctica sin asistencia (Abdulnour et al., 2025): la competencia que nunca se construyó no se puede «recuperar».</w:t>
      </w:r>
    </w:p>
    <w:p>
      <w:pPr>
        <w:pStyle w:val="BodyJ"/>
        <w:keepNext w:val="false"/>
        <w:numPr>
          <w:ilvl w:val="0"/>
          <w:numId w:val="5"/>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EnUnaFrase"/>
      </w:pPr>
      <w:r>
        <w:rPr>
          <w:b/>
          <w:bCs/>
        </w:rPr>
        <w:t xml:space="preserve">En una frase.</w:t>
      </w:r>
      <w:r>
        <w:t xml:space="preserve"> La IA generativa produce aquello contra lo que este libro entrena: prosa fluida donde hechos, inferencias e incertidumbre llegan mezclados —auditarla con HII-D es el mismo ejercicio que auditar la propia escritura—.</w:t>
      </w:r>
    </w:p>
    <w:p>
      <w:pPr>
        <w:pStyle w:val="BodyJ"/>
        <w:keepNext/>
        <w:spacing w:after="80" w:before="160"/>
      </w:pPr>
      <w:r>
        <w:rPr>
          <w:b/>
          <w:bCs/>
        </w:rPr>
        <w:t xml:space="preserve">Tres preguntas para la próxima visita.</w:t>
      </w:r>
    </w:p>
    <w:p>
      <w:pPr>
        <w:pStyle w:val="BodyJ"/>
        <w:keepNext/>
        <w:numPr>
          <w:ilvl w:val="0"/>
          <w:numId w:val="26"/>
        </w:numPr>
      </w:pPr>
      <w:r>
        <w:t xml:space="preserve">Si uso IA en este caso, ¿qué dato de su respuesta verifiqué contra una fuente primaria antes de actuar?</w:t>
      </w:r>
    </w:p>
    <w:p>
      <w:pPr>
        <w:pStyle w:val="BodyJ"/>
        <w:keepNext/>
        <w:numPr>
          <w:ilvl w:val="0"/>
          <w:numId w:val="26"/>
        </w:numPr>
      </w:pPr>
      <w:r>
        <w:t xml:space="preserve">¿Qué agregó el modelo que el caso no contenía?</w:t>
      </w:r>
    </w:p>
    <w:p>
      <w:pPr>
        <w:pStyle w:val="BodyJ"/>
        <w:keepNext w:val="false"/>
        <w:numPr>
          <w:ilvl w:val="0"/>
          <w:numId w:val="26"/>
        </w:numPr>
      </w:pPr>
      <w:r>
        <w:t xml:space="preserve">¿Estoy usando la herramienta para ampliar hipótesis o para confirmar rápido la que ya tenía?</w:t>
      </w:r>
    </w:p>
    <w:p>
      <w:pPr>
        <w:pStyle w:val="Heading2"/>
        <w:keepNext/>
        <w:keepLines/>
        <w:pageBreakBefore/>
        <w:spacing w:after="300" w:before="600"/>
      </w:pPr>
      <w:r>
        <w:rPr>
          <w:rFonts w:ascii="Gelasio" w:cs="Gelasio" w:eastAsia="Gelasio" w:hAnsi="Gelasio"/>
          <w:b/>
          <w:bCs/>
          <w:color w:val="8C2F2F"/>
          <w:sz w:val="22"/>
          <w:szCs w:val="22"/>
        </w:rPr>
        <w:t xml:space="preserve">Capítulo 20</w:t>
      </w:r>
      <w:r>
        <w:rPr>
          <w:rFonts w:ascii="Gelasio" w:cs="Gelasio" w:eastAsia="Gelasio" w:hAnsi="Gelasio"/>
          <w:b/>
          <w:bCs/>
          <w:color w:val="3D5A6C"/>
          <w:sz w:val="32"/>
          <w:szCs w:val="32"/>
        </w:rPr>
        <w:br/>
        <w:t xml:space="preserve">La palabra exacta: lo que la poesía sabe del juicio clínico</w:t>
      </w:r>
    </w:p>
    <w:p>
      <w:pPr>
        <w:pStyle w:val="BodyJ"/>
        <w:keepNext w:val="false"/>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keepNext/>
        <w:keepLines/>
        <w:spacing w:after="120" w:before="280"/>
      </w:pPr>
      <w:r>
        <w:rPr>
          <w:rFonts w:ascii="Gelasio" w:cs="Gelasio" w:eastAsia="Gelasio" w:hAnsi="Gelasio"/>
          <w:b/>
          <w:bCs/>
          <w:color w:val="2B2B2B"/>
          <w:sz w:val="25"/>
          <w:szCs w:val="25"/>
        </w:rPr>
        <w:t xml:space="preserve">Dos oficios de la conexión</w:t>
      </w:r>
    </w:p>
    <w:p>
      <w:pPr>
        <w:pStyle w:val="BodyJ"/>
        <w:keepNext w:val="false"/>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keepNext w:val="false"/>
      </w:pPr>
      <w:r>
        <w:t xml:space="preserve">El parentesco es lógico antes que sentimental. Una metáfora es la hipótesis de que dos cosas lejanas comparten estructura; un diagnóstico es una metáfora que acepta ser puesta a prueba —«este cuadro es una colecistitis» apuesta a que lo que ocurre en este cuerpo comparte estructura con un patrón aprendido—. Ambos movimientos son la abducción del capítulo 2, y ambos requieren el estado que el capítulo 15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keepNext/>
        <w:keepLines/>
        <w:spacing w:after="120" w:before="280"/>
      </w:pPr>
      <w:r>
        <w:rPr>
          <w:rFonts w:ascii="Gelasio" w:cs="Gelasio" w:eastAsia="Gelasio" w:hAnsi="Gelasio"/>
          <w:b/>
          <w:bCs/>
          <w:color w:val="2B2B2B"/>
          <w:sz w:val="25"/>
          <w:szCs w:val="25"/>
        </w:rPr>
        <w:t xml:space="preserve">Huidobro, o la palabra que crea</w:t>
      </w:r>
    </w:p>
    <w:p>
      <w:pPr>
        <w:pStyle w:val="BodyJ"/>
        <w:keepNext w:val="false"/>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keepNext w:val="false"/>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—y un servicio lleno de pequeños dioses es un lugar peligroso para estar enfermo—.</w:t>
      </w:r>
    </w:p>
    <w:p>
      <w:pPr>
        <w:pStyle w:val="Heading3"/>
        <w:keepNext/>
        <w:keepLines/>
        <w:spacing w:after="120" w:before="280"/>
      </w:pPr>
      <w:r>
        <w:rPr>
          <w:rFonts w:ascii="Gelasio" w:cs="Gelasio" w:eastAsia="Gelasio" w:hAnsi="Gelasio"/>
          <w:b/>
          <w:bCs/>
          <w:color w:val="2B2B2B"/>
          <w:sz w:val="25"/>
          <w:szCs w:val="25"/>
        </w:rPr>
        <w:t xml:space="preserve">Parra, o la deflación</w:t>
      </w:r>
    </w:p>
    <w:p>
      <w:pPr>
        <w:pStyle w:val="BodyJ"/>
        <w:keepNext w:val="false"/>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—y, con nombre y apellido implícitos, la condena de «la poesía de pequeño dios» (Parra, 1969)—. La réplica a Huidobro no es una interpretación: está en el texto.</w:t>
      </w:r>
    </w:p>
    <w:p>
      <w:pPr>
        <w:pStyle w:val="BodyJ"/>
        <w:keepNext w:val="false"/>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—feo, honesto, exacto, imposible de recitar con voz engolada—. La ficha lúcida se escribe más cerca de Parra que de Huidobro: lengua de todos los días, dignidad del «no sé», desconfianza instintiva de toda frase que suene demasiado bien.</w:t>
      </w:r>
    </w:p>
    <w:p>
      <w:pPr>
        <w:pStyle w:val="Heading3"/>
        <w:keepNext/>
        <w:keepLines/>
        <w:spacing w:after="120" w:before="280"/>
      </w:pPr>
      <w:r>
        <w:rPr>
          <w:rFonts w:ascii="Gelasio" w:cs="Gelasio" w:eastAsia="Gelasio" w:hAnsi="Gelasio"/>
          <w:b/>
          <w:bCs/>
          <w:color w:val="2B2B2B"/>
          <w:sz w:val="25"/>
          <w:szCs w:val="25"/>
        </w:rPr>
        <w:t xml:space="preserve">La belleza como señal y como trampa</w:t>
      </w:r>
    </w:p>
    <w:p>
      <w:pPr>
        <w:pStyle w:val="BodyJ"/>
        <w:keepNext w:val="false"/>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keepNext w:val="false"/>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keepNext w:val="false"/>
      </w:pPr>
      <w:r>
        <w:t xml:space="preserve">Queda la belleza final, la que menos se nombra: la de hacer lo correcto en el contexto correcto. Una estabilización bien conducida tiene forma estética: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keepNext/>
        <w:keepLines/>
        <w:spacing w:after="120" w:before="280"/>
      </w:pPr>
      <w:r>
        <w:rPr>
          <w:rFonts w:ascii="Gelasio" w:cs="Gelasio" w:eastAsia="Gelasio" w:hAnsi="Gelasio"/>
          <w:b/>
          <w:bCs/>
          <w:color w:val="2B2B2B"/>
          <w:sz w:val="25"/>
          <w:szCs w:val="25"/>
        </w:rPr>
        <w:t xml:space="preserve">Leer poesía como entrenamiento clínico</w:t>
      </w:r>
    </w:p>
    <w:p>
      <w:pPr>
        <w:pStyle w:val="BodyJ"/>
        <w:keepNext w:val="false"/>
      </w:pPr>
      <w:r>
        <w:t xml:space="preserve">Si el parentesco es real, leer poesía no es un lujo cultural del médico, sino gimnasio específico. Entrena la precisión léxica —el poeta agoniza entre dos palabras casi iguales, que es la distancia entre «descartado» y «sin evidencia actual de»—. Entrena la tolerancia a la ambigüedad sostenida: un poema no se «resuelve», se habita; como ciertas incertidumbres clínicas. Entrena el oído para el relato: la anamnesis tiene ritmo, silencios y palabras elegidas, y «esta vez la hernia no se dejó acomodar» es, técnicamente, un verso: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keepNext w:val="false"/>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EnUnaFrase"/>
      </w:pPr>
      <w:r>
        <w:rPr>
          <w:b/>
          <w:bCs/>
        </w:rPr>
        <w:t xml:space="preserve">En una frase.</w:t>
      </w:r>
      <w:r>
        <w:t xml:space="preserve"> La poesía y el juicio clínico comparten el arte de la conexión exacta y difieren en el tribunal —al poema lo juzga el oído, al diagnóstico lo juzga la evolución— y por eso la ficha lúcida se escribe con Parra, no con Huidobro.</w:t>
      </w:r>
    </w:p>
    <w:p>
      <w:pPr>
        <w:pStyle w:val="BodyJ"/>
        <w:keepNext/>
        <w:spacing w:after="80" w:before="160"/>
      </w:pPr>
      <w:r>
        <w:rPr>
          <w:b/>
          <w:bCs/>
        </w:rPr>
        <w:t xml:space="preserve">Tres preguntas para la próxima visita.</w:t>
      </w:r>
    </w:p>
    <w:p>
      <w:pPr>
        <w:pStyle w:val="BodyJ"/>
        <w:keepNext/>
        <w:numPr>
          <w:ilvl w:val="0"/>
          <w:numId w:val="27"/>
        </w:numPr>
      </w:pPr>
      <w:r>
        <w:t xml:space="preserve">¿Qué palabra de mi última nota está «haciendo florecer» algo que nadie observó?</w:t>
      </w:r>
    </w:p>
    <w:p>
      <w:pPr>
        <w:pStyle w:val="BodyJ"/>
        <w:keepNext/>
        <w:numPr>
          <w:ilvl w:val="0"/>
          <w:numId w:val="27"/>
        </w:numPr>
      </w:pPr>
      <w:r>
        <w:t xml:space="preserve">El diagnóstico que más me satisface hoy: ¿me convence por la evidencia o por lo bien que cierra la historia?</w:t>
      </w:r>
    </w:p>
    <w:p>
      <w:pPr>
        <w:pStyle w:val="BodyJ"/>
        <w:keepNext w:val="false"/>
        <w:numPr>
          <w:ilvl w:val="0"/>
          <w:numId w:val="27"/>
        </w:numPr>
      </w:pPr>
      <w:r>
        <w:t xml:space="preserve">¿Cuándo fue la última vez que leí algo —un poema, una página— sólo para afinar el oído con el que después escucho pacientes?</w:t>
      </w:r>
    </w:p>
    <w:p>
      <w:pPr>
        <w:pStyle w:val="Heading1"/>
        <w:keepNext/>
        <w:keepLines/>
        <w:pageBreakBefore/>
        <w:spacing w:after="320" w:before="720"/>
      </w:pPr>
      <w:r>
        <w:rPr>
          <w:rFonts w:ascii="Gelasio" w:cs="Gelasio" w:eastAsia="Gelasio" w:hAnsi="Gelasio"/>
          <w:b/>
          <w:bCs/>
          <w:color w:val="2B2B2B"/>
          <w:sz w:val="34"/>
          <w:szCs w:val="34"/>
        </w:rPr>
        <w:t xml:space="preserve">Conclusión. Una medicina lúcida</w:t>
      </w:r>
    </w:p>
    <w:p>
      <w:pPr>
        <w:pStyle w:val="BodyJ"/>
        <w:keepNext w:val="false"/>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keepNext w:val="false"/>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keepNext w:val="false"/>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keepNext w:val="false"/>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keepNext w:val="false"/>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15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keepNext/>
      </w:pPr>
      <w:r>
        <w:t xml:space="preserve">HII-D resume una disciplina posible:</w:t>
      </w:r>
    </w:p>
    <w:p>
      <w:pPr>
        <w:pStyle w:val="BodyJ"/>
        <w:keepNext/>
        <w:numPr>
          <w:ilvl w:val="0"/>
          <w:numId w:val="5"/>
        </w:numPr>
      </w:pPr>
      <w:r>
        <w:rPr>
          <w:b/>
          <w:bCs/>
        </w:rPr>
        <w:t xml:space="preserve">Hechos</w:t>
      </w:r>
      <w:r>
        <w:t xml:space="preserve">: observar con procedencia y límites.</w:t>
      </w:r>
    </w:p>
    <w:p>
      <w:pPr>
        <w:pStyle w:val="BodyJ"/>
        <w:keepNext/>
        <w:numPr>
          <w:ilvl w:val="0"/>
          <w:numId w:val="5"/>
        </w:numPr>
      </w:pPr>
      <w:r>
        <w:rPr>
          <w:b/>
          <w:bCs/>
        </w:rPr>
        <w:t xml:space="preserve">Inferencias</w:t>
      </w:r>
      <w:r>
        <w:t xml:space="preserve">: explicar con fuerza proporcional.</w:t>
      </w:r>
    </w:p>
    <w:p>
      <w:pPr>
        <w:pStyle w:val="BodyJ"/>
        <w:keepNext/>
        <w:numPr>
          <w:ilvl w:val="0"/>
          <w:numId w:val="5"/>
        </w:numPr>
      </w:pPr>
      <w:r>
        <w:rPr>
          <w:b/>
          <w:bCs/>
        </w:rPr>
        <w:t xml:space="preserve">Incertidumbre</w:t>
      </w:r>
      <w:r>
        <w:t xml:space="preserve">: nombrar lo que puede cambiar el modelo o la conducta.</w:t>
      </w:r>
    </w:p>
    <w:p>
      <w:pPr>
        <w:pStyle w:val="BodyJ"/>
        <w:keepNext/>
        <w:numPr>
          <w:ilvl w:val="0"/>
          <w:numId w:val="5"/>
        </w:numPr>
      </w:pPr>
      <w:r>
        <w:rPr>
          <w:b/>
          <w:bCs/>
        </w:rPr>
        <w:t xml:space="preserve">Decisión</w:t>
      </w:r>
      <w:r>
        <w:t xml:space="preserve">: actuar por umbrales y consecuencias, no por necesidad de certeza.</w:t>
      </w:r>
    </w:p>
    <w:p>
      <w:pPr>
        <w:pStyle w:val="BodyJ"/>
        <w:keepNext w:val="false"/>
        <w:numPr>
          <w:ilvl w:val="0"/>
          <w:numId w:val="5"/>
        </w:numPr>
      </w:pPr>
      <w:r>
        <w:rPr>
          <w:b/>
          <w:bCs/>
        </w:rPr>
        <w:t xml:space="preserve">Reevaluación</w:t>
      </w:r>
      <w:r>
        <w:t xml:space="preserve">: devolver al mundo la capacidad de corregirnos.</w:t>
      </w:r>
    </w:p>
    <w:p>
      <w:pPr>
        <w:pStyle w:val="BodyJ"/>
        <w:keepNext w:val="false"/>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keepNext w:val="false"/>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keepNext/>
        <w:keepLines/>
        <w:spacing w:after="120" w:before="280"/>
      </w:pPr>
      <w:r>
        <w:rPr>
          <w:rFonts w:ascii="Gelasio" w:cs="Gelasio" w:eastAsia="Gelasio" w:hAnsi="Gelasio"/>
          <w:b/>
          <w:bCs/>
          <w:color w:val="2B2B2B"/>
          <w:sz w:val="25"/>
          <w:szCs w:val="25"/>
        </w:rPr>
        <w:t xml:space="preserve">Una disciplina cotidiana</w:t>
      </w:r>
    </w:p>
    <w:p>
      <w:pPr>
        <w:pStyle w:val="BodyJ"/>
        <w:keepNext w:val="false"/>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keepNext w:val="false"/>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keepNext w:val="false"/>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keepNext/>
        <w:keepLines/>
        <w:pageBreakBefore/>
        <w:spacing w:after="320" w:before="720"/>
      </w:pPr>
      <w:r>
        <w:rPr>
          <w:rFonts w:ascii="Gelasio" w:cs="Gelasio" w:eastAsia="Gelasio" w:hAnsi="Gelasio"/>
          <w:b/>
          <w:bCs/>
          <w:color w:val="2B2B2B"/>
          <w:sz w:val="34"/>
          <w:szCs w:val="34"/>
        </w:rPr>
        <w:t xml:space="preserve">Apéndice A. Hoja HII-D para discusión de casos</w:t>
      </w:r>
    </w:p>
    <w:p>
      <w:pPr>
        <w:pStyle w:val="BodyJ"/>
        <w:keepNext/>
      </w:pPr>
      <w:r>
        <w:rPr>
          <w:b/>
          <w:bCs/>
        </w:rPr>
        <w:t xml:space="preserve">Pregunta operativa</w:t>
      </w:r>
    </w:p>
    <w:p>
      <w:pPr>
        <w:pStyle w:val="BodyJ"/>
        <w:keepNext w:val="false"/>
      </w:pPr>
      <w:r>
        <w:t xml:space="preserve">¿Qué decisión concreta debe resolverse ahora?</w:t>
      </w:r>
    </w:p>
    <w:p>
      <w:pPr>
        <w:pStyle w:val="BodyJ"/>
        <w:keepNext/>
      </w:pPr>
      <w:r>
        <w:rPr>
          <w:b/>
          <w:bCs/>
        </w:rPr>
        <w:t xml:space="preserve">H — Hechos decisivos</w:t>
      </w:r>
    </w:p>
    <w:p>
      <w:pPr>
        <w:pStyle w:val="BodyJ"/>
        <w:keepNext w:val="false"/>
        <w:numPr>
          <w:ilvl w:val="0"/>
          <w:numId w:val="5"/>
        </w:numPr>
      </w:pPr>
      <w:r>
        <w:t xml:space="preserve">Fuente y fecha de cada dato.</w:t>
      </w:r>
    </w:p>
    <w:p>
      <w:pPr>
        <w:pStyle w:val="BodyJ"/>
        <w:keepNext w:val="false"/>
        <w:numPr>
          <w:ilvl w:val="0"/>
          <w:numId w:val="5"/>
        </w:numPr>
      </w:pPr>
      <w:r>
        <w:t xml:space="preserve">Tendencia temporal.</w:t>
      </w:r>
    </w:p>
    <w:p>
      <w:pPr>
        <w:pStyle w:val="BodyJ"/>
        <w:keepNext w:val="false"/>
        <w:numPr>
          <w:ilvl w:val="0"/>
          <w:numId w:val="5"/>
        </w:numPr>
      </w:pPr>
      <w:r>
        <w:t xml:space="preserve">Hallazgos positivos y negativos.</w:t>
      </w:r>
    </w:p>
    <w:p>
      <w:pPr>
        <w:pStyle w:val="BodyJ"/>
        <w:keepNext w:val="false"/>
        <w:numPr>
          <w:ilvl w:val="0"/>
          <w:numId w:val="5"/>
        </w:numPr>
      </w:pPr>
      <w:r>
        <w:t xml:space="preserve">Datos no evaluados o no disponibles.</w:t>
      </w:r>
    </w:p>
    <w:p>
      <w:pPr>
        <w:pStyle w:val="BodyJ"/>
        <w:keepNext w:val="false"/>
        <w:numPr>
          <w:ilvl w:val="0"/>
          <w:numId w:val="5"/>
        </w:numPr>
      </w:pPr>
      <w:r>
        <w:t xml:space="preserve">Confiabilidad y límites del método.</w:t>
      </w:r>
    </w:p>
    <w:p>
      <w:pPr>
        <w:pStyle w:val="BodyJ"/>
        <w:keepNext w:val="false"/>
        <w:numPr>
          <w:ilvl w:val="0"/>
          <w:numId w:val="5"/>
        </w:numPr>
      </w:pPr>
      <w:r>
        <w:t xml:space="preserve">Estado del razonador cuando pueda pesar: hora, horas de turno, sueño, ánimo, preocupación ajena al caso.</w:t>
      </w:r>
    </w:p>
    <w:p>
      <w:pPr>
        <w:pStyle w:val="BodyJ"/>
        <w:keepNext/>
      </w:pPr>
      <w:r>
        <w:rPr>
          <w:b/>
          <w:bCs/>
        </w:rPr>
        <w:t xml:space="preserve">I — Inferencia principal</w:t>
      </w:r>
    </w:p>
    <w:p>
      <w:pPr>
        <w:pStyle w:val="BodyJ"/>
        <w:keepNext/>
        <w:numPr>
          <w:ilvl w:val="0"/>
          <w:numId w:val="5"/>
        </w:numPr>
      </w:pPr>
      <w:r>
        <w:t xml:space="preserve">Representación del problema en una frase.</w:t>
      </w:r>
    </w:p>
    <w:p>
      <w:pPr>
        <w:pStyle w:val="BodyJ"/>
        <w:keepNext/>
        <w:numPr>
          <w:ilvl w:val="0"/>
          <w:numId w:val="5"/>
        </w:numPr>
      </w:pPr>
      <w:r>
        <w:t xml:space="preserve">Grado de certeza: demostrado / altamente probable / probable / posible / no demostrado.</w:t>
      </w:r>
    </w:p>
    <w:p>
      <w:pPr>
        <w:pStyle w:val="BodyJ"/>
        <w:keepNext/>
        <w:numPr>
          <w:ilvl w:val="0"/>
          <w:numId w:val="5"/>
        </w:numPr>
      </w:pPr>
      <w:r>
        <w:t xml:space="preserve">Mecanismo causal propuesto y qué parte no fue observada.</w:t>
      </w:r>
    </w:p>
    <w:p>
      <w:pPr>
        <w:pStyle w:val="BodyJ"/>
        <w:keepNext w:val="false"/>
        <w:numPr>
          <w:ilvl w:val="0"/>
          <w:numId w:val="5"/>
        </w:numPr>
      </w:pPr>
      <w:r>
        <w:t xml:space="preserve">Evidencia convergente y dato discordante.</w:t>
      </w:r>
    </w:p>
    <w:p>
      <w:pPr>
        <w:pStyle w:val="BodyJ"/>
        <w:keepNext/>
      </w:pPr>
      <w:r>
        <w:rPr>
          <w:b/>
          <w:bCs/>
        </w:rPr>
        <w:t xml:space="preserve">I — Incertidumbre</w:t>
      </w:r>
    </w:p>
    <w:p>
      <w:pPr>
        <w:pStyle w:val="BodyJ"/>
        <w:keepNext/>
        <w:numPr>
          <w:ilvl w:val="0"/>
          <w:numId w:val="5"/>
        </w:numPr>
      </w:pPr>
      <w:r>
        <w:t xml:space="preserve">Alternativa que cambiaría la conducta.</w:t>
      </w:r>
    </w:p>
    <w:p>
      <w:pPr>
        <w:pStyle w:val="BodyJ"/>
        <w:keepNext/>
        <w:numPr>
          <w:ilvl w:val="0"/>
          <w:numId w:val="5"/>
        </w:numPr>
      </w:pPr>
      <w:r>
        <w:t xml:space="preserve">Duda reducible con examen.</w:t>
      </w:r>
    </w:p>
    <w:p>
      <w:pPr>
        <w:pStyle w:val="BodyJ"/>
        <w:keepNext/>
        <w:numPr>
          <w:ilvl w:val="0"/>
          <w:numId w:val="5"/>
        </w:numPr>
      </w:pPr>
      <w:r>
        <w:t xml:space="preserve">Duda dependiente de evolución.</w:t>
      </w:r>
    </w:p>
    <w:p>
      <w:pPr>
        <w:pStyle w:val="BodyJ"/>
        <w:keepNext/>
        <w:numPr>
          <w:ilvl w:val="0"/>
          <w:numId w:val="5"/>
        </w:numPr>
      </w:pPr>
      <w:r>
        <w:t xml:space="preserve">Duda irreductible o no relevante para la decisión inmediata.</w:t>
      </w:r>
    </w:p>
    <w:p>
      <w:pPr>
        <w:pStyle w:val="BodyJ"/>
        <w:keepNext w:val="false"/>
        <w:numPr>
          <w:ilvl w:val="0"/>
          <w:numId w:val="5"/>
        </w:numPr>
      </w:pPr>
      <w:r>
        <w:t xml:space="preserve">Error de mayor consecuencia.</w:t>
      </w:r>
    </w:p>
    <w:p>
      <w:pPr>
        <w:pStyle w:val="BodyJ"/>
        <w:keepNext/>
      </w:pPr>
      <w:r>
        <w:rPr>
          <w:b/>
          <w:bCs/>
        </w:rPr>
        <w:t xml:space="preserve">D — Decisión</w:t>
      </w:r>
    </w:p>
    <w:p>
      <w:pPr>
        <w:pStyle w:val="BodyJ"/>
        <w:keepNext w:val="false"/>
        <w:numPr>
          <w:ilvl w:val="0"/>
          <w:numId w:val="5"/>
        </w:numPr>
      </w:pPr>
      <w:r>
        <w:t xml:space="preserve">Conducta elegida.</w:t>
      </w:r>
    </w:p>
    <w:p>
      <w:pPr>
        <w:pStyle w:val="BodyJ"/>
        <w:keepNext w:val="false"/>
        <w:numPr>
          <w:ilvl w:val="0"/>
          <w:numId w:val="5"/>
        </w:numPr>
      </w:pPr>
      <w:r>
        <w:t xml:space="preserve">Por qué el beneficio esperado supera al de las alternativas.</w:t>
      </w:r>
    </w:p>
    <w:p>
      <w:pPr>
        <w:pStyle w:val="BodyJ"/>
        <w:keepNext w:val="false"/>
        <w:numPr>
          <w:ilvl w:val="0"/>
          <w:numId w:val="5"/>
        </w:numPr>
      </w:pPr>
      <w:r>
        <w:t xml:space="preserve">Urgencia, reversibilidad y capacidad de vigilancia.</w:t>
      </w:r>
    </w:p>
    <w:p>
      <w:pPr>
        <w:pStyle w:val="BodyJ"/>
        <w:keepNext w:val="false"/>
        <w:numPr>
          <w:ilvl w:val="0"/>
          <w:numId w:val="5"/>
        </w:numPr>
      </w:pPr>
      <w:r>
        <w:t xml:space="preserve">Contexto global: funcionalidad basal, pronóstico de fondo, red de apoyo social y familiar.</w:t>
      </w:r>
    </w:p>
    <w:p>
      <w:pPr>
        <w:pStyle w:val="BodyJ"/>
        <w:keepNext w:val="false"/>
        <w:numPr>
          <w:ilvl w:val="0"/>
          <w:numId w:val="5"/>
        </w:numPr>
      </w:pPr>
      <w:r>
        <w:t xml:space="preserve">Preferencias del paciente (citadas, no presumidas).</w:t>
      </w:r>
    </w:p>
    <w:p>
      <w:pPr>
        <w:pStyle w:val="BodyJ"/>
        <w:keepNext w:val="false"/>
        <w:numPr>
          <w:ilvl w:val="0"/>
          <w:numId w:val="5"/>
        </w:numPr>
      </w:pPr>
      <w:r>
        <w:t xml:space="preserve">Proporcionalidad: ¿la intervención guarda proporción con el pronóstico y los fines del enfermo?</w:t>
      </w:r>
    </w:p>
    <w:p>
      <w:pPr>
        <w:pStyle w:val="BodyJ"/>
        <w:keepNext/>
      </w:pPr>
      <w:r>
        <w:rPr>
          <w:b/>
          <w:bCs/>
        </w:rPr>
        <w:t xml:space="preserve">Reevaluación</w:t>
      </w:r>
    </w:p>
    <w:p>
      <w:pPr>
        <w:pStyle w:val="BodyJ"/>
        <w:keepNext/>
        <w:numPr>
          <w:ilvl w:val="0"/>
          <w:numId w:val="5"/>
        </w:numPr>
      </w:pPr>
      <w:r>
        <w:t xml:space="preserve">Resultado pendiente y qué se hará con cada resultado posible («si sale…, haré…»).</w:t>
      </w:r>
    </w:p>
    <w:p>
      <w:pPr>
        <w:pStyle w:val="BodyJ"/>
        <w:keepNext/>
        <w:numPr>
          <w:ilvl w:val="0"/>
          <w:numId w:val="5"/>
        </w:numPr>
      </w:pPr>
      <w:r>
        <w:t xml:space="preserve">Plazo.</w:t>
      </w:r>
    </w:p>
    <w:p>
      <w:pPr>
        <w:pStyle w:val="BodyJ"/>
        <w:keepNext/>
        <w:numPr>
          <w:ilvl w:val="0"/>
          <w:numId w:val="5"/>
        </w:numPr>
      </w:pPr>
      <w:r>
        <w:t xml:space="preserve">Cambio clínico que obliga a reabrir el caso.</w:t>
      </w:r>
    </w:p>
    <w:p>
      <w:pPr>
        <w:pStyle w:val="BodyJ"/>
        <w:keepNext w:val="false"/>
        <w:numPr>
          <w:ilvl w:val="0"/>
          <w:numId w:val="5"/>
        </w:numPr>
      </w:pPr>
      <w:r>
        <w:t xml:space="preserve">Responsable de verificar y comunicar.</w:t>
      </w:r>
    </w:p>
    <w:p>
      <w:pPr>
        <w:pStyle w:val="BodyJ"/>
        <w:keepNext/>
      </w:pPr>
      <w:r>
        <w:rPr>
          <w:b/>
          <w:bCs/>
        </w:rPr>
        <w:t xml:space="preserve">Frase medular final</w:t>
      </w:r>
    </w:p>
    <w:p>
      <w:pPr>
        <w:pStyle w:val="BodyJ"/>
        <w:keepNext w:val="false"/>
      </w:pPr>
      <w:r>
        <w:t xml:space="preserve">Una o dos frases que expresen la naturaleza del evento, la inferencia con su grado, la incertidumbre crítica y el efecto sobre la conducta.</w:t>
      </w:r>
    </w:p>
    <w:p>
      <w:pPr>
        <w:pStyle w:val="BodyJ"/>
        <w:keepNext w:val="false"/>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keepNext w:val="false"/>
      </w:pPr>
      <w:r>
        <w:rPr>
          <w:b/>
          <w:bCs/>
        </w:rPr>
        <w:t xml:space="preserve">Versión de sesenta segundos</w:t>
      </w:r>
      <w:r>
        <w:t xml:space="preserve"> (para casos de rutina o alta presión de tiempo): las cuatro preguntas de la caja del capítulo 17, reproducidas en la tarjeta de la última página.</w:t>
      </w:r>
    </w:p>
    <w:p>
      <w:pPr>
        <w:pStyle w:val="Heading1"/>
        <w:keepNext/>
        <w:keepLines/>
        <w:pageBreakBefore/>
        <w:spacing w:after="320" w:before="720"/>
      </w:pPr>
      <w:r>
        <w:rPr>
          <w:rFonts w:ascii="Gelasio" w:cs="Gelasio" w:eastAsia="Gelasio" w:hAnsi="Gelasio"/>
          <w:b/>
          <w:bCs/>
          <w:color w:val="2B2B2B"/>
          <w:sz w:val="34"/>
          <w:szCs w:val="34"/>
        </w:rPr>
        <w:t xml:space="preserve">Apéndice B. Léxico de certeza y pausa diagnóstica</w:t>
      </w:r>
    </w:p>
    <w:p>
      <w:pPr>
        <w:pStyle w:val="Heading3"/>
        <w:keepNext/>
        <w:keepLines/>
        <w:spacing w:after="120" w:before="280"/>
      </w:pPr>
      <w:r>
        <w:rPr>
          <w:rFonts w:ascii="Gelasio" w:cs="Gelasio" w:eastAsia="Gelasio" w:hAnsi="Gelasio"/>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D;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(beta-hCG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keepNext/>
        <w:keepLines/>
        <w:spacing w:after="120" w:before="280"/>
      </w:pPr>
      <w:r>
        <w:rPr>
          <w:rFonts w:ascii="Gelasio" w:cs="Gelasio" w:eastAsia="Gelasio" w:hAnsi="Gelasio"/>
          <w:b/>
          <w:bCs/>
          <w:color w:val="2B2B2B"/>
          <w:sz w:val="25"/>
          <w:szCs w:val="25"/>
        </w:rPr>
        <w:t xml:space="preserve">Doce preguntas para una pausa diagnóstica</w:t>
      </w:r>
    </w:p>
    <w:p>
      <w:pPr>
        <w:pStyle w:val="BodyJ"/>
        <w:keepNext w:val="false"/>
        <w:numPr>
          <w:ilvl w:val="0"/>
          <w:numId w:val="28"/>
        </w:numPr>
      </w:pPr>
      <w:r>
        <w:t xml:space="preserve">¿Puedo describir el caso sin usar el diagnóstico actual?</w:t>
      </w:r>
    </w:p>
    <w:p>
      <w:pPr>
        <w:pStyle w:val="BodyJ"/>
        <w:keepNext w:val="false"/>
        <w:numPr>
          <w:ilvl w:val="0"/>
          <w:numId w:val="28"/>
        </w:numPr>
      </w:pPr>
      <w:r>
        <w:t xml:space="preserve">¿Qué dato sostiene más mi conclusión?</w:t>
      </w:r>
    </w:p>
    <w:p>
      <w:pPr>
        <w:pStyle w:val="BodyJ"/>
        <w:keepNext w:val="false"/>
        <w:numPr>
          <w:ilvl w:val="0"/>
          <w:numId w:val="28"/>
        </w:numPr>
      </w:pPr>
      <w:r>
        <w:t xml:space="preserve">¿Ese dato es específico o sólo compatible?</w:t>
      </w:r>
    </w:p>
    <w:p>
      <w:pPr>
        <w:pStyle w:val="BodyJ"/>
        <w:keepNext w:val="false"/>
        <w:numPr>
          <w:ilvl w:val="0"/>
          <w:numId w:val="28"/>
        </w:numPr>
      </w:pPr>
      <w:r>
        <w:t xml:space="preserve">¿Qué hallazgo no encaja?</w:t>
      </w:r>
    </w:p>
    <w:p>
      <w:pPr>
        <w:pStyle w:val="BodyJ"/>
        <w:keepNext w:val="false"/>
        <w:numPr>
          <w:ilvl w:val="0"/>
          <w:numId w:val="28"/>
        </w:numPr>
      </w:pPr>
      <w:r>
        <w:t xml:space="preserve">¿Qué información estoy suponiendo que fue verificada?</w:t>
      </w:r>
    </w:p>
    <w:p>
      <w:pPr>
        <w:pStyle w:val="BodyJ"/>
        <w:keepNext w:val="false"/>
        <w:numPr>
          <w:ilvl w:val="0"/>
          <w:numId w:val="28"/>
        </w:numPr>
      </w:pPr>
      <w:r>
        <w:t xml:space="preserve">¿Qué alternativa cambiaría la conducta inmediata?</w:t>
      </w:r>
    </w:p>
    <w:p>
      <w:pPr>
        <w:pStyle w:val="BodyJ"/>
        <w:keepNext w:val="false"/>
        <w:numPr>
          <w:ilvl w:val="0"/>
          <w:numId w:val="28"/>
        </w:numPr>
      </w:pPr>
      <w:r>
        <w:t xml:space="preserve">¿Estoy usando la respuesta al tratamiento como prueba causal demasiado fuerte?</w:t>
      </w:r>
    </w:p>
    <w:p>
      <w:pPr>
        <w:pStyle w:val="BodyJ"/>
        <w:keepNext w:val="false"/>
        <w:numPr>
          <w:ilvl w:val="0"/>
          <w:numId w:val="28"/>
        </w:numPr>
      </w:pPr>
      <w:r>
        <w:t xml:space="preserve">¿La gravedad es coherente con mi explicación?</w:t>
      </w:r>
    </w:p>
    <w:p>
      <w:pPr>
        <w:pStyle w:val="BodyJ"/>
        <w:keepNext w:val="false"/>
        <w:numPr>
          <w:ilvl w:val="0"/>
          <w:numId w:val="28"/>
        </w:numPr>
      </w:pPr>
      <w:r>
        <w:t xml:space="preserve">¿Existe reconsulta, recurrencia o evolución inesperada?</w:t>
      </w:r>
    </w:p>
    <w:p>
      <w:pPr>
        <w:pStyle w:val="BodyJ"/>
        <w:keepNext w:val="false"/>
        <w:numPr>
          <w:ilvl w:val="0"/>
          <w:numId w:val="28"/>
        </w:numPr>
      </w:pPr>
      <w:r>
        <w:t xml:space="preserve">¿Mi confianza proviene de evidencia o de familiaridad y fluidez?</w:t>
      </w:r>
    </w:p>
    <w:p>
      <w:pPr>
        <w:pStyle w:val="BodyJ"/>
        <w:keepNext w:val="false"/>
        <w:numPr>
          <w:ilvl w:val="0"/>
          <w:numId w:val="28"/>
        </w:numPr>
      </w:pPr>
      <w:r>
        <w:t xml:space="preserve">¿Cuál es el costo de esperar y cuál el costo de actuar?</w:t>
      </w:r>
    </w:p>
    <w:p>
      <w:pPr>
        <w:pStyle w:val="BodyJ"/>
        <w:keepNext w:val="false"/>
        <w:numPr>
          <w:ilvl w:val="0"/>
          <w:numId w:val="28"/>
        </w:numPr>
      </w:pPr>
      <w:r>
        <w:t xml:space="preserve">¿Qué evento obligará a revisar la decisión y quién lo detectará?</w:t>
      </w:r>
    </w:p>
    <w:p>
      <w:pPr>
        <w:pStyle w:val="Heading1"/>
        <w:keepNext/>
        <w:keepLines/>
        <w:pageBreakBefore/>
        <w:spacing w:after="320" w:before="720"/>
      </w:pPr>
      <w:r>
        <w:rPr>
          <w:rFonts w:ascii="Gelasio" w:cs="Gelasio" w:eastAsia="Gelasio" w:hAnsi="Gelasio"/>
          <w:b/>
          <w:bCs/>
          <w:color w:val="2B2B2B"/>
          <w:sz w:val="34"/>
          <w:szCs w:val="34"/>
        </w:rPr>
        <w:t xml:space="preserve">Apéndice C. Guía de implementación en un servicio clínico</w:t>
      </w:r>
    </w:p>
    <w:p>
      <w:pPr>
        <w:pStyle w:val="BodyJ"/>
        <w:keepNext w:val="false"/>
      </w:pPr>
      <w:r>
        <w:t xml:space="preserve">Esta guía condensa el capítulo 18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17, «Límites»); todo debe adaptarse al contexto local; y la palanca más barata —cómo se habla en la visita de sala— es también la más poderosa.</w:t>
      </w:r>
    </w:p>
    <w:p>
      <w:pPr>
        <w:pStyle w:val="Heading3"/>
        <w:keepNext/>
        <w:keepLines/>
        <w:spacing w:after="120" w:before="280"/>
      </w:pPr>
      <w:r>
        <w:rPr>
          <w:rFonts w:ascii="Gelasio" w:cs="Gelasio" w:eastAsia="Gelasio" w:hAnsi="Gelasio"/>
          <w:b/>
          <w:bCs/>
          <w:color w:val="2B2B2B"/>
          <w:sz w:val="25"/>
          <w:szCs w:val="25"/>
        </w:rPr>
        <w:t xml:space="preserve">Semana 1–2: instalar el lenguaje</w:t>
      </w:r>
    </w:p>
    <w:p>
      <w:pPr>
        <w:pStyle w:val="BodyJ"/>
        <w:keepNext/>
        <w:numPr>
          <w:ilvl w:val="0"/>
          <w:numId w:val="5"/>
        </w:numPr>
      </w:pPr>
      <w:r>
        <w:t xml:space="preserve">Presentar el léxico de certeza (Apéndice B) en reunión clínica, con los ejemplos de uso incorrecto. Imprimirlo y dejarlo visible donde se escribe: junto a las estaciones de trabajo, no en un mural decorativo.</w:t>
      </w:r>
    </w:p>
    <w:p>
      <w:pPr>
        <w:pStyle w:val="BodyJ"/>
        <w:keepNext/>
        <w:numPr>
          <w:ilvl w:val="0"/>
          <w:numId w:val="5"/>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keepNext w:val="false"/>
        <w:numPr>
          <w:ilvl w:val="0"/>
          <w:numId w:val="5"/>
        </w:numPr>
      </w:pPr>
      <w:r>
        <w:t xml:space="preserve">No pedir todavía cambios de estructura en las notas. El vocabulario primero; la arquitectura después.</w:t>
      </w:r>
    </w:p>
    <w:p>
      <w:pPr>
        <w:pStyle w:val="Heading3"/>
        <w:keepNext/>
        <w:keepLines/>
        <w:spacing w:after="120" w:before="280"/>
      </w:pPr>
      <w:r>
        <w:rPr>
          <w:rFonts w:ascii="Gelasio" w:cs="Gelasio" w:eastAsia="Gelasio" w:hAnsi="Gelasio"/>
          <w:b/>
          <w:bCs/>
          <w:color w:val="2B2B2B"/>
          <w:sz w:val="25"/>
          <w:szCs w:val="25"/>
        </w:rPr>
        <w:t xml:space="preserve">Semana 3–4: la pausa en la visita de sala</w:t>
      </w:r>
    </w:p>
    <w:p>
      <w:pPr>
        <w:pStyle w:val="BodyJ"/>
        <w:keepNext/>
        <w:numPr>
          <w:ilvl w:val="0"/>
          <w:numId w:val="5"/>
        </w:numPr>
      </w:pPr>
      <w:r>
        <w:t xml:space="preserve">Elegir un disparador objetivo para la pausa diagnóstica (no «cuando haya tiempo»): reconsulta, evolución discordante con el diagnóstico, traslado recibido de otro equipo, o caso sin discusión hace 72 horas.</w:t>
      </w:r>
    </w:p>
    <w:p>
      <w:pPr>
        <w:pStyle w:val="BodyJ"/>
        <w:keepNext/>
        <w:numPr>
          <w:ilvl w:val="0"/>
          <w:numId w:val="5"/>
        </w:numPr>
      </w:pPr>
      <w:r>
        <w:t xml:space="preserve">Cuando se active, usar las cuatro preguntas de la versión de sesenta segundos en voz alta. Duración objetivo: dos minutos por caso. Quien dirige la visita modela; no interroga.</w:t>
      </w:r>
    </w:p>
    <w:p>
      <w:pPr>
        <w:pStyle w:val="BodyJ"/>
        <w:keepNext w:val="false"/>
        <w:numPr>
          <w:ilvl w:val="0"/>
          <w:numId w:val="5"/>
        </w:numPr>
      </w:pPr>
      <w:r>
        <w:t xml:space="preserve">Entrega de turno: agregar una línea obligatoria por paciente inestable o incierto: «qué vigilar, qué reabriría el caso, quién verifica el pendiente».</w:t>
      </w:r>
    </w:p>
    <w:p>
      <w:pPr>
        <w:pStyle w:val="Heading3"/>
        <w:keepNext/>
        <w:keepLines/>
        <w:spacing w:after="120" w:before="280"/>
      </w:pPr>
      <w:r>
        <w:rPr>
          <w:rFonts w:ascii="Gelasio" w:cs="Gelasio" w:eastAsia="Gelasio" w:hAnsi="Gelasio"/>
          <w:b/>
          <w:bCs/>
          <w:color w:val="2B2B2B"/>
          <w:sz w:val="25"/>
          <w:szCs w:val="25"/>
        </w:rPr>
        <w:t xml:space="preserve">Mes 2: la ficha</w:t>
      </w:r>
    </w:p>
    <w:p>
      <w:pPr>
        <w:pStyle w:val="BodyJ"/>
        <w:keepNext/>
        <w:numPr>
          <w:ilvl w:val="0"/>
          <w:numId w:val="5"/>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keepNext/>
        <w:numPr>
          <w:ilvl w:val="0"/>
          <w:numId w:val="5"/>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keepNext/>
        <w:numPr>
          <w:ilvl w:val="0"/>
          <w:numId w:val="5"/>
        </w:numPr>
      </w:pPr>
      <w:r>
        <w:t xml:space="preserve">Cada examen pendiente con su propósito escrito: «si sale…, haré…» (capítulo 11). Si las ramas son iguales, no se pide, o se anota como pedido por el paciente.</w:t>
      </w:r>
    </w:p>
    <w:p>
      <w:pPr>
        <w:pStyle w:val="BodyJ"/>
        <w:keepNext w:val="false"/>
        <w:numPr>
          <w:ilvl w:val="0"/>
          <w:numId w:val="5"/>
        </w:numPr>
      </w:pPr>
      <w:r>
        <w:t xml:space="preserve">Revisar las plantillas electrónicas existentes: eliminar campos que inducen copia, agregar un campo breve de «criterio de reapertura».</w:t>
      </w:r>
    </w:p>
    <w:p>
      <w:pPr>
        <w:pStyle w:val="Heading3"/>
        <w:keepNext/>
        <w:keepLines/>
        <w:spacing w:after="120" w:before="280"/>
      </w:pPr>
      <w:r>
        <w:rPr>
          <w:rFonts w:ascii="Gelasio" w:cs="Gelasio" w:eastAsia="Gelasio" w:hAnsi="Gelasio"/>
          <w:b/>
          <w:bCs/>
          <w:color w:val="2B2B2B"/>
          <w:sz w:val="25"/>
          <w:szCs w:val="25"/>
        </w:rPr>
        <w:t xml:space="preserve">Mes 3 en adelante: el circuito de aprendizaje</w:t>
      </w:r>
    </w:p>
    <w:p>
      <w:pPr>
        <w:pStyle w:val="BodyJ"/>
        <w:keepNext/>
        <w:numPr>
          <w:ilvl w:val="0"/>
          <w:numId w:val="5"/>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keepNext/>
        <w:numPr>
          <w:ilvl w:val="0"/>
          <w:numId w:val="5"/>
        </w:numPr>
      </w:pPr>
      <w:r>
        <w:t xml:space="preserve">Ofrecer (voluntario, privado) el portafolio de calibración del capítulo 5: hipótesis, confianza, alternativa, desenlace. Quien lo lleve tres meses tendrá el primer dato real sobre su propia calibración.</w:t>
      </w:r>
    </w:p>
    <w:p>
      <w:pPr>
        <w:pStyle w:val="BodyJ"/>
        <w:keepNext w:val="false"/>
        <w:numPr>
          <w:ilvl w:val="0"/>
          <w:numId w:val="5"/>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keepNext/>
        <w:keepLines/>
        <w:spacing w:after="120" w:before="280"/>
      </w:pPr>
      <w:r>
        <w:rPr>
          <w:rFonts w:ascii="Gelasio" w:cs="Gelasio" w:eastAsia="Gelasio" w:hAnsi="Gelasio"/>
          <w:b/>
          <w:bCs/>
          <w:color w:val="2B2B2B"/>
          <w:sz w:val="25"/>
          <w:szCs w:val="25"/>
        </w:rPr>
        <w:t xml:space="preserve">Qué medir (sin inflar métricas)</w:t>
      </w:r>
    </w:p>
    <w:p>
      <w:pPr>
        <w:pStyle w:val="BodyJ"/>
        <w:keepNext w:val="false"/>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keepNext/>
        <w:keepLines/>
        <w:spacing w:after="120" w:before="280"/>
      </w:pPr>
      <w:r>
        <w:rPr>
          <w:rFonts w:ascii="Gelasio" w:cs="Gelasio" w:eastAsia="Gelasio" w:hAnsi="Gelasio"/>
          <w:b/>
          <w:bCs/>
          <w:color w:val="2B2B2B"/>
          <w:sz w:val="25"/>
          <w:szCs w:val="25"/>
        </w:rPr>
        <w:t xml:space="preserve">Hoja de ruta para el docente</w:t>
      </w:r>
    </w:p>
    <w:p>
      <w:pPr>
        <w:pStyle w:val="BodyJ"/>
        <w:keepNext w:val="false"/>
      </w:pPr>
      <w:r>
        <w:t xml:space="preserve">Qué talleres del Apéndice D usar con quién, en el orden en que rinden más; cada uno se nombra por su capítulo. Salvo los que se sostienen en el tiempo (los de los capítulos 5, 17 y 18), cada uno cabe en una reunión de treinta minutos.</w:t>
      </w:r>
    </w:p>
    <w:p>
      <w:pPr>
        <w:pStyle w:val="BodyJ"/>
        <w:keepNext/>
        <w:numPr>
          <w:ilvl w:val="0"/>
          <w:numId w:val="5"/>
        </w:numPr>
      </w:pPr>
      <w:r>
        <w:rPr>
          <w:b/>
          <w:bCs/>
        </w:rPr>
        <w:t xml:space="preserve">Interno y residente de primer año</w:t>
      </w:r>
      <w:r>
        <w:t xml:space="preserve">: los talleres de los capítulos 1 (qué tan hecho es este hecho), 2 (la sentencia del TAC), 4 (cinco frases para reescribir), 10 (frecuencias naturales), 11 (si sale…, haré…), 12 (la observación activa, por escrito) y 13 (conjugar los verbos). Enseñan el léxico y las capas antes que el juicio.</w:t>
      </w:r>
    </w:p>
    <w:p>
      <w:pPr>
        <w:pStyle w:val="BodyJ"/>
        <w:keepNext/>
        <w:numPr>
          <w:ilvl w:val="0"/>
          <w:numId w:val="5"/>
        </w:numPr>
      </w:pPr>
      <w:r>
        <w:rPr>
          <w:b/>
          <w:bCs/>
        </w:rPr>
        <w:t xml:space="preserve">Residente de segundo año en adelante</w:t>
      </w:r>
      <w:r>
        <w:t xml:space="preserve">: los de los capítulos 3 (el mapa de lo que no sabemos), 5 (calibración personal, sostenido tres meses), 7 (reconstruir una trayectoria), 8 (presentar sin la etiqueta), 13 (desfosilizar una evolución), 14 (traducir un desacuerdo) y 17 (su paciente, esta semana). Trabajan sobre el propio razonamiento y sobre pacientes reales.</w:t>
      </w:r>
    </w:p>
    <w:p>
      <w:pPr>
        <w:pStyle w:val="BodyJ"/>
        <w:keepNext/>
        <w:numPr>
          <w:ilvl w:val="0"/>
          <w:numId w:val="5"/>
        </w:numPr>
      </w:pPr>
      <w:r>
        <w:rPr>
          <w:b/>
          <w:bCs/>
        </w:rPr>
        <w:t xml:space="preserve">Jefe de servicio, docente y comité</w:t>
      </w:r>
      <w:r>
        <w:t xml:space="preserve">: los de los capítulos 10 (las cuatro casillas), 16 (el método de Louis, aplicado a una costumbre del servicio), 18 (rediseñar la visita de sala) y 19 (la autopsia de una respuesta de IA), y la reunión de morbimortalidad en el formato de la viñeta 6. Cambian el sistema, no sólo al que razona.</w:t>
      </w:r>
    </w:p>
    <w:p>
      <w:pPr>
        <w:pStyle w:val="BodyJ"/>
        <w:keepNext w:val="false"/>
        <w:numPr>
          <w:ilvl w:val="0"/>
          <w:numId w:val="5"/>
        </w:numPr>
      </w:pPr>
      <w:r>
        <w:rPr>
          <w:b/>
          <w:bCs/>
        </w:rPr>
        <w:t xml:space="preserve">Para todos, al cierre de un ciclo</w:t>
      </w:r>
      <w:r>
        <w:t xml:space="preserve">: los de los capítulos 2 (cinco hipótesis en tres minutos) y 20 (la prueba de Parra), que entrenan la generación y el oído.</w:t>
      </w:r>
    </w:p>
    <w:p>
      <w:pPr>
        <w:pStyle w:val="BodyJ"/>
        <w:keepNext w:val="false"/>
      </w:pPr>
      <w:r>
        <w:t xml:space="preserve">Secuencia mínima para un servicio que empieza, alineada con las fases de esta guía: el taller del capítulo 4 en las semanas 1–2 (el lenguaje), los de los capítulos 8 y 12 en las semanas 3–4 (la pausa en la visita de sala), los dos del capítulo 13 en el mes 2 (la ficha) y el del capítulo 7 desde el mes 3, junto a la reunión de morbimortalidad; el resto, a demanda. Los «errores típicos» anotados en los talleres de los capítulos 7, 8, 10 (frecuencias naturales) y 13 (conjugar los verbos) son lo que los grupos suelen responder primero; mostrarlos antes de la versión posible enseña por contraste.</w:t>
      </w:r>
    </w:p>
    <w:p>
      <w:pPr>
        <w:pStyle w:val="Heading1"/>
        <w:keepNext/>
        <w:keepLines/>
        <w:pageBreakBefore/>
        <w:spacing w:after="320" w:before="720"/>
      </w:pPr>
      <w:r>
        <w:rPr>
          <w:rFonts w:ascii="Gelasio" w:cs="Gelasio" w:eastAsia="Gelasio" w:hAnsi="Gelasio"/>
          <w:b/>
          <w:bCs/>
          <w:color w:val="2B2B2B"/>
          <w:sz w:val="34"/>
          <w:szCs w:val="34"/>
        </w:rPr>
        <w:t xml:space="preserve">Apéndice D. Talleres</w:t>
      </w:r>
    </w:p>
    <w:p>
      <w:pPr>
        <w:pStyle w:val="BodyJ"/>
        <w:keepNext w:val="false"/>
      </w:pPr>
      <w:r>
        <w:t xml:space="preserve">Los ejercicios de este apéndice son para quien quiera practicar. Hay uno por capítulo, salvo en los capítulos 6, 9 y 15, que no tienen, y en los capítulos 2, 10 y 13, que tienen dos; cada uno lleva el número del capítulo cuyo concepto ejercita y rinde más después de leerlo. Casi todos se hacen por escrito, y muchos piden reescribir una frase clínica real. Ninguno tiene una respuesta única: la versión posible o el comentario que acompaña a cada uno muestra un camino, no el camino, y algunos anotan antes el error típico, lo que los grupos suelen responder primero. La hoja de ruta para el docente, al final del Apéndice C, propone cuáles usar con quién y en qué orden.</w:t>
      </w:r>
    </w:p>
    <w:p>
      <w:pPr>
        <w:pStyle w:val="TallerHead"/>
        <w:keepNext/>
        <w:keepLines/>
      </w:pPr>
      <w:r>
        <w:t xml:space="preserve">Taller del capítulo 1. ¿Qué tan hecho es este hecho?</w:t>
      </w:r>
    </w:p>
    <w:p>
      <w:pPr>
        <w:pStyle w:val="BodyJ"/>
        <w:keepNext/>
      </w:pPr>
      <w:r>
        <w:t xml:space="preserve">Clasificar cada afirmación según el gradiente de facticidad (medido / observado por profesional / relato / heredado / ausencia inferida) y reescribir la que parezca más frágil:</w:t>
      </w:r>
    </w:p>
    <w:p>
      <w:pPr>
        <w:pStyle w:val="BodyJ"/>
        <w:keepNext/>
        <w:numPr>
          <w:ilvl w:val="0"/>
          <w:numId w:val="29"/>
        </w:numPr>
      </w:pPr>
      <w:r>
        <w:t xml:space="preserve">«Lactato 3,9 mmol/L (04:15, arterial).»</w:t>
      </w:r>
    </w:p>
    <w:p>
      <w:pPr>
        <w:pStyle w:val="BodyJ"/>
        <w:keepNext/>
        <w:numPr>
          <w:ilvl w:val="0"/>
          <w:numId w:val="29"/>
        </w:numPr>
      </w:pPr>
      <w:r>
        <w:t xml:space="preserve">«Abdomen sin signos de irritación peritoneal.»</w:t>
      </w:r>
    </w:p>
    <w:p>
      <w:pPr>
        <w:pStyle w:val="BodyJ"/>
        <w:keepNext/>
        <w:numPr>
          <w:ilvl w:val="0"/>
          <w:numId w:val="29"/>
        </w:numPr>
      </w:pPr>
      <w:r>
        <w:t xml:space="preserve">«Alérgica a penicilina.»</w:t>
      </w:r>
    </w:p>
    <w:p>
      <w:pPr>
        <w:pStyle w:val="BodyJ"/>
        <w:keepNext/>
        <w:numPr>
          <w:ilvl w:val="0"/>
          <w:numId w:val="29"/>
        </w:numPr>
      </w:pPr>
      <w:r>
        <w:t xml:space="preserve">«Sin episodios previos de sangrado.»</w:t>
      </w:r>
    </w:p>
    <w:p>
      <w:pPr>
        <w:pStyle w:val="BodyJ"/>
        <w:keepNext w:val="false"/>
        <w:numPr>
          <w:ilvl w:val="0"/>
          <w:numId w:val="29"/>
        </w:numPr>
      </w:pPr>
      <w:r>
        <w:t xml:space="preserve">«La hernia no se dejó acomodar y el dolor era distinto al de otras veces.»</w:t>
      </w:r>
    </w:p>
    <w:p>
      <w:pPr>
        <w:pStyle w:val="BodyJ"/>
        <w:keepNext w:val="false"/>
      </w:pPr>
      <w:r>
        <w:rPr>
          <w:i/>
          <w:iCs/>
        </w:rPr>
        <w:t xml:space="preserve">Una versión posible.</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TallerHead"/>
        <w:keepNext/>
        <w:keepLines/>
      </w:pPr>
      <w:r>
        <w:t xml:space="preserve">Taller del capítulo 2. La sentencia del TAC</w:t>
      </w:r>
    </w:p>
    <w:p>
      <w:pPr>
        <w:pStyle w:val="BodyJ"/>
        <w:keepNext w:val="false"/>
      </w:pPr>
      <w:r>
        <w:t xml:space="preserve">El informe dice: «hernia incisional con asas dilatadas, sin signos de isquemia ni perforación». El residente escribió: «TAC descarta complicación». ¿Cómo se reescribe para que conserve (a) lo que la imagen mostró, (b) lo que la imagen no puede mostrar, y (c) la inferencia que de verdad autoriza?</w:t>
      </w:r>
    </w:p>
    <w:p>
      <w:pPr>
        <w:pStyle w:val="BodyJ"/>
        <w:keepNext/>
      </w:pPr>
      <w:r>
        <w:rPr>
          <w:i/>
          <w:iCs/>
        </w:rPr>
        <w:t xml:space="preserve">Una versión posible.</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keepNext w:val="false"/>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El patrón general: el hallazgo negativo se limita al rendimiento del método y al momento; la conducta se justifica por umbral, no por exclusión ontológica.</w:t>
      </w:r>
    </w:p>
    <w:p>
      <w:pPr>
        <w:pStyle w:val="TallerHead"/>
        <w:keepNext/>
        <w:keepLines/>
      </w:pPr>
      <w:r>
        <w:t xml:space="preserve">Taller del capítulo 2. Cinco hipótesis en tres minutos</w:t>
      </w:r>
    </w:p>
    <w:p>
      <w:pPr>
        <w:pStyle w:val="BodyJ"/>
        <w:keepNext w:val="false"/>
      </w:pPr>
      <w:r>
        <w:t xml:space="preserve">Un paciente con EPOC conocido consulta por disnea que no ha respondido a dos rondas de broncodilatadores en urgencias. La saturación es 84% con oxígeno a 2 L/min por naricera, y la auscultación muestra escasas sibilancias. Con tres minutos y un papel: (a) generar al menos cinco hipótesis sin censurar ninguna, (b) escribir una reformulación del problema que no use la palabra «EPOC», (c) recién entonces podar con las cuatro preguntas de la prueba de resistencia.</w:t>
      </w:r>
    </w:p>
    <w:p>
      <w:pPr>
        <w:pStyle w:val="BodyJ"/>
        <w:keepNext w:val="false"/>
      </w:pPr>
      <w:r>
        <w:rPr>
          <w:i/>
          <w:iCs/>
        </w:rPr>
        <w:t xml:space="preserve">Una versión posible.</w:t>
      </w:r>
      <w:r>
        <w:t xml:space="preserve"> La lista generativa sin censura inicial incluye: tromboembolismo pulmonar (el EPOC y la inmovilidad aumentan el riesgo, y la escasez de sibilancias no explica una saturación de 84% con oxígeno),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La secuencia importa: primero volumen divergente sin filtro —pues la autocensura temprana es el motor del cierre prematuro— y recién después poda severa contra los datos del caso. Tres minutos de generación libre cuestan mucho menos que veinticuatro horas de anclaje. La poda, con las cuatro preguntas de la prueba de resistencia: el dato más difícil de explicar con otra exacerbación de EPOC es una disnea que no cede con dos rondas de broncodilatadores y casi sin sibilancias, que es justo el hallazgo que la exacerbación haría esperar y no está. El tromboembolismo pulmonar y el neumotórax explican ambos datos y cambiarían la conducta (anticoagular, drenar), así que encabezan la lista; la neumonía, el edema pulmonar, el síndrome coronario y la anemia quedan a una radiografía, un electrocardiograma con troponina y un hemograma de distancia. También queda escrito qué cambiaría la jerarquía: un neumotórax en la radiografía la resuelve; su ausencia deja arriba al tromboembolismo.</w:t>
      </w:r>
    </w:p>
    <w:p>
      <w:pPr>
        <w:pStyle w:val="TallerHead"/>
        <w:keepNext/>
        <w:keepLines/>
      </w:pPr>
      <w:r>
        <w:t xml:space="preserve">Taller del capítulo 3. El mapa de lo que no sabemos de Carmen</w:t>
      </w:r>
    </w:p>
    <w:p>
      <w:pPr>
        <w:pStyle w:val="BodyJ"/>
        <w:keepNext w:val="false"/>
      </w:pPr>
      <w:r>
        <w:t xml:space="preserve">El equipo tiene cuatro dudas: (a) ¿por qué este episodio fue tan grave?, (b) ¿la bacteriemia vino del abdomen?, (c) ¿cuándo volverá a obstruirse?, (d) ¿resistirá una cirugía electiva? ¿Dónde cae cada una en la cartografía del capítulo 3 (reducible con examen / dependiente de evolución / irrelevante para la conducta inmediata / peligrosa si está equivocada / dependiente de valores)?</w:t>
      </w:r>
    </w:p>
    <w:p>
      <w:pPr>
        <w:pStyle w:val="BodyJ"/>
        <w:keepNext w:val="false"/>
      </w:pPr>
      <w:r>
        <w:rPr>
          <w:i/>
          <w:iCs/>
        </w:rPr>
        <w:t xml:space="preserve">Una versión posible.</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TallerHead"/>
        <w:keepNext/>
        <w:keepLines/>
      </w:pPr>
      <w:r>
        <w:t xml:space="preserve">Taller del capítulo 4. Cinco frases para reescribir</w:t>
      </w:r>
    </w:p>
    <w:p>
      <w:pPr>
        <w:pStyle w:val="BodyJ"/>
        <w:keepNext/>
      </w:pPr>
      <w:r>
        <w:t xml:space="preserve">Reescribir cada frase para que la fuerza del lenguaje corresponda a la fuerza de la evidencia disponible (con los mínimos datos verosímiles que haga falta inventar):</w:t>
      </w:r>
    </w:p>
    <w:p>
      <w:pPr>
        <w:pStyle w:val="BodyJ"/>
        <w:keepNext/>
        <w:numPr>
          <w:ilvl w:val="0"/>
          <w:numId w:val="30"/>
        </w:numPr>
      </w:pPr>
      <w:r>
        <w:t xml:space="preserve">«Se descarta tromboembolismo pulmonar.»</w:t>
      </w:r>
    </w:p>
    <w:p>
      <w:pPr>
        <w:pStyle w:val="BodyJ"/>
        <w:keepNext/>
        <w:numPr>
          <w:ilvl w:val="0"/>
          <w:numId w:val="30"/>
        </w:numPr>
      </w:pPr>
      <w:r>
        <w:t xml:space="preserve">«Neumonía que respondió a antibióticos.»</w:t>
      </w:r>
    </w:p>
    <w:p>
      <w:pPr>
        <w:pStyle w:val="BodyJ"/>
        <w:keepNext/>
        <w:numPr>
          <w:ilvl w:val="0"/>
          <w:numId w:val="30"/>
        </w:numPr>
      </w:pPr>
      <w:r>
        <w:t xml:space="preserve">«Paciente poco colaborador.»</w:t>
      </w:r>
    </w:p>
    <w:p>
      <w:pPr>
        <w:pStyle w:val="BodyJ"/>
        <w:keepNext/>
        <w:numPr>
          <w:ilvl w:val="0"/>
          <w:numId w:val="30"/>
        </w:numPr>
      </w:pPr>
      <w:r>
        <w:t xml:space="preserve">«ITU en tratamiento» (paciente sondado, urocultivo positivo, afebril, sin síntomas nuevos).</w:t>
      </w:r>
    </w:p>
    <w:p>
      <w:pPr>
        <w:pStyle w:val="BodyJ"/>
        <w:keepNext w:val="false"/>
        <w:numPr>
          <w:ilvl w:val="0"/>
          <w:numId w:val="30"/>
        </w:numPr>
      </w:pPr>
      <w:r>
        <w:t xml:space="preserve">«Fracaso de manejo médico.»</w:t>
      </w:r>
    </w:p>
    <w:p>
      <w:pPr>
        <w:pStyle w:val="BodyJ"/>
        <w:keepNext w:val="false"/>
      </w:pPr>
      <w:r>
        <w:rPr>
          <w:i/>
          <w:iCs/>
        </w:rPr>
        <w:t xml:space="preserve">Una versión posible.</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TallerHead"/>
        <w:keepNext/>
        <w:keepLines/>
      </w:pPr>
      <w:r>
        <w:t xml:space="preserve">Taller del capítulo 5. Un experimento de calibración personal</w:t>
      </w:r>
    </w:p>
    <w:p>
      <w:pPr>
        <w:pStyle w:val="BodyJ"/>
        <w:keepNext w:val="false"/>
      </w:pPr>
      <w:r>
        <w:t xml:space="preserve">Llevar durante dos semanas el portafolio de calibración del capítulo 5: para cada diagnóstico de trabajo relevante, la hipótesis principal, la confianza aproximada, la alternativa que más preocupa y, cuando llegue, el desenlace. Al final, agrupar por la confianza declarada: de los diagnósticos anotados con 90%, ¿qué proporción se confirmó?</w:t>
      </w:r>
    </w:p>
    <w:p>
      <w:pPr>
        <w:pStyle w:val="BodyJ"/>
        <w:keepNext w:val="false"/>
      </w:pPr>
      <w:r>
        <w:rPr>
          <w:i/>
          <w:iCs/>
        </w:rPr>
        <w:t xml:space="preserve">Comentario.</w:t>
      </w:r>
      <w:r>
        <w:t xml:space="preserve"> No hay una respuesta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Quien repite el ejercicio dos o tres veces al año construye la serie que convierte experiencia en calibración.</w:t>
      </w:r>
    </w:p>
    <w:p>
      <w:pPr>
        <w:pStyle w:val="TallerHead"/>
        <w:keepNext/>
        <w:keepLines/>
      </w:pPr>
      <w:r>
        <w:t xml:space="preserve">Taller del capítulo 7. Reconstruir una trayectoria, no asignar un sesgo</w:t>
      </w:r>
    </w:p>
    <w:p>
      <w:pPr>
        <w:pStyle w:val="BodyJ"/>
        <w:keepNext w:val="false"/>
      </w:pPr>
      <w:r>
        <w:t xml:space="preserve">Sirve el error de la colecistitis narrado al inicio del capítulo 7 o, mejor, un error propio que se recuerde con suficiente detalle. Una regla: no usar nombres de sesgos. Y cuatro preguntas: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keepNext w:val="false"/>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keepNext w:val="false"/>
      </w:pPr>
      <w:r>
        <w:rPr>
          <w:i/>
          <w:iCs/>
        </w:rPr>
        <w:t xml:space="preserve">Una versión posible.</w:t>
      </w:r>
      <w:r>
        <w:t xml:space="preserve"> Sobre el caso del capítulo 7: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TallerHead"/>
        <w:keepNext/>
        <w:keepLines/>
      </w:pPr>
      <w:r>
        <w:t xml:space="preserve">Taller del capítulo 8. Presentar sin la etiqueta</w:t>
      </w:r>
    </w:p>
    <w:p>
      <w:pPr>
        <w:pStyle w:val="BodyJ"/>
        <w:keepNext w:val="false"/>
      </w:pPr>
      <w:r>
        <w:t xml:space="preserve">Conviene elegir al paciente hospitalizado cuyo diagnóstico de ingreso lleve más días repitiéndose en las evoluciones sin ser cuestionado. Se trata de presentarlo en cinco líneas, sólo con los hallazgos primarios, la línea temporal y el contexto basal, sin el diagnóstico de trabajo ni sus sinónimos. Después, tres preguntas: ¿qué dato discordante reapareció apenas se quitó la etiqueta que lo mantenía subordinado?, ¿qué hipótesis alternativa se volvió visible?, ¿se sostiene el plan terapéutico actual frente a la nueva representación?</w:t>
      </w:r>
    </w:p>
    <w:p>
      <w:pPr>
        <w:pStyle w:val="BodyJ"/>
        <w:keepNext w:val="false"/>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keepNext w:val="false"/>
      </w:pPr>
      <w:r>
        <w:rPr>
          <w:i/>
          <w:iCs/>
        </w:rPr>
        <w:t xml:space="preserve">Comentario.</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En la cama 12 eso cambió el plan: era una bacteriuria asociada a sonda, el antibiótico se suspendió y quedó una vigilancia con criterios de reapertura (capítulo 13). Otras veces el ejercicio no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TallerHead"/>
        <w:keepNext/>
        <w:keepLines/>
      </w:pPr>
      <w:r>
        <w:t xml:space="preserve">Taller del capítulo 10. Frecuencias naturales con los números del servicio</w:t>
      </w:r>
    </w:p>
    <w:p>
      <w:pPr>
        <w:pStyle w:val="BodyJ"/>
        <w:keepNext w:val="false"/>
      </w:pPr>
      <w:r>
        <w:t xml:space="preserve">Elegir una prueba que el servicio pide a diario —un urocultivo, una troponina— y anotar, antes de calcular, qué proporción de sus resultados positivos parece corresponder a la enfermedad. Luego rehacer el cálculo del capítulo 10 sobre 1.000 pacientes, con la probabilidad pretest de quienes se estudian en el servicio y la sensibilidad y especificidad publicadas de la prueba.</w:t>
      </w:r>
    </w:p>
    <w:p>
      <w:pPr>
        <w:pStyle w:val="BodyJ"/>
        <w:keepNext w:val="false"/>
      </w:pPr>
      <w:r>
        <w:rPr>
          <w:i/>
          <w:iCs/>
        </w:rPr>
        <w:t xml:space="preserve">Error típico.</w:t>
      </w:r>
      <w:r>
        <w:t xml:space="preserve"> Quien ya conoce la trampa responde «muy baja» sin calcular, y pasa de la sobreconfianza a la desconfianza sin pasar por el número. Las frecuencias naturales existen para que la respuesta sea una cifra y no una actitud.</w:t>
      </w:r>
    </w:p>
    <w:p>
      <w:pPr>
        <w:pStyle w:val="BodyJ"/>
        <w:keepNext w:val="false"/>
      </w:pPr>
      <w:r>
        <w:rPr>
          <w:i/>
          <w:iCs/>
        </w:rPr>
        <w:t xml:space="preserve">Comentario.</w:t>
      </w:r>
      <w:r>
        <w:t xml:space="preserve"> La cifra que importa es la local. Saber qué proporción de los «urocultivos positivos» del propio servicio son infección suele ser más correctivo que cualquier lectura teórica.</w:t>
      </w:r>
    </w:p>
    <w:p>
      <w:pPr>
        <w:pStyle w:val="TallerHead"/>
        <w:keepNext/>
        <w:keepLines/>
      </w:pPr>
      <w:r>
        <w:t xml:space="preserve">Taller del capítulo 10. Las cuatro casillas en cinco minutos</w:t>
      </w:r>
    </w:p>
    <w:p>
      <w:pPr>
        <w:pStyle w:val="BodyJ"/>
        <w:keepNext w:val="false"/>
      </w:pPr>
      <w:r>
        <w:t xml:space="preserve">Hace falta un paciente actual del servicio con una decisión mayor pendiente —cirugía, ingreso a diálisis, conexión a ventilación mecánica o inicio de una nueva línea oncológica—. En un papel van las cuatro casillas de Jonsen: indicaciones médicas, preferencias del paciente, calidad de vida y rasgos contextuales. Se completan en cinco minutos sólo con lo que se recuerda hoy, sin abrir la ficha clínica; después se abre la ficha y se contrasta: ¿qué casilla quedó vacía, y ese vacío refleja una incógnita real del caso o una omisión en el estudio del paciente?</w:t>
      </w:r>
    </w:p>
    <w:p>
      <w:pPr>
        <w:pStyle w:val="BodyJ"/>
        <w:keepNext w:val="false"/>
      </w:pPr>
      <w:r>
        <w:rPr>
          <w:i/>
          <w:iCs/>
        </w:rPr>
        <w:t xml:space="preserve">Comentario.</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TallerHead"/>
        <w:keepNext/>
        <w:keepLines/>
      </w:pPr>
      <w:r>
        <w:t xml:space="preserve">Taller del capítulo 11. Si sale…, haré…</w:t>
      </w:r>
    </w:p>
    <w:p>
      <w:pPr>
        <w:pStyle w:val="BodyJ"/>
        <w:keepNext w:val="false"/>
      </w:pPr>
      <w:r>
        <w:t xml:space="preserve">Tomar los exámenes pendientes de tres pacientes de la lista propia y escribir, para cada uno, una línea por resultado posible: «si sale…, haré…». Después, contar: ¿cuántos tienen todas las ramas iguales?, ¿cuántos se pidieron para alguien que no es el paciente: el médico que teme, el protocolo, el turno anterior?</w:t>
      </w:r>
    </w:p>
    <w:p>
      <w:pPr>
        <w:pStyle w:val="BodyJ"/>
        <w:keepNext w:val="false"/>
      </w:pPr>
      <w:r>
        <w:rPr>
          <w:i/>
          <w:iCs/>
        </w:rPr>
        <w:t xml:space="preserve">Comentario.</w:t>
      </w:r>
      <w:r>
        <w:t xml:space="preserve"> Una rama igual a la otra no acusa a quien pidió el examen: señala que respondía a otra pregunta, y que esa pregunta merece escribirse. Si era del paciente, se anota como suya; si era del médico, suele resolverse mejor con un criterio de reconsulta que con un informe. Lo que el ejercicio deja a la vista es cuántos exámenes viajan en la ficha sin propósito, y cuántas decisiones esperan resultados que no las van a mover.</w:t>
      </w:r>
    </w:p>
    <w:p>
      <w:pPr>
        <w:pStyle w:val="TallerHead"/>
        <w:keepNext/>
        <w:keepLines/>
      </w:pPr>
      <w:r>
        <w:t xml:space="preserve">Taller del capítulo 12. La observación activa, por escrito</w:t>
      </w:r>
    </w:p>
    <w:p>
      <w:pPr>
        <w:pStyle w:val="BodyJ"/>
        <w:keepNext w:val="false"/>
      </w:pPr>
      <w:r>
        <w:t xml:space="preserve">Un paciente con dolor abdominal inespecífico y exámenes iniciales tranquilizadores quedará hospitalizado o en urgencias «en observación». ¿Cómo se escribe el plan, en no más de cuatro líneas, para que la espera opere como una intervención diagnóstica estructurada y no como una postergación pasiva?</w:t>
      </w:r>
    </w:p>
    <w:p>
      <w:pPr>
        <w:pStyle w:val="BodyJ"/>
        <w:keepNext/>
      </w:pPr>
      <w:r>
        <w:rPr>
          <w:i/>
          <w:iCs/>
        </w:rPr>
        <w:t xml:space="preserve">Una versión posible.</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keepNext w:val="false"/>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La anotación habitual, «control según evolución», es una fórmula vacía que delega en el azar lo que debía quedar gobernado por el diseño del plan.</w:t>
      </w:r>
    </w:p>
    <w:p>
      <w:pPr>
        <w:pStyle w:val="TallerHead"/>
        <w:keepNext/>
        <w:keepLines/>
      </w:pPr>
      <w:r>
        <w:t xml:space="preserve">Taller del capítulo 13. Desfosilizar una evolución</w:t>
      </w:r>
    </w:p>
    <w:p>
      <w:pPr>
        <w:pStyle w:val="BodyJ"/>
        <w:keepNext w:val="false"/>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¿Cómo queda la evolución del día 5 escrita con la estructura HII-D?</w:t>
      </w:r>
    </w:p>
    <w:p>
      <w:pPr>
        <w:pStyle w:val="BodyJ"/>
        <w:keepNext/>
      </w:pPr>
      <w:r>
        <w:rPr>
          <w:i/>
          <w:iCs/>
        </w:rPr>
        <w:t xml:space="preserve">Una versión posible.</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keepNext w:val="false"/>
      </w:pPr>
      <w:r>
        <w:t xml:space="preserve">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keepNext/>
        <w:keepLines/>
      </w:pPr>
      <w:r>
        <w:t xml:space="preserve">Taller del capítulo 13. Conjugar los verbos</w:t>
      </w:r>
    </w:p>
    <w:p>
      <w:pPr>
        <w:pStyle w:val="BodyJ"/>
        <w:keepNext w:val="false"/>
      </w:pPr>
      <w:r>
        <w:t xml:space="preserve">El material es la última evolución de una línea que uno haya firmado —«X en tratamiento, estable»—. Primero se escriben las preguntas que esconde (al menos seis); después se reescribe como ficha de proceso en no más de ocho líneas, con los verbos: sospecho, dudé, descarto, priorizo, infiero, realizo, comprobaré, repetiré, aprendí.</w:t>
      </w:r>
    </w:p>
    <w:p>
      <w:pPr>
        <w:pStyle w:val="BodyJ"/>
        <w:keepNext w:val="false"/>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keepNext w:val="false"/>
      </w:pPr>
      <w:r>
        <w:rPr>
          <w:i/>
          <w:iCs/>
        </w:rPr>
        <w:t xml:space="preserve">Comentario.</w:t>
      </w:r>
      <w:r>
        <w:t xml:space="preserve"> No hay una respuesta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TallerHead"/>
        <w:keepNext/>
        <w:keepLines/>
      </w:pPr>
      <w:r>
        <w:t xml:space="preserve">Taller del capítulo 14. Traducir un desacuerdo</w:t>
      </w:r>
    </w:p>
    <w:p>
      <w:pPr>
        <w:pStyle w:val="BodyJ"/>
        <w:keepNext w:val="false"/>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Si esta fricción verbal se traduce a proposiciones evaluables, ¿en qué discrepan: en los hechos, en las inferencias, en la incertidumbre, en los valores o en el umbral de decisión?</w:t>
      </w:r>
    </w:p>
    <w:p>
      <w:pPr>
        <w:pStyle w:val="BodyJ"/>
        <w:keepNext w:val="false"/>
      </w:pPr>
      <w:r>
        <w:rPr>
          <w:i/>
          <w:iCs/>
        </w:rPr>
        <w:t xml:space="preserve">Una versión posible.</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TallerHead"/>
        <w:keepNext/>
        <w:keepLines/>
      </w:pPr>
      <w:r>
        <w:t xml:space="preserve">Taller del capítulo 16. El método de Louis, aplicado a una costumbre del servicio</w:t>
      </w:r>
    </w:p>
    <w:p>
      <w:pPr>
        <w:pStyle w:val="BodyJ"/>
        <w:keepNext w:val="false"/>
      </w:pPr>
      <w:r>
        <w:t xml:space="preserve">Se elige una costumbre del servicio que nadie ha contado: un examen que se pide a todos los que ingresan, una sonda que se deja «por si acaso», un ayuno que se prolonga hasta la visita. Luego se diseña, como Louis, la comparación que la pondría a prueba con los datos del propio servicio: qué dos grupos, qué desenlace, qué diferencia entre los grupos podría explicar por sí sola el resultado y qué resultado obligaría a abandonar la costumbre.</w:t>
      </w:r>
    </w:p>
    <w:p>
      <w:pPr>
        <w:pStyle w:val="BodyJ"/>
        <w:keepNext w:val="false"/>
      </w:pPr>
      <w:r>
        <w:rPr>
          <w:i/>
          <w:iCs/>
        </w:rPr>
        <w:t xml:space="preserve">Error típico.</w:t>
      </w:r>
      <w:r>
        <w:t xml:space="preserve"> Comparar a quienes recibieron la costumbre con quienes no la recibieron, sin preguntar por qué unos sí y otros no. Es el error que Louis evitó con la edad: si la sonda se le deja al más grave, el grupo con sonda tendrá peores desenlaces aunque la sonda no haga nada.</w:t>
      </w:r>
    </w:p>
    <w:p>
      <w:pPr>
        <w:pStyle w:val="BodyJ"/>
        <w:keepNext w:val="false"/>
      </w:pPr>
      <w:r>
        <w:rPr>
          <w:i/>
          <w:iCs/>
        </w:rPr>
        <w:t xml:space="preserve">Una versión posible.</w:t>
      </w:r>
      <w:r>
        <w:t xml:space="preserve"> La costumbre: sonda vesical a permanencia en todo adulto mayor que ingresa con insuficiencia cardiaca descompensada, para medir la diuresis. Los grupos: los pacientes de los últimos seis meses con sonda y sin ella. Los desenlaces: infección urinaria asociada a catéter, delirium y días de hospitalización. Lo que podría explicar la diferencia por sí solo: la gravedad al ingreso, la movilidad previa y la demencia, que vuelven más probables tanto la sonda como el mal desenlace; se comparan, entonces, pacientes semejantes en esas tres variables. El resultado que obligaría a cambiar: si entre pacientes comparables la sonda no mejora el manejo del balance hídrico y sí aumenta las infecciones o el delirium, deja de ser norma y pasa a ser excepción con indicación escrita. Lo que el ejercicio no puede hacer es probar con certeza que la costumbre sirve o daña. Como a Louis, le permite algo más modesto y más útil: mostrar que nadie lo sabía.</w:t>
      </w:r>
    </w:p>
    <w:p>
      <w:pPr>
        <w:pStyle w:val="TallerHead"/>
        <w:keepNext/>
        <w:keepLines/>
      </w:pPr>
      <w:r>
        <w:t xml:space="preserve">Taller del capítulo 17. Su paciente, esta semana</w:t>
      </w:r>
    </w:p>
    <w:p>
      <w:pPr>
        <w:pStyle w:val="BodyJ"/>
        <w:keepNext w:val="false"/>
      </w:pPr>
      <w:r>
        <w:t xml:space="preserve">El caso es el más incómodo de la lista actual —el que genera discusión en cada visita o el que nadie discute hace días—. Se escribe en la plantilla condensada del Apéndice A y se compara con la última evolución de la ficha: ¿qué contiene la plantilla que la ficha no registra?</w:t>
      </w:r>
    </w:p>
    <w:p>
      <w:pPr>
        <w:pStyle w:val="BodyJ"/>
        <w:keepNext w:val="false"/>
      </w:pPr>
      <w:r>
        <w:rPr>
          <w:i/>
          <w:iCs/>
        </w:rPr>
        <w:t xml:space="preserve">Comentario.</w:t>
      </w:r>
      <w:r>
        <w:t xml:space="preserve"> No hay una respuesta única, pero sí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TallerHead"/>
        <w:keepNext/>
        <w:keepLines/>
      </w:pPr>
      <w:r>
        <w:t xml:space="preserve">Taller del capítulo 18. Rediseñar la visita de sala</w:t>
      </w:r>
    </w:p>
    <w:p>
      <w:pPr>
        <w:pStyle w:val="BodyJ"/>
        <w:keepNext w:val="false"/>
      </w:pPr>
      <w:r>
        <w:t xml:space="preserve">Primero, describir por escrito la visita de sala del servicio tal como ocurre de verdad: minutos por paciente, quién habla, qué se pregunta siempre y qué no se pregunta nunca. Luego, rediseñarla con tres cambios como máximo —un disparador objetivo de pausa, una pregunta obligatoria por paciente inestable o incierto, una regla de entrega de turno— y estimar el costo en minutos por visita.</w:t>
      </w:r>
    </w:p>
    <w:p>
      <w:pPr>
        <w:pStyle w:val="BodyJ"/>
        <w:keepNext w:val="false"/>
      </w:pPr>
      <w:r>
        <w:rPr>
          <w:i/>
          <w:iCs/>
        </w:rPr>
        <w:t xml:space="preserve">Una versión posible.</w:t>
      </w:r>
      <w:r>
        <w:t xml:space="preserve">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—y las reuniones nuevas mueren por inasistencia—.</w:t>
      </w:r>
    </w:p>
    <w:p>
      <w:pPr>
        <w:pStyle w:val="TallerHead"/>
        <w:keepNext/>
        <w:keepLines/>
      </w:pPr>
      <w:r>
        <w:t xml:space="preserve">Taller del capítulo 19. La autopsia de una respuesta</w:t>
      </w:r>
    </w:p>
    <w:p>
      <w:pPr>
        <w:pStyle w:val="BodyJ"/>
        <w:keepNext w:val="false"/>
      </w:pPr>
      <w:r>
        <w:t xml:space="preserve">Un caso real ya resuelto del servicio, debidamente anonimizado, se pega en un asistente de lenguaje con el pedido de evaluación y plan. La respuesta, impresa, se marca con tres colores: (1) afirmaciones sustentadas en datos que el caso contenía; (2) contenido que el modelo agregó (detalles «típicos», causalidades, datos que nadie le dio); (3) incertidumbre declarada. Después, una segunda pregunta al modelo: «¿qué evidencia haría improbable tu diagnóstico principal?».</w:t>
      </w:r>
    </w:p>
    <w:p>
      <w:pPr>
        <w:pStyle w:val="BodyJ"/>
        <w:keepNext w:val="false"/>
      </w:pPr>
      <w:r>
        <w:rPr>
          <w:i/>
          <w:iCs/>
        </w:rPr>
        <w:t xml:space="preserve">Comentario.</w:t>
      </w:r>
      <w:r>
        <w:t xml:space="preserve"> En ejercicios docentes, tres hallazgos vuelven una y otra vez. Primero, el color 2 aparece más de lo esperado: el modelo rellena huecos con verosimilitud —una evolución «esperable», un factor de riesgo «presumible»— y esa es la definición de confabulación; contarlas cura más que leer sobre ellas. Segundo, el color 3 suele ser genérico («se sugiere correlacionar con la clínica») y no específico del caso: incertidumbre de fórmula, no de contenido —conviene compararla con la que exige el léxico de certeza—. Tercero, la respuesta a la segunda pregunta suele ser mejor que la primera: el modelo enumera con soltura los datos que refutarían su propia propuesta —pero sólo si alguien se lo pide—. La herramienta contiene su propio antídoto; la pregunta que lo libera sigue siendo humana.</w:t>
      </w:r>
    </w:p>
    <w:p>
      <w:pPr>
        <w:pStyle w:val="TallerHead"/>
        <w:keepNext/>
        <w:keepLines/>
      </w:pPr>
      <w:r>
        <w:t xml:space="preserve">Taller del capítulo 20. La prueba de Parra</w:t>
      </w:r>
    </w:p>
    <w:p>
      <w:pPr>
        <w:pStyle w:val="BodyJ"/>
        <w:keepNext w:val="false"/>
      </w:pPr>
      <w:r>
        <w:t xml:space="preserve">Dos preguntas para la frase medular del paciente más reciente. Primera: ¿hay en ella alguna palabra huidobriana —que haga florecer lo que nadie observó (un mecanismo no demostrado, una causal de contrabando, un «descartado» sin método)—? Segunda: ¿puede reescribirse en palabras de todos los días sin perder un gramo de precisión? Y si al traducirla se desinfla, ¿qué la sostenía: la evidencia o la retórica?</w:t>
      </w:r>
    </w:p>
    <w:p>
      <w:pPr>
        <w:pStyle w:val="BodyJ"/>
        <w:keepNext w:val="false"/>
      </w:pPr>
      <w:r>
        <w:rPr>
          <w:i/>
          <w:iCs/>
        </w:rPr>
        <w:t xml:space="preserve">Una versión posible.</w:t>
      </w:r>
      <w:r>
        <w:t xml:space="preserve"> La frase es «Shock séptico de foco urinario, descartándose foco abdominal». Prueba uno: «de foco urinario» hace florecer una causal (¿demostrada o presunta?), y «descartándose» es un gerundio que promete lo que todavía no ocurrió —dos rosas creadas en ocho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Heading1"/>
        <w:keepNext/>
        <w:keepLines/>
        <w:pageBreakBefore/>
        <w:spacing w:after="320" w:before="720"/>
      </w:pPr>
      <w:r>
        <w:rPr>
          <w:rFonts w:ascii="Gelasio" w:cs="Gelasio" w:eastAsia="Gelasio" w:hAnsi="Gelasio"/>
          <w:b/>
          <w:bCs/>
          <w:color w:val="2B2B2B"/>
          <w:sz w:val="34"/>
          <w:szCs w:val="34"/>
        </w:rPr>
        <w:t xml:space="preserve">Apéndice E. Las preguntas para la próxima visita</w:t>
      </w:r>
    </w:p>
    <w:p>
      <w:pPr>
        <w:pStyle w:val="BodyJ"/>
        <w:keepNext w:val="false"/>
      </w:pPr>
      <w:r>
        <w:t xml:space="preserve">Las 63 preguntas con que cierran la Introducción y los veinte capítulos, reunidas para la visita de sala, la entrega de turno o el portafolio de calibración del capítulo 5. Tres por capítulo; una por semana basta. Ninguna pide más de dos minutos y todas se responden con un paciente concreto.</w:t>
      </w:r>
    </w:p>
    <w:p>
      <w:pPr>
        <w:pStyle w:val="BodyJ"/>
        <w:keepNext/>
      </w:pPr>
      <w:r>
        <w:rPr>
          <w:b/>
          <w:bCs/>
        </w:rPr>
        <w:t xml:space="preserve">Introducción</w:t>
      </w:r>
    </w:p>
    <w:p>
      <w:pPr>
        <w:pStyle w:val="BodyJ"/>
        <w:keepNext/>
        <w:numPr>
          <w:ilvl w:val="0"/>
          <w:numId w:val="5"/>
        </w:numPr>
      </w:pPr>
      <w:r>
        <w:t xml:space="preserve">En la última nota que escribí, ¿qué afirmación era un dato y cuál era mi interpretación del dato?</w:t>
      </w:r>
    </w:p>
    <w:p>
      <w:pPr>
        <w:pStyle w:val="BodyJ"/>
        <w:keepNext/>
        <w:numPr>
          <w:ilvl w:val="0"/>
          <w:numId w:val="5"/>
        </w:numPr>
      </w:pPr>
      <w:r>
        <w:t xml:space="preserve">¿Qué frase de la ficha de mi paciente actual heredé de otra nota sin verificar su origen?</w:t>
      </w:r>
    </w:p>
    <w:p>
      <w:pPr>
        <w:pStyle w:val="BodyJ"/>
        <w:keepNext w:val="false"/>
        <w:numPr>
          <w:ilvl w:val="0"/>
          <w:numId w:val="5"/>
        </w:numPr>
      </w:pPr>
      <w:r>
        <w:t xml:space="preserve">¿Cuál es la decisión concreta que este caso me exige hoy, y qué me haría cambiarla?</w:t>
      </w:r>
    </w:p>
    <w:p>
      <w:pPr>
        <w:pStyle w:val="BodyJ"/>
        <w:keepNext/>
      </w:pPr>
      <w:r>
        <w:rPr>
          <w:b/>
          <w:bCs/>
        </w:rPr>
        <w:t xml:space="preserve">Capítulo 1. El hecho clínico: observación, medición y procedencia</w:t>
      </w:r>
    </w:p>
    <w:p>
      <w:pPr>
        <w:pStyle w:val="BodyJ"/>
        <w:keepNext/>
        <w:numPr>
          <w:ilvl w:val="0"/>
          <w:numId w:val="5"/>
        </w:numPr>
      </w:pPr>
      <w:r>
        <w:t xml:space="preserve">¿Cuál es el dato más decisivo de mi evaluación de hoy y quién lo produjo realmente?</w:t>
      </w:r>
    </w:p>
    <w:p>
      <w:pPr>
        <w:pStyle w:val="BodyJ"/>
        <w:keepNext/>
        <w:numPr>
          <w:ilvl w:val="0"/>
          <w:numId w:val="5"/>
        </w:numPr>
      </w:pPr>
      <w:r>
        <w:t xml:space="preserve">¿Qué «hallazgo negativo» estoy tratando como evidencia de ausencia sin preguntarme por la sensibilidad de la búsqueda?</w:t>
      </w:r>
    </w:p>
    <w:p>
      <w:pPr>
        <w:pStyle w:val="BodyJ"/>
        <w:keepNext w:val="false"/>
        <w:numPr>
          <w:ilvl w:val="0"/>
          <w:numId w:val="5"/>
        </w:numPr>
      </w:pPr>
      <w:r>
        <w:t xml:space="preserve">¿Qué dijo mi paciente con sus propias palabras que yo ya traduje a jerga?</w:t>
      </w:r>
    </w:p>
    <w:p>
      <w:pPr>
        <w:pStyle w:val="BodyJ"/>
        <w:keepNext/>
      </w:pPr>
      <w:r>
        <w:rPr>
          <w:b/>
          <w:bCs/>
        </w:rPr>
        <w:t xml:space="preserve">Capítulo 2. Inferir: del signo a la explicación</w:t>
      </w:r>
    </w:p>
    <w:p>
      <w:pPr>
        <w:pStyle w:val="BodyJ"/>
        <w:keepNext/>
        <w:numPr>
          <w:ilvl w:val="0"/>
          <w:numId w:val="5"/>
        </w:numPr>
      </w:pPr>
      <w:r>
        <w:t xml:space="preserve">¿Cuál es el dato más difícil de explicar con mi hipótesis principal?</w:t>
      </w:r>
    </w:p>
    <w:p>
      <w:pPr>
        <w:pStyle w:val="BodyJ"/>
        <w:keepNext/>
        <w:numPr>
          <w:ilvl w:val="0"/>
          <w:numId w:val="5"/>
        </w:numPr>
      </w:pPr>
      <w:r>
        <w:t xml:space="preserve">¿Qué explicación rival cambiaría mi conducta hoy, y qué me costaría buscarla?</w:t>
      </w:r>
    </w:p>
    <w:p>
      <w:pPr>
        <w:pStyle w:val="BodyJ"/>
        <w:keepNext w:val="false"/>
        <w:numPr>
          <w:ilvl w:val="0"/>
          <w:numId w:val="5"/>
        </w:numPr>
      </w:pPr>
      <w:r>
        <w:t xml:space="preserve">¿Qué predicción concreta hace mi diagnóstico para las próximas 24 horas?</w:t>
      </w:r>
    </w:p>
    <w:p>
      <w:pPr>
        <w:pStyle w:val="BodyJ"/>
        <w:keepNext/>
      </w:pPr>
      <w:r>
        <w:rPr>
          <w:b/>
          <w:bCs/>
        </w:rPr>
        <w:t xml:space="preserve">Capítulo 3. Incertidumbre: una condición estructural</w:t>
      </w:r>
    </w:p>
    <w:p>
      <w:pPr>
        <w:pStyle w:val="BodyJ"/>
        <w:keepNext/>
        <w:numPr>
          <w:ilvl w:val="0"/>
          <w:numId w:val="5"/>
        </w:numPr>
      </w:pPr>
      <w:r>
        <w:t xml:space="preserve">De todo lo que no sé de este paciente, ¿qué duda cambiaría mi conducta si se resolviera?</w:t>
      </w:r>
    </w:p>
    <w:p>
      <w:pPr>
        <w:pStyle w:val="BodyJ"/>
        <w:keepNext/>
        <w:numPr>
          <w:ilvl w:val="0"/>
          <w:numId w:val="5"/>
        </w:numPr>
      </w:pPr>
      <w:r>
        <w:t xml:space="preserve">¿Cuál es la duda pequeña con consecuencia catastrófica que exige vigilancia explícita?</w:t>
      </w:r>
    </w:p>
    <w:p>
      <w:pPr>
        <w:pStyle w:val="BodyJ"/>
        <w:keepNext w:val="false"/>
        <w:numPr>
          <w:ilvl w:val="0"/>
          <w:numId w:val="5"/>
        </w:numPr>
      </w:pPr>
      <w:r>
        <w:t xml:space="preserve">¿Qué parte de mi plan depende de valores del paciente que aún no he preguntado?</w:t>
      </w:r>
    </w:p>
    <w:p>
      <w:pPr>
        <w:pStyle w:val="BodyJ"/>
        <w:keepNext/>
      </w:pPr>
      <w:r>
        <w:rPr>
          <w:b/>
          <w:bCs/>
        </w:rPr>
        <w:t xml:space="preserve">Capítulo 4. Lenguaje clínico y densidad epistémica</w:t>
      </w:r>
    </w:p>
    <w:p>
      <w:pPr>
        <w:pStyle w:val="BodyJ"/>
        <w:keepNext/>
        <w:numPr>
          <w:ilvl w:val="0"/>
          <w:numId w:val="5"/>
        </w:numPr>
      </w:pPr>
      <w:r>
        <w:t xml:space="preserve">En mi última evolución, ¿qué verbo causal («secundario a», «por», «complicado por») no podría defender si me lo preguntaran?</w:t>
      </w:r>
    </w:p>
    <w:p>
      <w:pPr>
        <w:pStyle w:val="BodyJ"/>
        <w:keepNext/>
        <w:numPr>
          <w:ilvl w:val="0"/>
          <w:numId w:val="5"/>
        </w:numPr>
      </w:pPr>
      <w:r>
        <w:t xml:space="preserve">¿Escribí «se descarta» donde sólo tenía «sin evidencia actual de»?</w:t>
      </w:r>
    </w:p>
    <w:p>
      <w:pPr>
        <w:pStyle w:val="BodyJ"/>
        <w:keepNext w:val="false"/>
        <w:numPr>
          <w:ilvl w:val="0"/>
          <w:numId w:val="5"/>
        </w:numPr>
      </w:pPr>
      <w:r>
        <w:t xml:space="preserve">Si otro médico leyera sólo mi frase final, ¿sabría qué vigilar y qué me haría cambiar?</w:t>
      </w:r>
    </w:p>
    <w:p>
      <w:pPr>
        <w:pStyle w:val="BodyJ"/>
        <w:keepNext/>
      </w:pPr>
      <w:r>
        <w:rPr>
          <w:b/>
          <w:bCs/>
        </w:rPr>
        <w:t xml:space="preserve">Capítulo 5. Metacognición: monitorear y regular el propio juicio</w:t>
      </w:r>
    </w:p>
    <w:p>
      <w:pPr>
        <w:pStyle w:val="BodyJ"/>
        <w:keepNext/>
        <w:numPr>
          <w:ilvl w:val="0"/>
          <w:numId w:val="5"/>
        </w:numPr>
      </w:pPr>
      <w:r>
        <w:t xml:space="preserve">En mi diagnóstico más firme de hoy, ¿mi confianza viene de la evidencia o de la fluidez con que reconocí el patrón?</w:t>
      </w:r>
    </w:p>
    <w:p>
      <w:pPr>
        <w:pStyle w:val="BodyJ"/>
        <w:keepNext/>
        <w:numPr>
          <w:ilvl w:val="0"/>
          <w:numId w:val="5"/>
        </w:numPr>
      </w:pPr>
      <w:r>
        <w:t xml:space="preserve">¿Qué señal afectiva (prisa, irritación, alivio) está influyendo en mi evaluación de este caso?</w:t>
      </w:r>
    </w:p>
    <w:p>
      <w:pPr>
        <w:pStyle w:val="BodyJ"/>
        <w:keepNext w:val="false"/>
        <w:numPr>
          <w:ilvl w:val="0"/>
          <w:numId w:val="5"/>
        </w:numPr>
      </w:pPr>
      <w:r>
        <w:t xml:space="preserve">¿Cuál fue mi última predicción concreta —un cultivo, una imagen, una evolución— y la contrasté con el resultado cuando llegó, o sólo recuerdo las que acerté?</w:t>
      </w:r>
    </w:p>
    <w:p>
      <w:pPr>
        <w:pStyle w:val="BodyJ"/>
        <w:keepNext/>
      </w:pPr>
      <w:r>
        <w:rPr>
          <w:b/>
          <w:bCs/>
        </w:rPr>
        <w:t xml:space="preserve">Capítulo 6. Pericia, intuición y conocimiento tácito</w:t>
      </w:r>
    </w:p>
    <w:p>
      <w:pPr>
        <w:pStyle w:val="BodyJ"/>
        <w:keepNext/>
        <w:numPr>
          <w:ilvl w:val="0"/>
          <w:numId w:val="5"/>
        </w:numPr>
      </w:pPr>
      <w:r>
        <w:t xml:space="preserve">¿En qué dominio tengo suficiente experiencia con feedback real como para confiar en mi primera impresión?</w:t>
      </w:r>
    </w:p>
    <w:p>
      <w:pPr>
        <w:pStyle w:val="BodyJ"/>
        <w:keepNext/>
        <w:numPr>
          <w:ilvl w:val="0"/>
          <w:numId w:val="5"/>
        </w:numPr>
      </w:pPr>
      <w:r>
        <w:t xml:space="preserve">La última vez que «vi» un diagnóstico al instante, ¿qué características lo activaron? ¿Puedo nombrarlas?</w:t>
      </w:r>
    </w:p>
    <w:p>
      <w:pPr>
        <w:pStyle w:val="BodyJ"/>
        <w:keepNext w:val="false"/>
        <w:numPr>
          <w:ilvl w:val="0"/>
          <w:numId w:val="5"/>
        </w:numPr>
      </w:pPr>
      <w:r>
        <w:t xml:space="preserve">¿Qué caso reciente forcé a encajar en un patrón conocido cuando algo no calzaba?</w:t>
      </w:r>
    </w:p>
    <w:p>
      <w:pPr>
        <w:pStyle w:val="BodyJ"/>
        <w:keepNext/>
      </w:pPr>
      <w:r>
        <w:rPr>
          <w:b/>
          <w:bCs/>
        </w:rPr>
        <w:t xml:space="preserve">Capítulo 7. Error, sesgo y ecología del diagnóstico</w:t>
      </w:r>
    </w:p>
    <w:p>
      <w:pPr>
        <w:pStyle w:val="BodyJ"/>
        <w:keepNext/>
        <w:numPr>
          <w:ilvl w:val="0"/>
          <w:numId w:val="5"/>
        </w:numPr>
      </w:pPr>
      <w:r>
        <w:t xml:space="preserve">¿Qué frase heredada estoy tratando como hecho en mi paciente más complejo?</w:t>
      </w:r>
    </w:p>
    <w:p>
      <w:pPr>
        <w:pStyle w:val="BodyJ"/>
        <w:keepNext/>
        <w:numPr>
          <w:ilvl w:val="0"/>
          <w:numId w:val="5"/>
        </w:numPr>
      </w:pPr>
      <w:r>
        <w:t xml:space="preserve">¿Qué dato «confirmatorio» de hoy confirmaría también la hipótesis rival?</w:t>
      </w:r>
    </w:p>
    <w:p>
      <w:pPr>
        <w:pStyle w:val="BodyJ"/>
        <w:keepNext w:val="false"/>
        <w:numPr>
          <w:ilvl w:val="0"/>
          <w:numId w:val="5"/>
        </w:numPr>
      </w:pPr>
      <w:r>
        <w:t xml:space="preserve">¿Qué evolución atípica estoy reinterpretando para no reabrir el caso?</w:t>
      </w:r>
    </w:p>
    <w:p>
      <w:pPr>
        <w:pStyle w:val="BodyJ"/>
        <w:keepNext/>
      </w:pPr>
      <w:r>
        <w:rPr>
          <w:b/>
          <w:bCs/>
        </w:rPr>
        <w:t xml:space="preserve">Capítulo 8. Desacelerar: cuándo, en qué estado y con qué mente</w:t>
      </w:r>
    </w:p>
    <w:p>
      <w:pPr>
        <w:pStyle w:val="BodyJ"/>
        <w:keepNext/>
        <w:numPr>
          <w:ilvl w:val="0"/>
          <w:numId w:val="5"/>
        </w:numPr>
      </w:pPr>
      <w:r>
        <w:t xml:space="preserve">¿Cuál de mis pacientes actuales cumple un disparador de desaceleración (evolución inesperada, discordancia gravedad-diagnóstico, reconsulta), y en qué condiciones estaba yo cuando lo evalué?</w:t>
      </w:r>
    </w:p>
    <w:p>
      <w:pPr>
        <w:pStyle w:val="BodyJ"/>
        <w:keepNext/>
        <w:numPr>
          <w:ilvl w:val="0"/>
          <w:numId w:val="5"/>
        </w:numPr>
      </w:pPr>
      <w:r>
        <w:t xml:space="preserve">¿Puedo presentar mi caso más complejo sin usar su etiqueta diagnóstica?</w:t>
      </w:r>
    </w:p>
    <w:p>
      <w:pPr>
        <w:pStyle w:val="BodyJ"/>
        <w:keepNext w:val="false"/>
        <w:numPr>
          <w:ilvl w:val="0"/>
          <w:numId w:val="5"/>
        </w:numPr>
      </w:pPr>
      <w:r>
        <w:t xml:space="preserve">En mi última alta con diagnóstico incierto, ¿dejé escrito qué debería motivar reconsulta?</w:t>
      </w:r>
    </w:p>
    <w:p>
      <w:pPr>
        <w:pStyle w:val="BodyJ"/>
        <w:keepNext/>
      </w:pPr>
      <w:r>
        <w:rPr>
          <w:b/>
          <w:bCs/>
        </w:rPr>
        <w:t xml:space="preserve">Capítulo 9. La evidencia y el caso singular</w:t>
      </w:r>
    </w:p>
    <w:p>
      <w:pPr>
        <w:pStyle w:val="BodyJ"/>
        <w:keepNext/>
        <w:numPr>
          <w:ilvl w:val="0"/>
          <w:numId w:val="5"/>
        </w:numPr>
      </w:pPr>
      <w:r>
        <w:t xml:space="preserve">Para mi indicación más importante de hoy: ¿qué demostró exactamente el estudio que la respalda, y en qué se parece mi paciente a esa población?</w:t>
      </w:r>
    </w:p>
    <w:p>
      <w:pPr>
        <w:pStyle w:val="BodyJ"/>
        <w:keepNext/>
        <w:numPr>
          <w:ilvl w:val="0"/>
          <w:numId w:val="5"/>
        </w:numPr>
      </w:pPr>
      <w:r>
        <w:t xml:space="preserve">El último ensayo «negativo» que cité: ¿mostró ausencia de efecto o ausencia de significación —y traté esa diferencia como si no existiera—?</w:t>
      </w:r>
    </w:p>
    <w:p>
      <w:pPr>
        <w:pStyle w:val="BodyJ"/>
        <w:keepNext w:val="false"/>
        <w:numPr>
          <w:ilvl w:val="0"/>
          <w:numId w:val="5"/>
        </w:numPr>
      </w:pPr>
      <w:r>
        <w:t xml:space="preserve">¿Qué conocimiento local (resistencias, tiempos, capacidad de seguimiento) está modificando mi decisión sin estar declarado en ninguna parte?</w:t>
      </w:r>
    </w:p>
    <w:p>
      <w:pPr>
        <w:pStyle w:val="BodyJ"/>
        <w:keepNext/>
      </w:pPr>
      <w:r>
        <w:rPr>
          <w:b/>
          <w:bCs/>
        </w:rPr>
        <w:t xml:space="preserve">Capítulo 10. Decidir sin certeza: umbrales, valores y bioética</w:t>
      </w:r>
    </w:p>
    <w:p>
      <w:pPr>
        <w:pStyle w:val="BodyJ"/>
        <w:keepNext/>
        <w:numPr>
          <w:ilvl w:val="0"/>
          <w:numId w:val="5"/>
        </w:numPr>
      </w:pPr>
      <w:r>
        <w:t xml:space="preserve">¿Cuál es el umbral implícito de mi decisión: qué probabilidad de estar equivocado la haría cambiar?</w:t>
      </w:r>
    </w:p>
    <w:p>
      <w:pPr>
        <w:pStyle w:val="BodyJ"/>
        <w:keepNext/>
        <w:numPr>
          <w:ilvl w:val="0"/>
          <w:numId w:val="5"/>
        </w:numPr>
      </w:pPr>
      <w:r>
        <w:t xml:space="preserve">¿Estoy exigiendo certeza diagnóstica donde bastaría compromiso práctico, o actuando para no tolerar una duda?</w:t>
      </w:r>
    </w:p>
    <w:p>
      <w:pPr>
        <w:pStyle w:val="BodyJ"/>
        <w:keepNext w:val="false"/>
        <w:numPr>
          <w:ilvl w:val="0"/>
          <w:numId w:val="5"/>
        </w:numPr>
      </w:pPr>
      <w:r>
        <w:t xml:space="preserve">De mi paciente más grave de hoy: ¿sé cómo funcionaba antes de enfermar, con quién vive y qué espera del tratamiento —y está escrito en alguna parte—?</w:t>
      </w:r>
    </w:p>
    <w:p>
      <w:pPr>
        <w:pStyle w:val="BodyJ"/>
        <w:keepNext/>
      </w:pPr>
      <w:r>
        <w:rPr>
          <w:b/>
          <w:bCs/>
        </w:rPr>
        <w:t xml:space="preserve">Capítulo 11. Cuando saber más no cambia nada: el valor de un examen</w:t>
      </w:r>
    </w:p>
    <w:p>
      <w:pPr>
        <w:pStyle w:val="BodyJ"/>
        <w:keepNext/>
        <w:numPr>
          <w:ilvl w:val="0"/>
          <w:numId w:val="5"/>
        </w:numPr>
      </w:pPr>
      <w:r>
        <w:t xml:space="preserve">De los exámenes que pedí esta semana, ¿cuál habría pedido igual si antes hubiera escrito qué haría con cada resultado?</w:t>
      </w:r>
    </w:p>
    <w:p>
      <w:pPr>
        <w:pStyle w:val="BodyJ"/>
        <w:keepNext/>
        <w:numPr>
          <w:ilvl w:val="0"/>
          <w:numId w:val="5"/>
        </w:numPr>
      </w:pPr>
      <w:r>
        <w:t xml:space="preserve">¿Qué duda de mi paciente más complejo conviene declarar y dejar, en vez de perseguir?</w:t>
      </w:r>
    </w:p>
    <w:p>
      <w:pPr>
        <w:pStyle w:val="BodyJ"/>
        <w:keepNext w:val="false"/>
        <w:numPr>
          <w:ilvl w:val="0"/>
          <w:numId w:val="5"/>
        </w:numPr>
      </w:pPr>
      <w:r>
        <w:t xml:space="preserve">El último examen que pedí para tranquilizar, ¿a quién tranquilizaba: al paciente o a mí?</w:t>
      </w:r>
    </w:p>
    <w:p>
      <w:pPr>
        <w:pStyle w:val="BodyJ"/>
        <w:keepNext/>
      </w:pPr>
      <w:r>
        <w:rPr>
          <w:b/>
          <w:bCs/>
        </w:rPr>
        <w:t xml:space="preserve">Capítulo 12. Temporalidad, trayectoria y razonamiento contrafactual</w:t>
      </w:r>
    </w:p>
    <w:p>
      <w:pPr>
        <w:pStyle w:val="BodyJ"/>
        <w:keepNext/>
        <w:numPr>
          <w:ilvl w:val="0"/>
          <w:numId w:val="5"/>
        </w:numPr>
      </w:pPr>
      <w:r>
        <w:t xml:space="preserve">«Está mejor»: ¿mejor que cuándo, en qué variable y a qué velocidad?</w:t>
      </w:r>
    </w:p>
    <w:p>
      <w:pPr>
        <w:pStyle w:val="BodyJ"/>
        <w:keepNext/>
        <w:numPr>
          <w:ilvl w:val="0"/>
          <w:numId w:val="5"/>
        </w:numPr>
      </w:pPr>
      <w:r>
        <w:t xml:space="preserve">¿Qué predijo mi diagnóstico hace 48 horas, y la evolución lo confirmó o lo desmintió?</w:t>
      </w:r>
    </w:p>
    <w:p>
      <w:pPr>
        <w:pStyle w:val="BodyJ"/>
        <w:keepNext w:val="false"/>
        <w:numPr>
          <w:ilvl w:val="0"/>
          <w:numId w:val="5"/>
        </w:numPr>
      </w:pPr>
      <w:r>
        <w:t xml:space="preserve">Mi «observación» de hoy, ¿tiene plazo, variables y criterio de salida, o es una espera sin diseño?</w:t>
      </w:r>
    </w:p>
    <w:p>
      <w:pPr>
        <w:pStyle w:val="BodyJ"/>
        <w:keepNext/>
      </w:pPr>
      <w:r>
        <w:rPr>
          <w:b/>
          <w:bCs/>
        </w:rPr>
        <w:t xml:space="preserve">Capítulo 13. La ficha clínica como instrumento de pensamiento</w:t>
      </w:r>
    </w:p>
    <w:p>
      <w:pPr>
        <w:pStyle w:val="BodyJ"/>
        <w:keepNext/>
        <w:numPr>
          <w:ilvl w:val="0"/>
          <w:numId w:val="5"/>
        </w:numPr>
      </w:pPr>
      <w:r>
        <w:t xml:space="preserve">¿Qué párrafo de mi evolución de hoy es copia de ayer, y sigue siendo verdad?</w:t>
      </w:r>
    </w:p>
    <w:p>
      <w:pPr>
        <w:pStyle w:val="BodyJ"/>
        <w:keepNext/>
        <w:numPr>
          <w:ilvl w:val="0"/>
          <w:numId w:val="5"/>
        </w:numPr>
      </w:pPr>
      <w:r>
        <w:t xml:space="preserve">Si yo no estuviera mañana, ¿el médico que me reemplace sabría por mi nota qué vigilar y qué reabriría el caso?</w:t>
      </w:r>
    </w:p>
    <w:p>
      <w:pPr>
        <w:pStyle w:val="BodyJ"/>
        <w:keepNext w:val="false"/>
        <w:numPr>
          <w:ilvl w:val="0"/>
          <w:numId w:val="5"/>
        </w:numPr>
      </w:pPr>
      <w:r>
        <w:t xml:space="preserve">¿Mi lista de problemas distingue hechos, hipótesis, acciones pendientes e incertidumbres, o todo tiene el mismo estatus?</w:t>
      </w:r>
    </w:p>
    <w:p>
      <w:pPr>
        <w:pStyle w:val="BodyJ"/>
        <w:keepNext w:val="false"/>
      </w:pPr>
      <w:r>
        <w:rPr>
          <w:b/>
          <w:bCs/>
        </w:rPr>
        <w:t xml:space="preserve">Capítulo 14. Pensar con otros: equipos, desacuerdo y comunicación de la incertidumbre</w:t>
      </w:r>
    </w:p>
    <w:p>
      <w:pPr>
        <w:pStyle w:val="BodyJ"/>
        <w:keepNext/>
        <w:numPr>
          <w:ilvl w:val="0"/>
          <w:numId w:val="5"/>
        </w:numPr>
      </w:pPr>
      <w:r>
        <w:t xml:space="preserve">¿Qué observó enfermería en las últimas 24 horas que no pasó por mi evaluación?</w:t>
      </w:r>
    </w:p>
    <w:p>
      <w:pPr>
        <w:pStyle w:val="BodyJ"/>
        <w:keepNext/>
        <w:numPr>
          <w:ilvl w:val="0"/>
          <w:numId w:val="5"/>
        </w:numPr>
      </w:pPr>
      <w:r>
        <w:t xml:space="preserve">En mi último desacuerdo clínico, ¿discrepábamos en hechos, inferencias, incertidumbre, valores o umbral?</w:t>
      </w:r>
    </w:p>
    <w:p>
      <w:pPr>
        <w:pStyle w:val="BodyJ"/>
        <w:keepNext w:val="false"/>
        <w:numPr>
          <w:ilvl w:val="0"/>
          <w:numId w:val="5"/>
        </w:numPr>
      </w:pPr>
      <w:r>
        <w:t xml:space="preserve">¿Mi paciente sabe qué sabemos, qué creemos, qué no sabemos aún y qué haremos —o sólo recibió una etiqueta—?</w:t>
      </w:r>
    </w:p>
    <w:p>
      <w:pPr>
        <w:pStyle w:val="BodyJ"/>
        <w:keepNext/>
      </w:pPr>
      <w:r>
        <w:rPr>
          <w:b/>
          <w:bCs/>
        </w:rPr>
        <w:t xml:space="preserve">Capítulo 15. Humildad epistémica y responsabilidad clínica</w:t>
      </w:r>
    </w:p>
    <w:p>
      <w:pPr>
        <w:pStyle w:val="BodyJ"/>
        <w:keepNext/>
        <w:numPr>
          <w:ilvl w:val="0"/>
          <w:numId w:val="5"/>
        </w:numPr>
      </w:pPr>
      <w:r>
        <w:t xml:space="preserve">¿A qué paciente le estoy creyendo menos de lo que su testimonio merece, y por qué?</w:t>
      </w:r>
    </w:p>
    <w:p>
      <w:pPr>
        <w:pStyle w:val="BodyJ"/>
        <w:keepNext/>
        <w:numPr>
          <w:ilvl w:val="0"/>
          <w:numId w:val="5"/>
        </w:numPr>
      </w:pPr>
      <w:r>
        <w:t xml:space="preserve">Mi última recomendación firme: ¿podría explicar qué hechos la sostienen, qué incertidumbres la modificarían y qué valores del paciente pesan?</w:t>
      </w:r>
    </w:p>
    <w:p>
      <w:pPr>
        <w:pStyle w:val="BodyJ"/>
        <w:keepNext w:val="false"/>
        <w:numPr>
          <w:ilvl w:val="0"/>
          <w:numId w:val="5"/>
        </w:numPr>
      </w:pPr>
      <w:r>
        <w:t xml:space="preserve">¿Hay en mis fichas una etiqueta («funcional», «no adherente», «poco colaborador») que esté distribuyendo credibilidad en lugar de información?</w:t>
      </w:r>
    </w:p>
    <w:p>
      <w:pPr>
        <w:pStyle w:val="BodyJ"/>
        <w:keepNext/>
      </w:pPr>
      <w:r>
        <w:rPr>
          <w:b/>
          <w:bCs/>
        </w:rPr>
        <w:t xml:space="preserve">Capítulo 16. Una genealogía de las capas: de Hipócrates a Balint</w:t>
      </w:r>
    </w:p>
    <w:p>
      <w:pPr>
        <w:pStyle w:val="BodyJ"/>
        <w:keepNext/>
        <w:numPr>
          <w:ilvl w:val="0"/>
          <w:numId w:val="5"/>
        </w:numPr>
      </w:pPr>
      <w:r>
        <w:t xml:space="preserve">¿Qué hecho de mi nota de hoy depende de un instrumento o de un oído entrenado, y contra qué patrón de referencia se validó alguna vez?</w:t>
      </w:r>
    </w:p>
    <w:p>
      <w:pPr>
        <w:pStyle w:val="BodyJ"/>
        <w:keepNext/>
        <w:numPr>
          <w:ilvl w:val="0"/>
          <w:numId w:val="5"/>
        </w:numPr>
      </w:pPr>
      <w:r>
        <w:t xml:space="preserve">¿Qué costumbre del servicio sostenemos sólo porque nadie la ha contado, como la sangría antes de Louis?</w:t>
      </w:r>
    </w:p>
    <w:p>
      <w:pPr>
        <w:pStyle w:val="BodyJ"/>
        <w:keepNext w:val="false"/>
        <w:numPr>
          <w:ilvl w:val="0"/>
          <w:numId w:val="5"/>
        </w:numPr>
      </w:pPr>
      <w:r>
        <w:t xml:space="preserve">En mi último paciente que pasó por varios especialistas, ¿quién firmó la síntesis, o hubo colusión del anonimato?</w:t>
      </w:r>
    </w:p>
    <w:p>
      <w:pPr>
        <w:pStyle w:val="BodyJ"/>
        <w:keepNext/>
      </w:pPr>
      <w:r>
        <w:rPr>
          <w:b/>
          <w:bCs/>
        </w:rPr>
        <w:t xml:space="preserve">Capítulo 17. El método HII-D: una epistemología operativa</w:t>
      </w:r>
    </w:p>
    <w:p>
      <w:pPr>
        <w:pStyle w:val="BodyJ"/>
        <w:keepNext/>
        <w:numPr>
          <w:ilvl w:val="0"/>
          <w:numId w:val="5"/>
        </w:numPr>
      </w:pPr>
      <w:r>
        <w:t xml:space="preserve">¿Cuál es la pregunta operativa de mi caso más difícil —la decisión real en juego, no «el diagnóstico»—?</w:t>
      </w:r>
    </w:p>
    <w:p>
      <w:pPr>
        <w:pStyle w:val="BodyJ"/>
        <w:keepNext/>
        <w:numPr>
          <w:ilvl w:val="0"/>
          <w:numId w:val="5"/>
        </w:numPr>
      </w:pPr>
      <w:r>
        <w:t xml:space="preserve">¿Mi nota de hoy permite a otro médico reconstruir mis cuatro capas, o sólo mi conclusión?</w:t>
      </w:r>
    </w:p>
    <w:p>
      <w:pPr>
        <w:pStyle w:val="BodyJ"/>
        <w:keepNext w:val="false"/>
        <w:numPr>
          <w:ilvl w:val="0"/>
          <w:numId w:val="5"/>
        </w:numPr>
      </w:pPr>
      <w:r>
        <w:t xml:space="preserve">¿Qué decisión de esta semana tomé sin criterio de reapertura, y todavía estoy a tiempo de escribirlo?</w:t>
      </w:r>
    </w:p>
    <w:p>
      <w:pPr>
        <w:pStyle w:val="BodyJ"/>
        <w:keepNext/>
      </w:pPr>
      <w:r>
        <w:rPr>
          <w:b/>
          <w:bCs/>
        </w:rPr>
        <w:t xml:space="preserve">Capítulo 18. Enseñar y organizar la metacognición clínica</w:t>
      </w:r>
    </w:p>
    <w:p>
      <w:pPr>
        <w:pStyle w:val="BodyJ"/>
        <w:keepNext/>
        <w:numPr>
          <w:ilvl w:val="0"/>
          <w:numId w:val="5"/>
        </w:numPr>
      </w:pPr>
      <w:r>
        <w:t xml:space="preserve">La última vez que enseñé un caso, ¿pedí el diagnóstico o pedí primero la representación del problema?</w:t>
      </w:r>
    </w:p>
    <w:p>
      <w:pPr>
        <w:pStyle w:val="BodyJ"/>
        <w:keepNext/>
        <w:numPr>
          <w:ilvl w:val="0"/>
          <w:numId w:val="5"/>
        </w:numPr>
      </w:pPr>
      <w:r>
        <w:t xml:space="preserve">¿Qué pasó con el último paciente que derivé o di de alta con diagnóstico incierto —y cómo podría enterarme sistemáticamente—?</w:t>
      </w:r>
    </w:p>
    <w:p>
      <w:pPr>
        <w:pStyle w:val="BodyJ"/>
        <w:keepNext w:val="false"/>
        <w:numPr>
          <w:ilvl w:val="0"/>
          <w:numId w:val="5"/>
        </w:numPr>
      </w:pPr>
      <w:r>
        <w:t xml:space="preserve">Si mañana dirigiera mi servicio, ¿cuál de las tres palancas (visita de sala, ficha, revisión de errores) cambiaría primero, y qué costaría?</w:t>
      </w:r>
    </w:p>
    <w:p>
      <w:pPr>
        <w:pStyle w:val="BodyJ"/>
        <w:keepNext w:val="false"/>
      </w:pPr>
      <w:r>
        <w:rPr>
          <w:b/>
          <w:bCs/>
        </w:rPr>
        <w:t xml:space="preserve">Capítulo 19. La inteligencia artificial en el proceso clínico: roles, riesgos y defensas</w:t>
      </w:r>
    </w:p>
    <w:p>
      <w:pPr>
        <w:pStyle w:val="BodyJ"/>
        <w:keepNext/>
        <w:numPr>
          <w:ilvl w:val="0"/>
          <w:numId w:val="5"/>
        </w:numPr>
      </w:pPr>
      <w:r>
        <w:t xml:space="preserve">Si uso IA en este caso, ¿qué dato de su respuesta verifiqué contra una fuente primaria antes de actuar?</w:t>
      </w:r>
    </w:p>
    <w:p>
      <w:pPr>
        <w:pStyle w:val="BodyJ"/>
        <w:keepNext/>
        <w:numPr>
          <w:ilvl w:val="0"/>
          <w:numId w:val="5"/>
        </w:numPr>
      </w:pPr>
      <w:r>
        <w:t xml:space="preserve">¿Qué agregó el modelo que el caso no contenía?</w:t>
      </w:r>
    </w:p>
    <w:p>
      <w:pPr>
        <w:pStyle w:val="BodyJ"/>
        <w:keepNext w:val="false"/>
        <w:numPr>
          <w:ilvl w:val="0"/>
          <w:numId w:val="5"/>
        </w:numPr>
      </w:pPr>
      <w:r>
        <w:t xml:space="preserve">¿Estoy usando la herramienta para ampliar hipótesis o para confirmar rápido la que ya tenía?</w:t>
      </w:r>
    </w:p>
    <w:p>
      <w:pPr>
        <w:pStyle w:val="BodyJ"/>
        <w:keepNext/>
      </w:pPr>
      <w:r>
        <w:rPr>
          <w:b/>
          <w:bCs/>
        </w:rPr>
        <w:t xml:space="preserve">Capítulo 20. La palabra exacta: lo que la poesía sabe del juicio clínico</w:t>
      </w:r>
    </w:p>
    <w:p>
      <w:pPr>
        <w:pStyle w:val="BodyJ"/>
        <w:keepNext/>
        <w:numPr>
          <w:ilvl w:val="0"/>
          <w:numId w:val="5"/>
        </w:numPr>
      </w:pPr>
      <w:r>
        <w:t xml:space="preserve">¿Qué palabra de mi última nota está «haciendo florecer» algo que nadie observó?</w:t>
      </w:r>
    </w:p>
    <w:p>
      <w:pPr>
        <w:pStyle w:val="BodyJ"/>
        <w:keepNext/>
        <w:numPr>
          <w:ilvl w:val="0"/>
          <w:numId w:val="5"/>
        </w:numPr>
      </w:pPr>
      <w:r>
        <w:t xml:space="preserve">El diagnóstico que más me satisface hoy: ¿me convence por la evidencia o por lo bien que cierra la historia?</w:t>
      </w:r>
    </w:p>
    <w:p>
      <w:pPr>
        <w:pStyle w:val="BodyJ"/>
        <w:keepNext w:val="false"/>
        <w:numPr>
          <w:ilvl w:val="0"/>
          <w:numId w:val="5"/>
        </w:numPr>
      </w:pPr>
      <w:r>
        <w:t xml:space="preserve">¿Cuándo fue la última vez que leí algo —un poema, una página— sólo para afinar el oído con el que después escucho pacientes?</w:t>
      </w:r>
    </w:p>
    <w:p>
      <w:pPr>
        <w:pStyle w:val="Heading1"/>
        <w:keepNext/>
        <w:keepLines/>
        <w:pageBreakBefore/>
        <w:spacing w:after="320" w:before="720"/>
      </w:pPr>
      <w:r>
        <w:rPr>
          <w:rFonts w:ascii="Gelasio" w:cs="Gelasio" w:eastAsia="Gelasio" w:hAnsi="Gelasio"/>
          <w:b/>
          <w:bCs/>
          <w:color w:val="2B2B2B"/>
          <w:sz w:val="34"/>
          <w:szCs w:val="34"/>
        </w:rPr>
        <w:t xml:space="preserve">Glosario</w:t>
      </w:r>
    </w:p>
    <w:p>
      <w:pPr>
        <w:pStyle w:val="BodyJ"/>
        <w:keepNext w:val="false"/>
      </w:pPr>
      <w:r>
        <w:t xml:space="preserve">Los términos marcados con * son propuestas de este libro; los demás se toman de la literatura, con su autor entre paréntesis cuando corresponde. Cuando el concepto tiene un nombre establecido en inglés, va entre paréntesis para que pueda buscarse en la literatura.</w:t>
      </w:r>
    </w:p>
    <w:p>
      <w:pPr>
        <w:pStyle w:val="BodyJ"/>
        <w:keepNext w:val="false"/>
      </w:pPr>
      <w:r>
        <w:rPr>
          <w:b/>
          <w:bCs/>
        </w:rPr>
        <w:t xml:space="preserve">Abducción (abduction).</w:t>
      </w:r>
      <w:r>
        <w:t xml:space="preserve"> Inferencia que propone la hipótesis que, de ser verdadera, volvería esperable lo observado. Descrita por Peirce (que la llamó primero «hipótesis»). Es el movimiento típico de la generación diagnóstica.</w:t>
      </w:r>
    </w:p>
    <w:p>
      <w:pPr>
        <w:pStyle w:val="BodyJ"/>
        <w:keepNext w:val="false"/>
      </w:pPr>
      <w:r>
        <w:rPr>
          <w:b/>
          <w:bCs/>
        </w:rPr>
        <w:t xml:space="preserve">Anclaje (anchoring).</w:t>
      </w:r>
      <w:r>
        <w:t xml:space="preserve"> Persistencia de una hipótesis inicial que conserva autoridad aun cuando la evidencia acumulada la ha degradado.</w:t>
      </w:r>
    </w:p>
    <w:p>
      <w:pPr>
        <w:pStyle w:val="BodyJ"/>
        <w:keepNext w:val="false"/>
      </w:pPr>
      <w:r>
        <w:rPr>
          <w:b/>
          <w:bCs/>
        </w:rPr>
        <w:t xml:space="preserve">Calibración (calibration).</w:t>
      </w:r>
      <w:r>
        <w:t xml:space="preserve"> Correspondencia entre la confianza declarada y la proporción real de aciertos, evaluada sobre una serie de juicios.</w:t>
      </w:r>
    </w:p>
    <w:p>
      <w:pPr>
        <w:pStyle w:val="BodyJ"/>
        <w:keepNext w:val="false"/>
      </w:pPr>
      <w:r>
        <w:rPr>
          <w:b/>
          <w:bCs/>
        </w:rPr>
        <w:t xml:space="preserve">Captura cognitiva*.</w:t>
      </w:r>
      <w:r>
        <w:t xml:space="preserve"> Condicionamiento de la búsqueda de hipótesis, la lectura de los datos y la ponderación por una respuesta vista antes de razonar —típicamente la de un asistente de IA—. No exige que la respuesta sea errónea: una hipótesis correcta entregada demasiado pronto también sustituye las operaciones que forman el juicio.</w:t>
      </w:r>
    </w:p>
    <w:p>
      <w:pPr>
        <w:pStyle w:val="BodyJ"/>
        <w:keepNext w:val="false"/>
      </w:pPr>
      <w:r>
        <w:rPr>
          <w:b/>
          <w:bCs/>
        </w:rPr>
        <w:t xml:space="preserve">Cascada de atención (cascade of care).</w:t>
      </w:r>
      <w:r>
        <w:t xml:space="preserve"> Secuencia de exámenes, interconsultas y procedimientos que desencadena un resultado o un hallazgo incidental, cuyo valor para el paciente es incierto.</w:t>
      </w:r>
    </w:p>
    <w:p>
      <w:pPr>
        <w:pStyle w:val="BodyJ"/>
        <w:keepNext w:val="false"/>
      </w:pPr>
      <w:r>
        <w:rPr>
          <w:b/>
          <w:bCs/>
        </w:rPr>
        <w:t xml:space="preserve">Cierre prematuro (premature closure).</w:t>
      </w:r>
      <w:r>
        <w:t xml:space="preserve"> Aceptación de un diagnóstico antes de haberlo verificado suficientemente, con suspensión de la búsqueda de alternativas.</w:t>
      </w:r>
    </w:p>
    <w:p>
      <w:pPr>
        <w:pStyle w:val="BodyJ"/>
        <w:keepNext w:val="false"/>
      </w:pPr>
      <w:r>
        <w:rPr>
          <w:b/>
          <w:bCs/>
        </w:rPr>
        <w:t xml:space="preserve">Cognición distribuida (distributed cognition).</w:t>
      </w:r>
      <w:r>
        <w:t xml:space="preserve"> Marco que estudia cómo el procesamiento de información se realiza a través de personas y artefactos coordinados, no sólo dentro de mentes individuales (Hutchins).</w:t>
      </w:r>
    </w:p>
    <w:p>
      <w:pPr>
        <w:pStyle w:val="BodyJ"/>
        <w:keepNext w:val="false"/>
      </w:pPr>
      <w:r>
        <w:rPr>
          <w:b/>
          <w:bCs/>
        </w:rPr>
        <w:t xml:space="preserve">Colectivo de pensamiento / estilo de pensamiento (thought collective / thought style).</w:t>
      </w:r>
      <w:r>
        <w:t xml:space="preserve"> Para Fleck, la comunidad de personas que intercambian ideas y la disposición compartida a percibir de cierto modo —qué problemas interesan, qué juicios parecen evidentes, qué métodos valen— que decide qué cuenta como hecho en esa comunidad.</w:t>
      </w:r>
    </w:p>
    <w:p>
      <w:pPr>
        <w:pStyle w:val="BodyJ"/>
        <w:keepNext w:val="false"/>
      </w:pPr>
      <w:r>
        <w:rPr>
          <w:b/>
          <w:bCs/>
        </w:rPr>
        <w:t xml:space="preserve">Colusión del anonimato (collusion of anonymity).</w:t>
      </w:r>
      <w:r>
        <w:t xml:space="preserve"> Situación en que un paciente circula entre su médico y varios especialistas, y se toman decisiones importantes sin que nadie se sienta plenamente responsable de ellas (Balint).</w:t>
      </w:r>
    </w:p>
    <w:p>
      <w:pPr>
        <w:pStyle w:val="BodyJ"/>
        <w:keepNext w:val="false"/>
      </w:pPr>
      <w:r>
        <w:rPr>
          <w:b/>
          <w:bCs/>
        </w:rPr>
        <w:t xml:space="preserve">Confusión (confounding).</w:t>
      </w:r>
      <w:r>
        <w:t xml:space="preserve"> Distorsión de una comparación entre grupos cuando éstos difieren en otra característica que también influye en el desenlace. Louis la advirtió en 1835, al notar que los pacientes sangrados más temprano eran también los de más edad.</w:t>
      </w:r>
    </w:p>
    <w:p>
      <w:pPr>
        <w:pStyle w:val="BodyJ"/>
        <w:keepNext w:val="false"/>
      </w:pPr>
      <w:r>
        <w:rPr>
          <w:b/>
          <w:bCs/>
        </w:rPr>
        <w:t xml:space="preserve">Conocimiento tácito (tacit knowledge).</w:t>
      </w:r>
      <w:r>
        <w:t xml:space="preserve"> Capacidad de reconocer o ejecutar más de lo que puede formularse explícitamente (Polanyi).</w:t>
      </w:r>
    </w:p>
    <w:p>
      <w:pPr>
        <w:pStyle w:val="BodyJ"/>
        <w:keepNext w:val="false"/>
      </w:pPr>
      <w:r>
        <w:rPr>
          <w:b/>
          <w:bCs/>
        </w:rPr>
        <w:t xml:space="preserve">Contrafactual (counterfactual).</w:t>
      </w:r>
      <w:r>
        <w:t xml:space="preserve"> Escenario comparativo implícito en toda afirmación causal: qué habría ocurrido sin la exposición o la intervención.</w:t>
      </w:r>
    </w:p>
    <w:p>
      <w:pPr>
        <w:pStyle w:val="BodyJ"/>
        <w:keepNext w:val="false"/>
      </w:pPr>
      <w:r>
        <w:rPr>
          <w:b/>
          <w:bCs/>
        </w:rPr>
        <w:t xml:space="preserve">Conversaciones para la acción (conversation for action).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keepNext w:val="false"/>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keepNext w:val="false"/>
      </w:pPr>
      <w:r>
        <w:rPr>
          <w:b/>
          <w:bCs/>
        </w:rPr>
        <w:t xml:space="preserve">Criterio de reapertura*.</w:t>
      </w:r>
      <w:r>
        <w:t xml:space="preserve"> Cambio clínico, resultado pendiente, plazo o evento que, escrito antes de cerrar el caso y con un responsable, obliga a reabrirlo («reevaluar si…; responsable: …; plazo: …»). Es la reevaluación de HII-D vuelta cláusula concreta y el compromiso del equipo, distinto de la red de seguridad, que es lo que el paciente vigila en su casa. Sin él, la decisión queda sin fecha de vencimiento.</w:t>
      </w:r>
    </w:p>
    <w:p>
      <w:pPr>
        <w:pStyle w:val="BodyJ"/>
        <w:keepNext w:val="false"/>
      </w:pPr>
      <w:r>
        <w:rPr>
          <w:b/>
          <w:bCs/>
        </w:rPr>
        <w:t xml:space="preserve">Cuatro tópicos (método de los; four topics).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keepNext w:val="false"/>
      </w:pPr>
      <w:r>
        <w:rPr>
          <w:b/>
          <w:bCs/>
        </w:rPr>
        <w:t xml:space="preserve">Decisión compartida (shared decision-making).</w:t>
      </w:r>
      <w:r>
        <w:t xml:space="preserve"> Proceso de deliberación entre profesional y paciente sobre opciones, evidencia y preferencias, distinto de la mera entrega de información (Elwyn).</w:t>
      </w:r>
    </w:p>
    <w:p>
      <w:pPr>
        <w:pStyle w:val="BodyJ"/>
        <w:keepNext w:val="false"/>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keepNext w:val="false"/>
      </w:pPr>
      <w:r>
        <w:rPr>
          <w:b/>
          <w:bCs/>
        </w:rPr>
        <w:t xml:space="preserve">Densidad epistémica*.</w:t>
      </w:r>
      <w:r>
        <w:t xml:space="preserve"> Propiedad de una formulación clínica que conserva lo que una frase pierde con más frecuencia —procedencia, temporalidad, transparencia inferencial, calibración modal, relevancia decisional y revisabilidad: las seis dimensiones de auditoría del capítulo 4— en lugar de sólo abreviar.</w:t>
      </w:r>
    </w:p>
    <w:p>
      <w:pPr>
        <w:pStyle w:val="BodyJ"/>
        <w:keepNext w:val="false"/>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keepNext w:val="false"/>
      </w:pPr>
      <w:r>
        <w:rPr>
          <w:b/>
          <w:bCs/>
        </w:rPr>
        <w:t xml:space="preserve">Doble proceso (dual-process theories).</w:t>
      </w:r>
      <w:r>
        <w:t xml:space="preserve"> Familia de teorías que distingue procesamiento rápido, asociativo y automático de procesamiento lento, analítico y controlado; ambos pueden acertar o errar.</w:t>
      </w:r>
    </w:p>
    <w:p>
      <w:pPr>
        <w:pStyle w:val="BodyJ"/>
        <w:keepNext w:val="false"/>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keepNext w:val="false"/>
      </w:pPr>
      <w:r>
        <w:rPr>
          <w:b/>
          <w:bCs/>
        </w:rPr>
        <w:t xml:space="preserve">Encapsulación (knowledge encapsulation).</w:t>
      </w:r>
      <w:r>
        <w:t xml:space="preserve"> Compresión del conocimiento biomédico en conceptos clínicos de nivel superior, característica del desarrollo de la pericia (Schmidt y Rikers).</w:t>
      </w:r>
    </w:p>
    <w:p>
      <w:pPr>
        <w:pStyle w:val="BodyJ"/>
        <w:keepNext w:val="false"/>
      </w:pPr>
      <w:r>
        <w:rPr>
          <w:b/>
          <w:bCs/>
        </w:rPr>
        <w:t xml:space="preserve">Ensombrecimiento diagnóstico (diagnostic overshadowing).</w:t>
      </w:r>
      <w:r>
        <w:t xml:space="preserve"> Atribución de síntomas físicos a la enfermedad mental de base, con el consiguiente subdiagnóstico somático; contribuye a la mortalidad prematura en salud mental (Thornicroft).</w:t>
      </w:r>
    </w:p>
    <w:p>
      <w:pPr>
        <w:pStyle w:val="BodyJ"/>
        <w:keepNext w:val="false"/>
      </w:pPr>
      <w:r>
        <w:rPr>
          <w:b/>
          <w:bCs/>
        </w:rPr>
        <w:t xml:space="preserve">Escriba ambiental (ambient scribe).</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keepNext w:val="false"/>
      </w:pPr>
      <w:r>
        <w:rPr>
          <w:b/>
          <w:bCs/>
        </w:rPr>
        <w:t xml:space="preserve">Estado del razonador*.</w:t>
      </w:r>
      <w:r>
        <w:t xml:space="preserve"> Condiciones en que se produce un juicio clínico —hora del día, horas de turno, sueño, ánimo, preocupación ajena al caso—, tratadas como un hecho de la capa H sobre la confiabilidad del instrumento que infiere y como disparador de pausa o de segundo lector. Pensar cuesta, y el costo no es constante.</w:t>
      </w:r>
    </w:p>
    <w:p>
      <w:pPr>
        <w:pStyle w:val="BodyJ"/>
        <w:keepNext w:val="false"/>
      </w:pPr>
      <w:r>
        <w:rPr>
          <w:b/>
          <w:bCs/>
        </w:rPr>
        <w:t xml:space="preserve">Ética de la creencia (ethics of belief).</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keepNext w:val="false"/>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keepNext w:val="false"/>
      </w:pPr>
      <w:r>
        <w:rPr>
          <w:b/>
          <w:bCs/>
        </w:rPr>
        <w:t xml:space="preserve">Fragilidad (frailty).</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keepNext w:val="false"/>
      </w:pPr>
      <w:r>
        <w:rPr>
          <w:b/>
          <w:bCs/>
        </w:rPr>
        <w:t xml:space="preserve">Frase medular*.</w:t>
      </w:r>
      <w:r>
        <w:t xml:space="preserve"> Formulación breve que condensa la naturaleza del evento, la inferencia con su grado, la incertidumbre crítica y el efecto sobre la conducta: las cuatro capas de HII-D en una o dos frases.</w:t>
      </w:r>
    </w:p>
    <w:p>
      <w:pPr>
        <w:pStyle w:val="BodyJ"/>
        <w:keepNext w:val="false"/>
      </w:pPr>
      <w:r>
        <w:rPr>
          <w:b/>
          <w:bCs/>
        </w:rPr>
        <w:t xml:space="preserve">Frecuencias naturales (natural frequencies).</w:t>
      </w:r>
      <w:r>
        <w:t xml:space="preserve"> Presentación de probabilidades como conteos sobre una población de referencia («90 de cada 270 positivos»), que facilita el razonamiento bayesiano intuitivo (Gigerenzer).</w:t>
      </w:r>
    </w:p>
    <w:p>
      <w:pPr>
        <w:pStyle w:val="BodyJ"/>
        <w:keepNext w:val="false"/>
      </w:pPr>
      <w:r>
        <w:rPr>
          <w:b/>
          <w:bCs/>
        </w:rPr>
        <w:t xml:space="preserve">Hallazgo incidental (incidentaloma).</w:t>
      </w:r>
      <w:r>
        <w:t xml:space="preserve"> Anomalía encontrada en un examen pedido por otra razón y no relacionada con los síntomas del paciente.</w:t>
      </w:r>
    </w:p>
    <w:p>
      <w:pPr>
        <w:pStyle w:val="BodyJ"/>
        <w:keepNext w:val="false"/>
      </w:pPr>
      <w:r>
        <w:rPr>
          <w:b/>
          <w:bCs/>
        </w:rPr>
        <w:t xml:space="preserve">HII-D*.</w:t>
      </w:r>
      <w:r>
        <w:t xml:space="preserve"> Heurística de escritura y deliberación que, a partir de una pregunta operativa, ordena el razonamiento en Hechos, Inferencias, Incertidumbre y Decisión, más un movimiento transversal de reevaluación. No validada como instrumento.</w:t>
      </w:r>
    </w:p>
    <w:p>
      <w:pPr>
        <w:pStyle w:val="BodyJ"/>
        <w:keepNext w:val="false"/>
      </w:pPr>
      <w:r>
        <w:rPr>
          <w:b/>
          <w:bCs/>
        </w:rPr>
        <w:t xml:space="preserve">Hindsight bias (sesgo retrospectivo).</w:t>
      </w:r>
      <w:r>
        <w:t xml:space="preserve"> Tendencia a percibir un desenlace conocido como si hubiera sido predecible, contaminando la evaluación de decisiones pasadas.</w:t>
      </w:r>
    </w:p>
    <w:p>
      <w:pPr>
        <w:pStyle w:val="BodyJ"/>
        <w:keepNext w:val="false"/>
      </w:pPr>
      <w:r>
        <w:rPr>
          <w:b/>
          <w:bCs/>
        </w:rPr>
        <w:t xml:space="preserve">Humildad epistémica (epistemic humility).</w:t>
      </w:r>
      <w:r>
        <w:t xml:space="preserve"> Atención y apropiación de las propias limitaciones cognitivas (Whitcomb et al., que hablan de intellectual humility). No es timidez para afirmar: es la disposición que mantiene el caso abierto —permite seguir explorando, seguir aprendiendo y reubicar el foco y el manejo cuando la trayectoria contradice el mapa—.</w:t>
      </w:r>
    </w:p>
    <w:p>
      <w:pPr>
        <w:pStyle w:val="BodyJ"/>
        <w:keepNext w:val="false"/>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keepNext w:val="false"/>
      </w:pPr>
      <w:r>
        <w:rPr>
          <w:b/>
          <w:bCs/>
        </w:rPr>
        <w:t xml:space="preserve">Incertidumbre aleatoria (aleatory uncertainty).</w:t>
      </w:r>
      <w:r>
        <w:t xml:space="preserve"> La que proviene de variabilidad o contingencia que persiste aun con conocimiento completo del sistema.</w:t>
      </w:r>
    </w:p>
    <w:p>
      <w:pPr>
        <w:pStyle w:val="BodyJ"/>
        <w:keepNext w:val="false"/>
      </w:pPr>
      <w:r>
        <w:rPr>
          <w:b/>
          <w:bCs/>
        </w:rPr>
        <w:t xml:space="preserve">Incertidumbre epistémica (epistemic uncertainty).</w:t>
      </w:r>
      <w:r>
        <w:t xml:space="preserve"> La que proviene de conocimiento insuficiente y puede, en principio, reducirse con información.</w:t>
      </w:r>
    </w:p>
    <w:p>
      <w:pPr>
        <w:pStyle w:val="BodyJ"/>
        <w:keepNext w:val="false"/>
      </w:pPr>
      <w:r>
        <w:rPr>
          <w:b/>
          <w:bCs/>
        </w:rPr>
        <w:t xml:space="preserve">Incertidumbre que conviene dejar*.</w:t>
      </w:r>
      <w:r>
        <w:t xml:space="preserve"> Duda clínica que ningún resultado disponible convertiría en un cambio de conducta, de vigilancia o de información que el paciente necesite. Se declara por escrito y no se persigue; no debe confundirse con la duda que, si estuviera equivocada, produciría daño grave, que obliga a buscar.</w:t>
      </w:r>
    </w:p>
    <w:p>
      <w:pPr>
        <w:pStyle w:val="BodyJ"/>
        <w:keepNext w:val="false"/>
      </w:pPr>
      <w:r>
        <w:rPr>
          <w:b/>
          <w:bCs/>
        </w:rPr>
        <w:t xml:space="preserve">Injusticia epistémica (epistemic injustice).</w:t>
      </w:r>
      <w:r>
        <w:t xml:space="preserve"> Daño cometido contra alguien en su capacidad de sujeto de conocimiento: testimonial (credibilidad rebajada por prejuicio) o hermenéutica (falta de categorías para expresar la experiencia) (Fricker).</w:t>
      </w:r>
    </w:p>
    <w:p>
      <w:pPr>
        <w:pStyle w:val="BodyJ"/>
        <w:keepNext w:val="false"/>
      </w:pPr>
      <w:r>
        <w:rPr>
          <w:b/>
          <w:bCs/>
        </w:rPr>
        <w:t xml:space="preserve">Léxico de certeza*.</w:t>
      </w:r>
      <w:r>
        <w:t xml:space="preserve"> Escala verbal con la que toda inferencia escrita declara cuánto derecho tiene a afirmarse —demostrado, altamente probable, probable, posible, no demostrado—, junto a las expresiones de ausencia y de exclusión que no deben confundirse con ella (sin evidencia actual de, no evaluable, se descarta), definidas en el Apéndice B. Es un caso particular de la modalidad epistémica, fijado para que el equipo use las mismas palabras con el mismo significado.</w:t>
      </w:r>
    </w:p>
    <w:p>
      <w:pPr>
        <w:pStyle w:val="BodyJ"/>
        <w:keepNext w:val="false"/>
      </w:pPr>
      <w:r>
        <w:rPr>
          <w:b/>
          <w:bCs/>
        </w:rPr>
        <w:t xml:space="preserve">Mente del principiante (shoshin, beginner's mind).</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keepNext w:val="false"/>
      </w:pPr>
      <w:r>
        <w:rPr>
          <w:b/>
          <w:bCs/>
        </w:rPr>
        <w:t xml:space="preserve">Metacognición (metacognition).</w:t>
      </w:r>
      <w:r>
        <w:t xml:space="preserve"> Conocimiento y regulación de los propios procesos cognitivos: monitorear la comprensión, valorar la confianza, decidir cambiar de estrategia (Flavell; Nelson y Narens).</w:t>
      </w:r>
    </w:p>
    <w:p>
      <w:pPr>
        <w:pStyle w:val="BodyJ"/>
        <w:keepNext w:val="false"/>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keepNext w:val="false"/>
      </w:pPr>
      <w:r>
        <w:rPr>
          <w:b/>
          <w:bCs/>
        </w:rPr>
        <w:t xml:space="preserve">Método numérico (numerical method).</w:t>
      </w:r>
      <w:r>
        <w:t xml:space="preserve"> Propuesta de Louis de evaluar un tratamiento contando sus desenlaces en grupos de pacientes semejantes en todo lo demás, en lugar de confiar en la impresión de la experiencia.</w:t>
      </w:r>
    </w:p>
    <w:p>
      <w:pPr>
        <w:pStyle w:val="BodyJ"/>
        <w:keepNext w:val="false"/>
      </w:pPr>
      <w:r>
        <w:rPr>
          <w:b/>
          <w:bCs/>
        </w:rPr>
        <w:t xml:space="preserve">Modalidad epistémica (epistemic modality).</w:t>
      </w:r>
      <w:r>
        <w:t xml:space="preserve"> Recursos del lenguaje que expresan el grado de certeza de una afirmación («demostrado», «probable», «sin evidencia de»).</w:t>
      </w:r>
    </w:p>
    <w:p>
      <w:pPr>
        <w:pStyle w:val="BodyJ"/>
        <w:keepNext w:val="false"/>
      </w:pPr>
      <w:r>
        <w:rPr>
          <w:b/>
          <w:bCs/>
        </w:rPr>
        <w:t xml:space="preserve">Modelo biopsicosocial (biopsychosocial model).</w:t>
      </w:r>
      <w:r>
        <w:t xml:space="preserve"> Propuesta de Engel de que el modelo de enfermedad incluya, además de las variables biológicas, al paciente, su contexto social y el sistema de atención, incluido el rol del médico.</w:t>
      </w:r>
    </w:p>
    <w:p>
      <w:pPr>
        <w:pStyle w:val="BodyJ"/>
        <w:keepNext w:val="false"/>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keepNext w:val="false"/>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keepNext w:val="false"/>
      </w:pPr>
      <w:r>
        <w:rPr>
          <w:b/>
          <w:bCs/>
        </w:rPr>
        <w:t xml:space="preserve">Paradoja de la automatización (automation paradox).</w:t>
      </w:r>
      <w:r>
        <w:t xml:space="preserve"> Cuanto más competente es un sistema automatizado, menos ejercita el humano las habilidades necesarias para detectar sus fallas —que es cuando más se las necesita (Abdulnour et al.)—.</w:t>
      </w:r>
    </w:p>
    <w:p>
      <w:pPr>
        <w:pStyle w:val="BodyJ"/>
        <w:keepNext w:val="false"/>
      </w:pPr>
      <w:r>
        <w:rPr>
          <w:b/>
          <w:bCs/>
        </w:rPr>
        <w:t xml:space="preserve">Pausa diagnóstica (diagnostic time-out).</w:t>
      </w:r>
      <w:r>
        <w:t xml:space="preserve"> Interrupción breve y selectiva del flujo clínico, activada por disparadores definidos (reconsulta, evolución inesperada o discordante con el diagnóstico, transición de cuidados, estado del razonador), para reformular el caso sin su etiqueta y localizar la incertidumbre peligrosa.</w:t>
      </w:r>
    </w:p>
    <w:p>
      <w:pPr>
        <w:pStyle w:val="BodyJ"/>
        <w:keepNext w:val="false"/>
      </w:pPr>
      <w:r>
        <w:rPr>
          <w:b/>
          <w:bCs/>
        </w:rPr>
        <w:t xml:space="preserve">Phronesis.</w:t>
      </w:r>
      <w:r>
        <w:t xml:space="preserve"> Prudencia práctica aristotélica: la capacidad de deliberar bien sobre lo que conviene hacer en una situación particular.</w:t>
      </w:r>
    </w:p>
    <w:p>
      <w:pPr>
        <w:pStyle w:val="BodyJ"/>
        <w:keepNext w:val="false"/>
      </w:pPr>
      <w:r>
        <w:rPr>
          <w:b/>
          <w:bCs/>
        </w:rPr>
        <w:t xml:space="preserve">Probabilidad pretest / postest (pre-test / post-test probability).</w:t>
      </w:r>
      <w:r>
        <w:t xml:space="preserve"> Probabilidad de una condición antes y después de incorporar el resultado de una prueba; su relación depende del rendimiento de la prueba y de la prevalencia.</w:t>
      </w:r>
    </w:p>
    <w:p>
      <w:pPr>
        <w:pStyle w:val="BodyJ"/>
        <w:keepNext w:val="false"/>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keepNext w:val="false"/>
      </w:pPr>
      <w:r>
        <w:rPr>
          <w:b/>
          <w:bCs/>
        </w:rPr>
        <w:t xml:space="preserve">Puntos de vista de Hill (Bradford Hill viewpoints).</w:t>
      </w:r>
      <w:r>
        <w:t xml:space="preserve"> Nueve consideraciones —fuerza, consistencia, especificidad, temporalidad, gradiente biológico, plausibilidad, coherencia, experimento y analogía— para examinar una asociación antes de llamarla causal. Hill advirtió que ninguna es indispensable ni suficiente, y nunca las llamó criterios.</w:t>
      </w:r>
    </w:p>
    <w:p>
      <w:pPr>
        <w:pStyle w:val="BodyJ"/>
        <w:keepNext w:val="false"/>
      </w:pPr>
      <w:r>
        <w:rPr>
          <w:b/>
          <w:bCs/>
        </w:rPr>
        <w:t xml:space="preserve">Quiebre (breakdown).</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keepNext w:val="false"/>
      </w:pPr>
      <w:r>
        <w:rPr>
          <w:b/>
          <w:bCs/>
        </w:rPr>
        <w:t xml:space="preserve">Red de seguridad (safety-netting).</w:t>
      </w:r>
      <w:r>
        <w:t xml:space="preserve"> Instrucciones explícitas de reconsulta y vigilancia que acompañan una decisión tomada bajo incertidumbre, especialmente en ambulatorio: lo que el paciente y su familia vigilan en la casa. El criterio de reapertura es su contraparte dentro del equipo.</w:t>
      </w:r>
    </w:p>
    <w:p>
      <w:pPr>
        <w:pStyle w:val="BodyJ"/>
        <w:keepNext w:val="false"/>
      </w:pPr>
      <w:r>
        <w:rPr>
          <w:b/>
          <w:bCs/>
        </w:rPr>
        <w:t xml:space="preserve">Representación del problema (problem representation).</w:t>
      </w:r>
      <w:r>
        <w:t xml:space="preserve"> Formulación compacta que transforma los datos del caso en relaciones clínicamente significativas mediante calificadores semánticos.</w:t>
      </w:r>
    </w:p>
    <w:p>
      <w:pPr>
        <w:pStyle w:val="BodyJ"/>
        <w:keepNext w:val="false"/>
      </w:pPr>
      <w:r>
        <w:rPr>
          <w:b/>
          <w:bCs/>
        </w:rPr>
        <w:t xml:space="preserve">Riesgo inductivo (inductive risk).</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keepNext w:val="false"/>
      </w:pPr>
      <w:r>
        <w:rPr>
          <w:b/>
          <w:bCs/>
        </w:rPr>
        <w:t xml:space="preserve">Segunda víctima (second victim).</w:t>
      </w:r>
      <w:r>
        <w:t xml:space="preserve"> El clínico dañado por su propio error —culpa, vergüenza, aislamiento— (Wu). Su cuidado no es indulgencia: sin él no hay análisis de trayectoria ni aprendizaje del error.</w:t>
      </w:r>
    </w:p>
    <w:p>
      <w:pPr>
        <w:pStyle w:val="BodyJ"/>
        <w:keepNext w:val="false"/>
      </w:pPr>
      <w:r>
        <w:rPr>
          <w:b/>
          <w:bCs/>
        </w:rPr>
        <w:t xml:space="preserve">Segundo lector*.</w:t>
      </w:r>
      <w:r>
        <w:t xml:space="preserve"> Otro médico, un especialista, un equipo interdisciplinario o una herramienta de apoyo que revisa el juicio antes de que se fije y aporta una representación distinta del mismo caso. Lo activan disparadores clínicos (reconsulta, evolución discordante, transferencia) y también el estado del razonador: turno largo, madrugada, ánimo alterado. No sustituye a la segunda opinión formal; la precede y cuesta menos.</w:t>
      </w:r>
    </w:p>
    <w:p>
      <w:pPr>
        <w:pStyle w:val="BodyJ"/>
        <w:keepNext w:val="false"/>
      </w:pPr>
      <w:r>
        <w:rPr>
          <w:b/>
          <w:bCs/>
        </w:rPr>
        <w:t xml:space="preserve">Sensibilidad metacognitiva (metacognitive sensitivity).</w:t>
      </w:r>
      <w:r>
        <w:t xml:space="preserve"> Capacidad de discriminar los propios aciertos de los propios errores mediante la confianza; distinta del sesgo metacognitivo (tendencia global a confiar mucho o poco).</w:t>
      </w:r>
    </w:p>
    <w:p>
      <w:pPr>
        <w:pStyle w:val="BodyJ"/>
        <w:keepNext w:val="false"/>
      </w:pPr>
      <w:r>
        <w:rPr>
          <w:b/>
          <w:bCs/>
        </w:rPr>
        <w:t xml:space="preserve">Sesgo de automatización (automation bias).</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keepNext w:val="false"/>
      </w:pPr>
      <w:r>
        <w:rPr>
          <w:b/>
          <w:bCs/>
        </w:rPr>
        <w:t xml:space="preserve">Sobreconfianza (overconfidence).</w:t>
      </w:r>
      <w:r>
        <w:t xml:space="preserve"> Confianza declarada mayor que la exactitud real; falla de calibración asociada al error diagnóstico porque impide buscar evidencia o revisar una conclusión (Berner y Graber). Medirla no es trivial: la confianza puede ser apropiada en los casos fáciles y excesiva en los difíciles.</w:t>
      </w:r>
    </w:p>
    <w:p>
      <w:pPr>
        <w:pStyle w:val="BodyJ"/>
        <w:keepNext w:val="false"/>
      </w:pPr>
      <w:r>
        <w:rPr>
          <w:b/>
          <w:bCs/>
        </w:rPr>
        <w:t xml:space="preserve">Sobrediagnóstico (overdiagnosis).</w:t>
      </w:r>
      <w:r>
        <w:t xml:space="preserve"> Diagnóstico de una condición que, de no haberse detectado, no habría causado síntomas ni daño en la vida del paciente.</w:t>
      </w:r>
    </w:p>
    <w:p>
      <w:pPr>
        <w:pStyle w:val="BodyJ"/>
        <w:keepNext w:val="false"/>
      </w:pPr>
      <w:r>
        <w:rPr>
          <w:b/>
          <w:bCs/>
        </w:rPr>
        <w:t xml:space="preserve">Testimonio (epistemología del; epistemology of testimony).</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keepNext w:val="false"/>
      </w:pPr>
      <w:r>
        <w:rPr>
          <w:b/>
          <w:bCs/>
        </w:rPr>
        <w:t xml:space="preserve">Umbral de decisión (decision threshold).</w:t>
      </w:r>
      <w:r>
        <w:t xml:space="preserve"> Nivel de probabilidad sobre el cual una conducta (testear, tratar) supera a sus alternativas, dado el balance de daños y beneficios (Pauker y Kassirer).</w:t>
      </w:r>
    </w:p>
    <w:p>
      <w:pPr>
        <w:pStyle w:val="BodyJ"/>
        <w:keepNext w:val="false"/>
      </w:pPr>
      <w:r>
        <w:rPr>
          <w:b/>
          <w:bCs/>
        </w:rPr>
        <w:t xml:space="preserve">Validez del entorno (high-validity environment).</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keepNext w:val="false"/>
      </w:pPr>
      <w:r>
        <w:rPr>
          <w:b/>
          <w:bCs/>
        </w:rPr>
        <w:t xml:space="preserve">Validez externa / transportabilidad (external validity / transportability).</w:t>
      </w:r>
      <w:r>
        <w:t xml:space="preserve"> Grado en que un resultado de investigación puede aplicarse fuera del contexto en que fue producido; no es propiedad binaria del estudio sino relación entre evidencia y uso propuesto. </w:t>
      </w:r>
      <w:r>
        <w:rPr>
          <w:b/>
          <w:bCs/>
        </w:rPr>
        <w:t xml:space="preserve">Valor de un examen (value of information).</w:t>
      </w:r>
      <w:r>
        <w:t xml:space="preserve"> Lo que su resultado puede cambiar: una conducta, una vigilancia o algo que el paciente necesita saber. Si ningún resultado posible cambia nada, el examen no informa la decisión.</w:t>
      </w:r>
    </w:p>
    <w:p>
      <w:pPr>
        <w:pStyle w:val="Heading1"/>
        <w:keepNext/>
        <w:keepLines/>
        <w:pageBreakBefore/>
        <w:spacing w:after="320" w:before="720"/>
      </w:pPr>
      <w:r>
        <w:rPr>
          <w:rFonts w:ascii="Gelasio" w:cs="Gelasio" w:eastAsia="Gelasio" w:hAnsi="Gelasio"/>
          <w:b/>
          <w:bCs/>
          <w:color w:val="2B2B2B"/>
          <w:sz w:val="34"/>
          <w:szCs w:val="34"/>
        </w:rPr>
        <w:t xml:space="preserve">Índice analítico</w:t>
      </w:r>
    </w:p>
    <w:p>
      <w:pPr>
        <w:pStyle w:val="BodyJ"/>
        <w:keepNext w:val="false"/>
      </w:pPr>
      <w:r>
        <w:t xml:space="preserve">Los números remiten a capítulos (Int = introducción, Interludios I–III, CC = cuaderno de casos, C = conclusión, Ap = apéndices).</w:t>
      </w:r>
    </w:p>
    <w:p>
      <w:pPr>
        <w:pStyle w:val="BodyJ"/>
        <w:keepNext w:val="false"/>
        <w:numPr>
          <w:ilvl w:val="0"/>
          <w:numId w:val="5"/>
        </w:numPr>
      </w:pPr>
      <w:r>
        <w:t xml:space="preserve">Abducción — 2; vigilada por la metacognición — 5; mantenida abierta por la humildad — 15</w:t>
      </w:r>
    </w:p>
    <w:p>
      <w:pPr>
        <w:pStyle w:val="BodyJ"/>
        <w:keepNext w:val="false"/>
        <w:numPr>
          <w:ilvl w:val="0"/>
          <w:numId w:val="5"/>
        </w:numPr>
      </w:pPr>
      <w:r>
        <w:t xml:space="preserve">Actos de habla en la ficha (Austin) — 4</w:t>
      </w:r>
    </w:p>
    <w:p>
      <w:pPr>
        <w:pStyle w:val="BodyJ"/>
        <w:keepNext w:val="false"/>
        <w:numPr>
          <w:ilvl w:val="0"/>
          <w:numId w:val="5"/>
        </w:numPr>
      </w:pPr>
      <w:r>
        <w:t xml:space="preserve">Al-Razi: comparar grupos hacia el año 900 — 16</w:t>
      </w:r>
    </w:p>
    <w:p>
      <w:pPr>
        <w:pStyle w:val="BodyJ"/>
        <w:keepNext w:val="false"/>
        <w:numPr>
          <w:ilvl w:val="0"/>
          <w:numId w:val="5"/>
        </w:numPr>
      </w:pPr>
      <w:r>
        <w:t xml:space="preserve">Anclaje — 7, 12, CC (viñeta 6)</w:t>
      </w:r>
    </w:p>
    <w:p>
      <w:pPr>
        <w:pStyle w:val="BodyJ"/>
        <w:keepNext w:val="false"/>
        <w:numPr>
          <w:ilvl w:val="0"/>
          <w:numId w:val="5"/>
        </w:numPr>
      </w:pPr>
      <w:r>
        <w:t xml:space="preserve">Anticuerpos antinucleares sin sospecha clínica — 11</w:t>
      </w:r>
    </w:p>
    <w:p>
      <w:pPr>
        <w:pStyle w:val="BodyJ"/>
        <w:keepNext w:val="false"/>
        <w:numPr>
          <w:ilvl w:val="0"/>
          <w:numId w:val="5"/>
        </w:numPr>
      </w:pPr>
      <w:r>
        <w:t xml:space="preserve">Antipoesía como léxico de certeza (Parra) — 20</w:t>
      </w:r>
    </w:p>
    <w:p>
      <w:pPr>
        <w:pStyle w:val="BodyJ"/>
        <w:keepNext w:val="false"/>
        <w:numPr>
          <w:ilvl w:val="0"/>
          <w:numId w:val="5"/>
        </w:numPr>
      </w:pPr>
      <w:r>
        <w:t xml:space="preserve">Atrofia de la pericia por asistencia de IA (deskilling) — 19</w:t>
      </w:r>
    </w:p>
    <w:p>
      <w:pPr>
        <w:pStyle w:val="BodyJ"/>
        <w:keepNext w:val="false"/>
        <w:numPr>
          <w:ilvl w:val="0"/>
          <w:numId w:val="5"/>
        </w:numPr>
      </w:pPr>
      <w:r>
        <w:t xml:space="preserve">Auscultación y método anatomoclínico (Laennec) — 16</w:t>
      </w:r>
    </w:p>
    <w:p>
      <w:pPr>
        <w:pStyle w:val="BodyJ"/>
        <w:keepNext w:val="false"/>
        <w:numPr>
          <w:ilvl w:val="0"/>
          <w:numId w:val="5"/>
        </w:numPr>
      </w:pPr>
      <w:r>
        <w:t xml:space="preserve">Ausencia de evidencia / evidencia de ausencia — 1, 4, Ap B</w:t>
      </w:r>
    </w:p>
    <w:p>
      <w:pPr>
        <w:pStyle w:val="BodyJ"/>
        <w:keepNext w:val="false"/>
        <w:numPr>
          <w:ilvl w:val="0"/>
          <w:numId w:val="5"/>
        </w:numPr>
      </w:pPr>
      <w:r>
        <w:t xml:space="preserve">Autoridad revisable — 7, 14, 15, 16</w:t>
      </w:r>
    </w:p>
    <w:p>
      <w:pPr>
        <w:pStyle w:val="BodyJ"/>
        <w:keepNext w:val="false"/>
        <w:numPr>
          <w:ilvl w:val="0"/>
          <w:numId w:val="5"/>
        </w:numPr>
      </w:pPr>
      <w:r>
        <w:t xml:space="preserve">Bioética y razonamiento clínico (cuatro tópicos, proporcionalidad, deliberación) — 10, 17, CC (viñeta 5), Ap A</w:t>
      </w:r>
    </w:p>
    <w:p>
      <w:pPr>
        <w:pStyle w:val="BodyJ"/>
        <w:keepNext w:val="false"/>
        <w:numPr>
          <w:ilvl w:val="0"/>
          <w:numId w:val="5"/>
        </w:numPr>
      </w:pPr>
      <w:r>
        <w:t xml:space="preserve">Calibración — 5, 17, 18, Ap C</w:t>
      </w:r>
    </w:p>
    <w:p>
      <w:pPr>
        <w:pStyle w:val="BodyJ"/>
        <w:keepNext w:val="false"/>
        <w:numPr>
          <w:ilvl w:val="0"/>
          <w:numId w:val="5"/>
        </w:numPr>
      </w:pPr>
      <w:r>
        <w:t xml:space="preserve">Capacidad de decidir (cuatro criterios; lucidez fluctuante) — CC (viñeta 5)</w:t>
      </w:r>
    </w:p>
    <w:p>
      <w:pPr>
        <w:pStyle w:val="BodyJ"/>
        <w:keepNext w:val="false"/>
        <w:numPr>
          <w:ilvl w:val="0"/>
          <w:numId w:val="5"/>
        </w:numPr>
      </w:pPr>
      <w:r>
        <w:t xml:space="preserve">Captura cognitiva por IA (la respuesta antes que el caso) — 19</w:t>
      </w:r>
    </w:p>
    <w:p>
      <w:pPr>
        <w:pStyle w:val="BodyJ"/>
        <w:keepNext w:val="false"/>
        <w:numPr>
          <w:ilvl w:val="0"/>
          <w:numId w:val="5"/>
        </w:numPr>
      </w:pPr>
      <w:r>
        <w:t xml:space="preserve">Carga teórica de la observación — 1</w:t>
      </w:r>
    </w:p>
    <w:p>
      <w:pPr>
        <w:pStyle w:val="BodyJ"/>
        <w:keepNext w:val="false"/>
        <w:numPr>
          <w:ilvl w:val="0"/>
          <w:numId w:val="5"/>
        </w:numPr>
      </w:pPr>
      <w:r>
        <w:t xml:space="preserve">Cascadas de atención y hallazgos incidentales — 11</w:t>
      </w:r>
    </w:p>
    <w:p>
      <w:pPr>
        <w:pStyle w:val="BodyJ"/>
        <w:keepNext w:val="false"/>
        <w:numPr>
          <w:ilvl w:val="0"/>
          <w:numId w:val="5"/>
        </w:numPr>
      </w:pPr>
      <w:r>
        <w:t xml:space="preserve">Causalidad: puntos de vista de Hill — 16</w:t>
      </w:r>
    </w:p>
    <w:p>
      <w:pPr>
        <w:pStyle w:val="BodyJ"/>
        <w:keepNext w:val="false"/>
        <w:numPr>
          <w:ilvl w:val="0"/>
          <w:numId w:val="5"/>
        </w:numPr>
      </w:pPr>
      <w:r>
        <w:t xml:space="preserve">Cierre prematuro — 2, 7, CC (viñeta 6)</w:t>
      </w:r>
    </w:p>
    <w:p>
      <w:pPr>
        <w:pStyle w:val="BodyJ"/>
        <w:keepNext w:val="false"/>
        <w:numPr>
          <w:ilvl w:val="0"/>
          <w:numId w:val="5"/>
        </w:numPr>
      </w:pPr>
      <w:r>
        <w:t xml:space="preserve">Cognición distribuida — 14</w:t>
      </w:r>
    </w:p>
    <w:p>
      <w:pPr>
        <w:pStyle w:val="BodyJ"/>
        <w:keepNext w:val="false"/>
        <w:numPr>
          <w:ilvl w:val="0"/>
          <w:numId w:val="5"/>
        </w:numPr>
      </w:pPr>
      <w:r>
        <w:t xml:space="preserve">Colectivo y estilo de pensamiento (Fleck) — 16</w:t>
      </w:r>
    </w:p>
    <w:p>
      <w:pPr>
        <w:pStyle w:val="BodyJ"/>
        <w:keepNext w:val="false"/>
        <w:numPr>
          <w:ilvl w:val="0"/>
          <w:numId w:val="5"/>
        </w:numPr>
      </w:pPr>
      <w:r>
        <w:t xml:space="preserve">Colusión del anonimato (Balint) — 16</w:t>
      </w:r>
    </w:p>
    <w:p>
      <w:pPr>
        <w:pStyle w:val="BodyJ"/>
        <w:keepNext w:val="false"/>
        <w:numPr>
          <w:ilvl w:val="0"/>
          <w:numId w:val="5"/>
        </w:numPr>
      </w:pPr>
      <w:r>
        <w:t xml:space="preserve">Comparación de HII-D con otros modelos (SOAP, scripts, reflexión deliberada) — 17</w:t>
      </w:r>
    </w:p>
    <w:p>
      <w:pPr>
        <w:pStyle w:val="BodyJ"/>
        <w:keepNext w:val="false"/>
        <w:numPr>
          <w:ilvl w:val="0"/>
          <w:numId w:val="5"/>
        </w:numPr>
      </w:pPr>
      <w:r>
        <w:t xml:space="preserve">Comunicación de incertidumbre — 14, 15, CC (viñeta 5)</w:t>
      </w:r>
    </w:p>
    <w:p>
      <w:pPr>
        <w:pStyle w:val="BodyJ"/>
        <w:keepNext w:val="false"/>
        <w:numPr>
          <w:ilvl w:val="0"/>
          <w:numId w:val="5"/>
        </w:numPr>
      </w:pPr>
      <w:r>
        <w:t xml:space="preserve">Confusión en la comparación de grupos (Louis) — 16</w:t>
      </w:r>
    </w:p>
    <w:p>
      <w:pPr>
        <w:pStyle w:val="BodyJ"/>
        <w:keepNext w:val="false"/>
        <w:numPr>
          <w:ilvl w:val="0"/>
          <w:numId w:val="5"/>
        </w:numPr>
      </w:pPr>
      <w:r>
        <w:t xml:space="preserve">Conocimiento tácito — 6, 16; saber hacer y quiebre (Varela) — 6</w:t>
      </w:r>
    </w:p>
    <w:p>
      <w:pPr>
        <w:pStyle w:val="BodyJ"/>
        <w:keepNext w:val="false"/>
        <w:numPr>
          <w:ilvl w:val="0"/>
          <w:numId w:val="5"/>
        </w:numPr>
      </w:pPr>
      <w:r>
        <w:t xml:space="preserve">Contexto global del paciente (funcionalidad, pronóstico de fondo, red de apoyo) — 10, 17, Ap A</w:t>
      </w:r>
    </w:p>
    <w:p>
      <w:pPr>
        <w:pStyle w:val="BodyJ"/>
        <w:keepNext w:val="false"/>
        <w:numPr>
          <w:ilvl w:val="0"/>
          <w:numId w:val="5"/>
        </w:numPr>
      </w:pPr>
      <w:r>
        <w:t xml:space="preserve">Contrafactuales — 12</w:t>
      </w:r>
    </w:p>
    <w:p>
      <w:pPr>
        <w:pStyle w:val="BodyJ"/>
        <w:keepNext w:val="false"/>
        <w:numPr>
          <w:ilvl w:val="0"/>
          <w:numId w:val="5"/>
        </w:numPr>
      </w:pPr>
      <w:r>
        <w:t xml:space="preserve">Conversaciones para la acción (Flores y Winograd) — 14</w:t>
      </w:r>
    </w:p>
    <w:p>
      <w:pPr>
        <w:pStyle w:val="BodyJ"/>
        <w:keepNext w:val="false"/>
        <w:numPr>
          <w:ilvl w:val="0"/>
          <w:numId w:val="5"/>
        </w:numPr>
      </w:pPr>
      <w:r>
        <w:t xml:space="preserve">Copiado de notas (fósil narrativo; magnitud medida) — 13, Ap C</w:t>
      </w:r>
    </w:p>
    <w:p>
      <w:pPr>
        <w:pStyle w:val="BodyJ"/>
        <w:keepNext w:val="false"/>
        <w:numPr>
          <w:ilvl w:val="0"/>
          <w:numId w:val="5"/>
        </w:numPr>
      </w:pPr>
      <w:r>
        <w:t xml:space="preserve">Creatividad en el juicio clínico (abducción, problem setting, tercera opción) — 2, 20</w:t>
      </w:r>
    </w:p>
    <w:p>
      <w:pPr>
        <w:pStyle w:val="BodyJ"/>
        <w:keepNext w:val="false"/>
        <w:numPr>
          <w:ilvl w:val="0"/>
          <w:numId w:val="5"/>
        </w:numPr>
      </w:pPr>
      <w:r>
        <w:t xml:space="preserve">Criterio de reapertura — 8, 13, 17, Interludio III, CC (viñeta 6), Ap A, Ap C</w:t>
      </w:r>
    </w:p>
    <w:p>
      <w:pPr>
        <w:pStyle w:val="BodyJ"/>
        <w:keepNext w:val="false"/>
        <w:numPr>
          <w:ilvl w:val="0"/>
          <w:numId w:val="5"/>
        </w:numPr>
      </w:pPr>
      <w:r>
        <w:t xml:space="preserve">Cuatro tópicos (Jonsen, Siegler y Winslade) — 10, Ap A</w:t>
      </w:r>
    </w:p>
    <w:p>
      <w:pPr>
        <w:pStyle w:val="BodyJ"/>
        <w:keepNext w:val="false"/>
        <w:numPr>
          <w:ilvl w:val="0"/>
          <w:numId w:val="5"/>
        </w:numPr>
      </w:pPr>
      <w:r>
        <w:t xml:space="preserve">Debate sobre la enseñanza del razonamiento (Croskerry vs. Norman/Monteiro) — 18</w:t>
      </w:r>
    </w:p>
    <w:p>
      <w:pPr>
        <w:pStyle w:val="BodyJ"/>
        <w:keepNext w:val="false"/>
        <w:numPr>
          <w:ilvl w:val="0"/>
          <w:numId w:val="5"/>
        </w:numPr>
      </w:pPr>
      <w:r>
        <w:t xml:space="preserve">Decisión compartida — 15, Interludio III</w:t>
      </w:r>
    </w:p>
    <w:p>
      <w:pPr>
        <w:pStyle w:val="BodyJ"/>
        <w:keepNext w:val="false"/>
        <w:numPr>
          <w:ilvl w:val="0"/>
          <w:numId w:val="5"/>
        </w:numPr>
      </w:pPr>
      <w:r>
        <w:t xml:space="preserve">Deliberación moral (Gracia) — 10</w:t>
      </w:r>
    </w:p>
    <w:p>
      <w:pPr>
        <w:pStyle w:val="BodyJ"/>
        <w:keepNext w:val="false"/>
        <w:numPr>
          <w:ilvl w:val="0"/>
          <w:numId w:val="5"/>
        </w:numPr>
      </w:pPr>
      <w:r>
        <w:t xml:space="preserve">Densidad epistémica — 4; seis dimensiones de auditoría — 4, Ap B</w:t>
      </w:r>
    </w:p>
    <w:p>
      <w:pPr>
        <w:pStyle w:val="BodyJ"/>
        <w:keepNext w:val="false"/>
        <w:numPr>
          <w:ilvl w:val="0"/>
          <w:numId w:val="5"/>
        </w:numPr>
      </w:pPr>
      <w:r>
        <w:t xml:space="preserve">Desaceleración selectiva — 8, Interludio II; disparadores, incluido el estado del razonador — 8</w:t>
      </w:r>
    </w:p>
    <w:p>
      <w:pPr>
        <w:pStyle w:val="BodyJ"/>
        <w:keepNext w:val="false"/>
        <w:numPr>
          <w:ilvl w:val="0"/>
          <w:numId w:val="5"/>
        </w:numPr>
      </w:pPr>
      <w:r>
        <w:t xml:space="preserve">Desacuerdo clínico — 14, Interludio III</w:t>
      </w:r>
    </w:p>
    <w:p>
      <w:pPr>
        <w:pStyle w:val="BodyJ"/>
        <w:keepNext w:val="false"/>
        <w:numPr>
          <w:ilvl w:val="0"/>
          <w:numId w:val="5"/>
        </w:numPr>
      </w:pPr>
      <w:r>
        <w:t xml:space="preserve">Doble proceso — 6</w:t>
      </w:r>
    </w:p>
    <w:p>
      <w:pPr>
        <w:pStyle w:val="BodyJ"/>
        <w:keepNext w:val="false"/>
        <w:numPr>
          <w:ilvl w:val="0"/>
          <w:numId w:val="5"/>
        </w:numPr>
      </w:pPr>
      <w:r>
        <w:t xml:space="preserve">Documentación defensiva — 15</w:t>
      </w:r>
    </w:p>
    <w:p>
      <w:pPr>
        <w:pStyle w:val="BodyJ"/>
        <w:keepNext w:val="false"/>
        <w:numPr>
          <w:ilvl w:val="0"/>
          <w:numId w:val="5"/>
        </w:numPr>
      </w:pPr>
      <w:r>
        <w:t xml:space="preserve">Ecografía tiroidea con examen normal — 11</w:t>
      </w:r>
    </w:p>
    <w:p>
      <w:pPr>
        <w:pStyle w:val="BodyJ"/>
        <w:keepNext w:val="false"/>
        <w:numPr>
          <w:ilvl w:val="0"/>
          <w:numId w:val="5"/>
        </w:numPr>
      </w:pPr>
      <w:r>
        <w:t xml:space="preserve">Empíricos y racionalistas (Galeno) — 16</w:t>
      </w:r>
    </w:p>
    <w:p>
      <w:pPr>
        <w:pStyle w:val="BodyJ"/>
        <w:keepNext w:val="false"/>
        <w:numPr>
          <w:ilvl w:val="0"/>
          <w:numId w:val="5"/>
        </w:numPr>
      </w:pPr>
      <w:r>
        <w:t xml:space="preserve">Ensombrecimiento diagnóstico — CC (viñeta 8)</w:t>
      </w:r>
    </w:p>
    <w:p>
      <w:pPr>
        <w:pStyle w:val="BodyJ"/>
        <w:keepNext w:val="false"/>
        <w:numPr>
          <w:ilvl w:val="0"/>
          <w:numId w:val="5"/>
        </w:numPr>
      </w:pPr>
      <w:r>
        <w:t xml:space="preserve">Error diagnóstico: magnitud medida y estimada — 7</w:t>
      </w:r>
    </w:p>
    <w:p>
      <w:pPr>
        <w:pStyle w:val="BodyJ"/>
        <w:keepNext w:val="false"/>
        <w:numPr>
          <w:ilvl w:val="0"/>
          <w:numId w:val="5"/>
        </w:numPr>
      </w:pPr>
      <w:r>
        <w:t xml:space="preserve">Errores asimétricos — 10, CC (viñeta 3)</w:t>
      </w:r>
    </w:p>
    <w:p>
      <w:pPr>
        <w:pStyle w:val="BodyJ"/>
        <w:keepNext w:val="false"/>
        <w:numPr>
          <w:ilvl w:val="0"/>
          <w:numId w:val="5"/>
        </w:numPr>
      </w:pPr>
      <w:r>
        <w:t xml:space="preserve">Errores típicos en los talleres — Ap D</w:t>
      </w:r>
    </w:p>
    <w:p>
      <w:pPr>
        <w:pStyle w:val="BodyJ"/>
        <w:keepNext w:val="false"/>
        <w:numPr>
          <w:ilvl w:val="0"/>
          <w:numId w:val="5"/>
        </w:numPr>
      </w:pPr>
      <w:r>
        <w:t xml:space="preserve">Escribas ambientales (regla «la capa H, verificada; la capa D, no») — 19</w:t>
      </w:r>
    </w:p>
    <w:p>
      <w:pPr>
        <w:pStyle w:val="BodyJ"/>
        <w:keepNext w:val="false"/>
        <w:numPr>
          <w:ilvl w:val="0"/>
          <w:numId w:val="5"/>
        </w:numPr>
      </w:pPr>
      <w:r>
        <w:t xml:space="preserve">Estado de verificación de un diagnóstico en la ficha electrónica — 13</w:t>
      </w:r>
    </w:p>
    <w:p>
      <w:pPr>
        <w:pStyle w:val="BodyJ"/>
        <w:keepNext w:val="false"/>
        <w:numPr>
          <w:ilvl w:val="0"/>
          <w:numId w:val="5"/>
        </w:numPr>
      </w:pPr>
      <w:r>
        <w:t xml:space="preserve">Estado del razonador (esfuerzo, sueño, ánimo; turnos como condición epistémica) — 8, 18, Ap A</w:t>
      </w:r>
    </w:p>
    <w:p>
      <w:pPr>
        <w:pStyle w:val="BodyJ"/>
        <w:keepNext w:val="false"/>
        <w:numPr>
          <w:ilvl w:val="0"/>
          <w:numId w:val="5"/>
        </w:numPr>
      </w:pPr>
      <w:r>
        <w:t xml:space="preserve">Ética de la creencia (Clifford); pensar bien como deber primordial — 15, C</w:t>
      </w:r>
    </w:p>
    <w:p>
      <w:pPr>
        <w:pStyle w:val="BodyJ"/>
        <w:keepNext w:val="false"/>
        <w:numPr>
          <w:ilvl w:val="0"/>
          <w:numId w:val="5"/>
        </w:numPr>
      </w:pPr>
      <w:r>
        <w:t xml:space="preserve">Evidencia poblacional y particularización — 9; la objeción de Bernard a los promedios — 16</w:t>
      </w:r>
    </w:p>
    <w:p>
      <w:pPr>
        <w:pStyle w:val="BodyJ"/>
        <w:keepNext w:val="false"/>
        <w:numPr>
          <w:ilvl w:val="0"/>
          <w:numId w:val="5"/>
        </w:numPr>
      </w:pPr>
      <w:r>
        <w:t xml:space="preserve">Exámenes para tranquilizar — 11</w:t>
      </w:r>
    </w:p>
    <w:p>
      <w:pPr>
        <w:pStyle w:val="BodyJ"/>
        <w:keepNext w:val="false"/>
        <w:numPr>
          <w:ilvl w:val="0"/>
          <w:numId w:val="5"/>
        </w:numPr>
      </w:pPr>
      <w:r>
        <w:t xml:space="preserve">Experimento natural de las dos clínicas de Viena (Semmelweis) — 16</w:t>
      </w:r>
    </w:p>
    <w:p>
      <w:pPr>
        <w:pStyle w:val="BodyJ"/>
        <w:keepNext w:val="false"/>
        <w:numPr>
          <w:ilvl w:val="0"/>
          <w:numId w:val="5"/>
        </w:numPr>
      </w:pPr>
      <w:r>
        <w:t xml:space="preserve">Falsabilidad del método HII-D — 17</w:t>
      </w:r>
    </w:p>
    <w:p>
      <w:pPr>
        <w:pStyle w:val="BodyJ"/>
        <w:keepNext w:val="false"/>
        <w:numPr>
          <w:ilvl w:val="0"/>
          <w:numId w:val="5"/>
        </w:numPr>
      </w:pPr>
      <w:r>
        <w:t xml:space="preserve">Feedback diagnóstico — 5, 18, Ap C</w:t>
      </w:r>
    </w:p>
    <w:p>
      <w:pPr>
        <w:pStyle w:val="BodyJ"/>
        <w:keepNext w:val="false"/>
        <w:numPr>
          <w:ilvl w:val="0"/>
          <w:numId w:val="5"/>
        </w:numPr>
      </w:pPr>
      <w:r>
        <w:t xml:space="preserve">Ficha como dispositivo que produce lo visible (Foucault) — 13</w:t>
      </w:r>
    </w:p>
    <w:p>
      <w:pPr>
        <w:pStyle w:val="BodyJ"/>
        <w:keepNext w:val="false"/>
        <w:numPr>
          <w:ilvl w:val="0"/>
          <w:numId w:val="5"/>
        </w:numPr>
      </w:pPr>
      <w:r>
        <w:t xml:space="preserve">Ficha de proceso vs. ficha de resultados (los verbos del razonamiento) — 13, Ap D</w:t>
      </w:r>
    </w:p>
    <w:p>
      <w:pPr>
        <w:pStyle w:val="BodyJ"/>
        <w:keepNext w:val="false"/>
        <w:numPr>
          <w:ilvl w:val="0"/>
          <w:numId w:val="5"/>
        </w:numPr>
      </w:pPr>
      <w:r>
        <w:t xml:space="preserve">Fichas clínicas y plantillas — 13, 18, Ap C; ficha electrónica pensada desde HII-D — 13</w:t>
      </w:r>
    </w:p>
    <w:p>
      <w:pPr>
        <w:pStyle w:val="BodyJ"/>
        <w:keepNext w:val="false"/>
        <w:numPr>
          <w:ilvl w:val="0"/>
          <w:numId w:val="5"/>
        </w:numPr>
      </w:pPr>
      <w:r>
        <w:t xml:space="preserve">Formación clínica en la era de la IA (deskilling, never-skilling, mis-skilling) — 19</w:t>
      </w:r>
    </w:p>
    <w:p>
      <w:pPr>
        <w:pStyle w:val="BodyJ"/>
        <w:keepNext w:val="false"/>
        <w:numPr>
          <w:ilvl w:val="0"/>
          <w:numId w:val="5"/>
        </w:numPr>
      </w:pPr>
      <w:r>
        <w:t xml:space="preserve">Fragilidad y funcionalidad como hechos clínicos — 10, 17, Ap A</w:t>
      </w:r>
    </w:p>
    <w:p>
      <w:pPr>
        <w:pStyle w:val="BodyJ"/>
        <w:keepNext w:val="false"/>
        <w:numPr>
          <w:ilvl w:val="0"/>
          <w:numId w:val="5"/>
        </w:numPr>
      </w:pPr>
      <w:r>
        <w:t xml:space="preserve">Frase medular — 4, 13, C, CC (todas las viñetas); como argumento de Toulmin — 4</w:t>
      </w:r>
    </w:p>
    <w:p>
      <w:pPr>
        <w:pStyle w:val="BodyJ"/>
        <w:keepNext w:val="false"/>
        <w:numPr>
          <w:ilvl w:val="0"/>
          <w:numId w:val="5"/>
        </w:numPr>
      </w:pPr>
      <w:r>
        <w:t xml:space="preserve">Frecuencias naturales — 2, 10</w:t>
      </w:r>
    </w:p>
    <w:p>
      <w:pPr>
        <w:pStyle w:val="BodyJ"/>
        <w:keepNext w:val="false"/>
        <w:numPr>
          <w:ilvl w:val="0"/>
          <w:numId w:val="5"/>
        </w:numPr>
      </w:pPr>
      <w:r>
        <w:t xml:space="preserve">Fuentes del hecho clínico (matriz de procedencia) — 1</w:t>
      </w:r>
    </w:p>
    <w:p>
      <w:pPr>
        <w:pStyle w:val="BodyJ"/>
        <w:keepNext w:val="false"/>
        <w:numPr>
          <w:ilvl w:val="0"/>
          <w:numId w:val="5"/>
        </w:numPr>
      </w:pPr>
      <w:r>
        <w:t xml:space="preserve">Genealogía del razonamiento clínico — 16</w:t>
      </w:r>
    </w:p>
    <w:p>
      <w:pPr>
        <w:pStyle w:val="BodyJ"/>
        <w:keepNext w:val="false"/>
        <w:numPr>
          <w:ilvl w:val="0"/>
          <w:numId w:val="5"/>
        </w:numPr>
      </w:pPr>
      <w:r>
        <w:t xml:space="preserve">Grados de facticidad — 1</w:t>
      </w:r>
    </w:p>
    <w:p>
      <w:pPr>
        <w:pStyle w:val="BodyJ"/>
        <w:keepNext w:val="false"/>
        <w:numPr>
          <w:ilvl w:val="0"/>
          <w:numId w:val="5"/>
        </w:numPr>
      </w:pPr>
      <w:r>
        <w:t xml:space="preserve">Hecho como estatus provisional (frontera hecho/inferencia) — 1</w:t>
      </w:r>
    </w:p>
    <w:p>
      <w:pPr>
        <w:pStyle w:val="BodyJ"/>
        <w:keepNext w:val="false"/>
        <w:numPr>
          <w:ilvl w:val="0"/>
          <w:numId w:val="5"/>
        </w:numPr>
      </w:pPr>
      <w:r>
        <w:t xml:space="preserve">HII-D (método) — 13, 17, Ap A; auditoría de IA con — 19</w:t>
      </w:r>
    </w:p>
    <w:p>
      <w:pPr>
        <w:pStyle w:val="BodyJ"/>
        <w:keepNext w:val="false"/>
        <w:numPr>
          <w:ilvl w:val="0"/>
          <w:numId w:val="5"/>
        </w:numPr>
      </w:pPr>
      <w:r>
        <w:t xml:space="preserve">Hindsight bias — 8, 12, 18, CC (viñeta 6)</w:t>
      </w:r>
    </w:p>
    <w:p>
      <w:pPr>
        <w:pStyle w:val="BodyJ"/>
        <w:keepNext w:val="false"/>
        <w:numPr>
          <w:ilvl w:val="0"/>
          <w:numId w:val="5"/>
        </w:numPr>
      </w:pPr>
      <w:r>
        <w:t xml:space="preserve">Hipótesis puesta a prueba y contraprueba (Bernard) — 16</w:t>
      </w:r>
    </w:p>
    <w:p>
      <w:pPr>
        <w:pStyle w:val="BodyJ"/>
        <w:keepNext w:val="false"/>
        <w:numPr>
          <w:ilvl w:val="0"/>
          <w:numId w:val="5"/>
        </w:numPr>
      </w:pPr>
      <w:r>
        <w:t xml:space="preserve">Hoja de ruta para el docente (talleres por nivel) — Ap C</w:t>
      </w:r>
    </w:p>
    <w:p>
      <w:pPr>
        <w:pStyle w:val="BodyJ"/>
        <w:keepNext w:val="false"/>
        <w:numPr>
          <w:ilvl w:val="0"/>
          <w:numId w:val="5"/>
        </w:numPr>
      </w:pPr>
      <w:r>
        <w:t xml:space="preserve">Humildad epistémica como motor (explorar, aprender, reenfocar) — 15</w:t>
      </w:r>
    </w:p>
    <w:p>
      <w:pPr>
        <w:pStyle w:val="BodyJ"/>
        <w:keepNext w:val="false"/>
        <w:numPr>
          <w:ilvl w:val="0"/>
          <w:numId w:val="5"/>
        </w:numPr>
      </w:pPr>
      <w:r>
        <w:t xml:space="preserve">Illness scripts — 2, 6, 18</w:t>
      </w:r>
    </w:p>
    <w:p>
      <w:pPr>
        <w:pStyle w:val="BodyJ"/>
        <w:keepNext w:val="false"/>
        <w:numPr>
          <w:ilvl w:val="0"/>
          <w:numId w:val="5"/>
        </w:numPr>
      </w:pPr>
      <w:r>
        <w:t xml:space="preserve">Improvisación y saber hacer (jazz; Limb y Braun) — 6</w:t>
      </w:r>
    </w:p>
    <w:p>
      <w:pPr>
        <w:pStyle w:val="BodyJ"/>
        <w:keepNext w:val="false"/>
        <w:numPr>
          <w:ilvl w:val="0"/>
          <w:numId w:val="5"/>
        </w:numPr>
      </w:pPr>
      <w:r>
        <w:t xml:space="preserve">Incertidumbre que conviene dejar — 3, 11</w:t>
      </w:r>
    </w:p>
    <w:p>
      <w:pPr>
        <w:pStyle w:val="BodyJ"/>
        <w:keepNext w:val="false"/>
        <w:numPr>
          <w:ilvl w:val="0"/>
          <w:numId w:val="5"/>
        </w:numPr>
      </w:pPr>
      <w:r>
        <w:t xml:space="preserve">Incertidumbre: taxonomía y cartografía — 3; epistémica y aleatoria — 3; knightiana — 3</w:t>
      </w:r>
    </w:p>
    <w:p>
      <w:pPr>
        <w:pStyle w:val="BodyJ"/>
        <w:keepNext w:val="false"/>
        <w:numPr>
          <w:ilvl w:val="0"/>
          <w:numId w:val="5"/>
        </w:numPr>
      </w:pPr>
      <w:r>
        <w:t xml:space="preserve">Injusticia epistémica — 15, CC (viñetas 6 y 8)</w:t>
      </w:r>
    </w:p>
    <w:p>
      <w:pPr>
        <w:pStyle w:val="BodyJ"/>
        <w:keepNext w:val="false"/>
        <w:numPr>
          <w:ilvl w:val="0"/>
          <w:numId w:val="5"/>
        </w:numPr>
      </w:pPr>
      <w:r>
        <w:t xml:space="preserve">Inteligencia artificial: rol diagnóstico y terapéutico, catálogo de riesgos, defensas — 19</w:t>
      </w:r>
    </w:p>
    <w:p>
      <w:pPr>
        <w:pStyle w:val="BodyJ"/>
        <w:keepNext w:val="false"/>
        <w:numPr>
          <w:ilvl w:val="0"/>
          <w:numId w:val="5"/>
        </w:numPr>
      </w:pPr>
      <w:r>
        <w:t xml:space="preserve">Intuición experta — 5, 6, Interludio II</w:t>
      </w:r>
    </w:p>
    <w:p>
      <w:pPr>
        <w:pStyle w:val="BodyJ"/>
        <w:keepNext w:val="false"/>
        <w:numPr>
          <w:ilvl w:val="0"/>
          <w:numId w:val="5"/>
        </w:numPr>
      </w:pPr>
      <w:r>
        <w:t xml:space="preserve">Lectura de ensayos clínicos (significación, reanálisis bayesiano, saga ANDROMEDA) — 9</w:t>
      </w:r>
    </w:p>
    <w:p>
      <w:pPr>
        <w:pStyle w:val="BodyJ"/>
        <w:keepNext w:val="false"/>
        <w:numPr>
          <w:ilvl w:val="0"/>
          <w:numId w:val="5"/>
        </w:numPr>
      </w:pPr>
      <w:r>
        <w:t xml:space="preserve">Léxico de certeza — 4, Ap B; sus precedentes (Kent, radiología) — 17</w:t>
      </w:r>
    </w:p>
    <w:p>
      <w:pPr>
        <w:pStyle w:val="BodyJ"/>
        <w:keepNext w:val="false"/>
        <w:numPr>
          <w:ilvl w:val="0"/>
          <w:numId w:val="5"/>
        </w:numPr>
      </w:pPr>
      <w:r>
        <w:t xml:space="preserve">Lógica, probabilidad y valor en el diagnóstico (Ledley y Lusted) — 16</w:t>
      </w:r>
    </w:p>
    <w:p>
      <w:pPr>
        <w:pStyle w:val="BodyJ"/>
        <w:keepNext w:val="false"/>
        <w:numPr>
          <w:ilvl w:val="0"/>
          <w:numId w:val="5"/>
        </w:numPr>
      </w:pPr>
      <w:r>
        <w:t xml:space="preserve">Marcador y enfermedad (lactato, perfusión, ANDROMEDA-SHOCK) — 1, 9</w:t>
      </w:r>
    </w:p>
    <w:p>
      <w:pPr>
        <w:pStyle w:val="BodyJ"/>
        <w:keepNext w:val="false"/>
        <w:numPr>
          <w:ilvl w:val="0"/>
          <w:numId w:val="5"/>
        </w:numPr>
      </w:pPr>
      <w:r>
        <w:t xml:space="preserve">Medicina basada en evidencia — 9</w:t>
      </w:r>
    </w:p>
    <w:p>
      <w:pPr>
        <w:pStyle w:val="BodyJ"/>
        <w:keepNext w:val="false"/>
        <w:numPr>
          <w:ilvl w:val="0"/>
          <w:numId w:val="5"/>
        </w:numPr>
      </w:pPr>
      <w:r>
        <w:t xml:space="preserve">Médico como medicamento (Balint) — 16</w:t>
      </w:r>
    </w:p>
    <w:p>
      <w:pPr>
        <w:pStyle w:val="BodyJ"/>
        <w:keepNext w:val="false"/>
        <w:numPr>
          <w:ilvl w:val="0"/>
          <w:numId w:val="5"/>
        </w:numPr>
      </w:pPr>
      <w:r>
        <w:t xml:space="preserve">Mente del principiante (Zen, shoshin) — 8</w:t>
      </w:r>
    </w:p>
    <w:p>
      <w:pPr>
        <w:pStyle w:val="BodyJ"/>
        <w:keepNext w:val="false"/>
        <w:numPr>
          <w:ilvl w:val="0"/>
          <w:numId w:val="5"/>
        </w:numPr>
      </w:pPr>
      <w:r>
        <w:t xml:space="preserve">Meta-d′ y medición de la metacognición — 5</w:t>
      </w:r>
    </w:p>
    <w:p>
      <w:pPr>
        <w:pStyle w:val="BodyJ"/>
        <w:keepNext w:val="false"/>
        <w:numPr>
          <w:ilvl w:val="0"/>
          <w:numId w:val="5"/>
        </w:numPr>
      </w:pPr>
      <w:r>
        <w:t xml:space="preserve">Metacognición: definición y niveles — Int, 5; monitoreo y control — 5; social (señales del equipo y del paciente) — 5, 14; sensibilidad vs. sesgo — Int, 5; auditoría de salidas de IA — 19</w:t>
      </w:r>
    </w:p>
    <w:p>
      <w:pPr>
        <w:pStyle w:val="BodyJ"/>
        <w:keepNext w:val="false"/>
        <w:numPr>
          <w:ilvl w:val="0"/>
          <w:numId w:val="5"/>
        </w:numPr>
      </w:pPr>
      <w:r>
        <w:t xml:space="preserve">Método numérico (Louis) — 16</w:t>
      </w:r>
    </w:p>
    <w:p>
      <w:pPr>
        <w:pStyle w:val="BodyJ"/>
        <w:keepNext w:val="false"/>
        <w:numPr>
          <w:ilvl w:val="0"/>
          <w:numId w:val="5"/>
        </w:numPr>
      </w:pPr>
      <w:r>
        <w:t xml:space="preserve">Miedo y decisión (documentación defensiva, sobreestudio) — 3, 15</w:t>
      </w:r>
    </w:p>
    <w:p>
      <w:pPr>
        <w:pStyle w:val="BodyJ"/>
        <w:keepNext w:val="false"/>
        <w:numPr>
          <w:ilvl w:val="0"/>
          <w:numId w:val="5"/>
        </w:numPr>
      </w:pPr>
      <w:r>
        <w:t xml:space="preserve">Modelo biopsicosocial (Engel) — 16</w:t>
      </w:r>
    </w:p>
    <w:p>
      <w:pPr>
        <w:pStyle w:val="BodyJ"/>
        <w:keepNext w:val="false"/>
        <w:numPr>
          <w:ilvl w:val="0"/>
          <w:numId w:val="5"/>
        </w:numPr>
      </w:pPr>
      <w:r>
        <w:t xml:space="preserve">Modelo de Toulmin (dato, garantía, calificador, refutación) — 4</w:t>
      </w:r>
    </w:p>
    <w:p>
      <w:pPr>
        <w:pStyle w:val="BodyJ"/>
        <w:keepNext w:val="false"/>
        <w:numPr>
          <w:ilvl w:val="0"/>
          <w:numId w:val="5"/>
        </w:numPr>
      </w:pPr>
      <w:r>
        <w:t xml:space="preserve">Nota clínica generada por IA (degradación del registro) — 19</w:t>
      </w:r>
    </w:p>
    <w:p>
      <w:pPr>
        <w:pStyle w:val="BodyJ"/>
        <w:keepNext w:val="false"/>
        <w:numPr>
          <w:ilvl w:val="0"/>
          <w:numId w:val="5"/>
        </w:numPr>
      </w:pPr>
      <w:r>
        <w:t xml:space="preserve">Nota de enfermería como hecho clínico — 14</w:t>
      </w:r>
    </w:p>
    <w:p>
      <w:pPr>
        <w:pStyle w:val="BodyJ"/>
        <w:keepNext w:val="false"/>
        <w:numPr>
          <w:ilvl w:val="0"/>
          <w:numId w:val="5"/>
        </w:numPr>
      </w:pPr>
      <w:r>
        <w:t xml:space="preserve">Objetividad entre paréntesis y observador (Maturana) — 1; emociones como dominio de acción — 8</w:t>
      </w:r>
    </w:p>
    <w:p>
      <w:pPr>
        <w:pStyle w:val="BodyJ"/>
        <w:keepNext w:val="false"/>
        <w:numPr>
          <w:ilvl w:val="0"/>
          <w:numId w:val="5"/>
        </w:numPr>
      </w:pPr>
      <w:r>
        <w:t xml:space="preserve">Observación activa — 12, Ap D</w:t>
      </w:r>
    </w:p>
    <w:p>
      <w:pPr>
        <w:pStyle w:val="BodyJ"/>
        <w:keepNext w:val="false"/>
        <w:numPr>
          <w:ilvl w:val="0"/>
          <w:numId w:val="5"/>
        </w:numPr>
      </w:pPr>
      <w:r>
        <w:t xml:space="preserve">Originalidad de las ideas clínicas (precedentes y procedimientos) — 16</w:t>
      </w:r>
    </w:p>
    <w:p>
      <w:pPr>
        <w:pStyle w:val="BodyJ"/>
        <w:keepNext w:val="false"/>
        <w:numPr>
          <w:ilvl w:val="0"/>
          <w:numId w:val="5"/>
        </w:numPr>
      </w:pPr>
      <w:r>
        <w:t xml:space="preserve">Paradoja de la automatización — 19</w:t>
      </w:r>
    </w:p>
    <w:p>
      <w:pPr>
        <w:pStyle w:val="BodyJ"/>
        <w:keepNext w:val="false"/>
        <w:numPr>
          <w:ilvl w:val="0"/>
          <w:numId w:val="5"/>
        </w:numPr>
      </w:pPr>
      <w:r>
        <w:t xml:space="preserve">Pausa diagnóstica — 8, 18, Ap B, Ap C</w:t>
      </w:r>
    </w:p>
    <w:p>
      <w:pPr>
        <w:pStyle w:val="BodyJ"/>
        <w:keepNext w:val="false"/>
        <w:numPr>
          <w:ilvl w:val="0"/>
          <w:numId w:val="5"/>
        </w:numPr>
      </w:pPr>
      <w:r>
        <w:t xml:space="preserve">Pericia y práctica deliberada — 6</w:t>
      </w:r>
    </w:p>
    <w:p>
      <w:pPr>
        <w:pStyle w:val="BodyJ"/>
        <w:keepNext w:val="false"/>
        <w:numPr>
          <w:ilvl w:val="0"/>
          <w:numId w:val="5"/>
        </w:numPr>
      </w:pPr>
      <w:r>
        <w:t xml:space="preserve">Phronesis — 6, 15</w:t>
      </w:r>
    </w:p>
    <w:p>
      <w:pPr>
        <w:pStyle w:val="BodyJ"/>
        <w:keepNext w:val="false"/>
        <w:numPr>
          <w:ilvl w:val="0"/>
          <w:numId w:val="5"/>
        </w:numPr>
      </w:pPr>
      <w:r>
        <w:t xml:space="preserve">Poesía y juicio clínico (Huidobro, Parra; belleza como señal y trampa) — 20</w:t>
      </w:r>
    </w:p>
    <w:p>
      <w:pPr>
        <w:pStyle w:val="BodyJ"/>
        <w:keepNext w:val="false"/>
        <w:numPr>
          <w:ilvl w:val="0"/>
          <w:numId w:val="5"/>
        </w:numPr>
      </w:pPr>
      <w:r>
        <w:t xml:space="preserve">Portafolio de calibración — 5, 8, 15, 18, Ap C, Ap D</w:t>
      </w:r>
    </w:p>
    <w:p>
      <w:pPr>
        <w:pStyle w:val="BodyJ"/>
        <w:keepNext w:val="false"/>
        <w:numPr>
          <w:ilvl w:val="0"/>
          <w:numId w:val="5"/>
        </w:numPr>
      </w:pPr>
      <w:r>
        <w:t xml:space="preserve">Preguntas para la próxima visita (reunidas) — Ap E</w:t>
      </w:r>
    </w:p>
    <w:p>
      <w:pPr>
        <w:pStyle w:val="BodyJ"/>
        <w:keepNext w:val="false"/>
        <w:numPr>
          <w:ilvl w:val="0"/>
          <w:numId w:val="5"/>
        </w:numPr>
      </w:pPr>
      <w:r>
        <w:t xml:space="preserve">Primum non nocere (origen de la fórmula) — 16</w:t>
      </w:r>
    </w:p>
    <w:p>
      <w:pPr>
        <w:pStyle w:val="BodyJ"/>
        <w:keepNext w:val="false"/>
        <w:numPr>
          <w:ilvl w:val="0"/>
          <w:numId w:val="5"/>
        </w:numPr>
      </w:pPr>
      <w:r>
        <w:t xml:space="preserve">Probabilidad como guía del juicio («este eterno quizás», Osler) — 16</w:t>
      </w:r>
    </w:p>
    <w:p>
      <w:pPr>
        <w:pStyle w:val="BodyJ"/>
        <w:keepNext w:val="false"/>
        <w:numPr>
          <w:ilvl w:val="0"/>
          <w:numId w:val="5"/>
        </w:numPr>
      </w:pPr>
      <w:r>
        <w:t xml:space="preserve">Pronóstico e incertidumbre de plazo — CC (viñeta 5)</w:t>
      </w:r>
    </w:p>
    <w:p>
      <w:pPr>
        <w:pStyle w:val="BodyJ"/>
        <w:keepNext w:val="false"/>
        <w:numPr>
          <w:ilvl w:val="0"/>
          <w:numId w:val="5"/>
        </w:numPr>
      </w:pPr>
      <w:r>
        <w:t xml:space="preserve">Proporcionalidad terapéutica (Taboada) — 10, 17, CC (viñeta 5)</w:t>
      </w:r>
    </w:p>
    <w:p>
      <w:pPr>
        <w:pStyle w:val="BodyJ"/>
        <w:keepNext w:val="false"/>
        <w:numPr>
          <w:ilvl w:val="0"/>
          <w:numId w:val="5"/>
        </w:numPr>
      </w:pPr>
      <w:r>
        <w:t xml:space="preserve">Proteína C reactiva: cinética y lectura temporal — 12, 13</w:t>
      </w:r>
    </w:p>
    <w:p>
      <w:pPr>
        <w:pStyle w:val="BodyJ"/>
        <w:keepNext w:val="false"/>
        <w:numPr>
          <w:ilvl w:val="0"/>
          <w:numId w:val="5"/>
        </w:numPr>
      </w:pPr>
      <w:r>
        <w:t xml:space="preserve">Prueba de Parra (taller del capítulo 20) — Ap D</w:t>
      </w:r>
    </w:p>
    <w:p>
      <w:pPr>
        <w:pStyle w:val="BodyJ"/>
        <w:keepNext w:val="false"/>
        <w:numPr>
          <w:ilvl w:val="0"/>
          <w:numId w:val="5"/>
        </w:numPr>
      </w:pPr>
      <w:r>
        <w:t xml:space="preserve">Pruebas severas (Popper) — 2</w:t>
      </w:r>
    </w:p>
    <w:p>
      <w:pPr>
        <w:pStyle w:val="BodyJ"/>
        <w:keepNext w:val="false"/>
        <w:numPr>
          <w:ilvl w:val="0"/>
          <w:numId w:val="5"/>
        </w:numPr>
      </w:pPr>
      <w:r>
        <w:t xml:space="preserve">Puntos de inflexión — 12, Interludio III</w:t>
      </w:r>
    </w:p>
    <w:p>
      <w:pPr>
        <w:pStyle w:val="BodyJ"/>
        <w:keepNext w:val="false"/>
        <w:numPr>
          <w:ilvl w:val="0"/>
          <w:numId w:val="5"/>
        </w:numPr>
      </w:pPr>
      <w:r>
        <w:t xml:space="preserve">Red de seguridad (safety-netting) — 12, CC (viñetas 3, 4 y 7)</w:t>
      </w:r>
    </w:p>
    <w:p>
      <w:pPr>
        <w:pStyle w:val="BodyJ"/>
        <w:keepNext w:val="false"/>
        <w:numPr>
          <w:ilvl w:val="0"/>
          <w:numId w:val="5"/>
        </w:numPr>
      </w:pPr>
      <w:r>
        <w:t xml:space="preserve">Reglas de decisión clínica (PERC) y umbral — CC (viñeta 6)</w:t>
      </w:r>
    </w:p>
    <w:p>
      <w:pPr>
        <w:pStyle w:val="BodyJ"/>
        <w:keepNext w:val="false"/>
        <w:numPr>
          <w:ilvl w:val="0"/>
          <w:numId w:val="5"/>
        </w:numPr>
      </w:pPr>
      <w:r>
        <w:t xml:space="preserve">Representación del problema — Int, 2, 8, 18</w:t>
      </w:r>
    </w:p>
    <w:p>
      <w:pPr>
        <w:pStyle w:val="BodyJ"/>
        <w:keepNext w:val="false"/>
        <w:numPr>
          <w:ilvl w:val="0"/>
          <w:numId w:val="5"/>
        </w:numPr>
      </w:pPr>
      <w:r>
        <w:t xml:space="preserve">Riesgo inductivo (Rudner, Douglas) — 10</w:t>
      </w:r>
    </w:p>
    <w:p>
      <w:pPr>
        <w:pStyle w:val="BodyJ"/>
        <w:keepNext w:val="false"/>
        <w:numPr>
          <w:ilvl w:val="0"/>
          <w:numId w:val="5"/>
        </w:numPr>
      </w:pPr>
      <w:r>
        <w:t xml:space="preserve">Segunda víctima — 15</w:t>
      </w:r>
    </w:p>
    <w:p>
      <w:pPr>
        <w:pStyle w:val="BodyJ"/>
        <w:keepNext w:val="false"/>
        <w:numPr>
          <w:ilvl w:val="0"/>
          <w:numId w:val="5"/>
        </w:numPr>
      </w:pPr>
      <w:r>
        <w:t xml:space="preserve">Segundo lector — 5, 8, 19</w:t>
      </w:r>
    </w:p>
    <w:p>
      <w:pPr>
        <w:pStyle w:val="BodyJ"/>
        <w:keepNext w:val="false"/>
        <w:numPr>
          <w:ilvl w:val="0"/>
          <w:numId w:val="5"/>
        </w:numPr>
      </w:pPr>
      <w:r>
        <w:t xml:space="preserve">Sesgo algorítmico (Obermeyer) — 19</w:t>
      </w:r>
    </w:p>
    <w:p>
      <w:pPr>
        <w:pStyle w:val="BodyJ"/>
        <w:keepNext w:val="false"/>
        <w:numPr>
          <w:ilvl w:val="0"/>
          <w:numId w:val="5"/>
        </w:numPr>
      </w:pPr>
      <w:r>
        <w:t xml:space="preserve">Sesgo de automatización (Goddard) — 19</w:t>
      </w:r>
    </w:p>
    <w:p>
      <w:pPr>
        <w:pStyle w:val="BodyJ"/>
        <w:keepNext w:val="false"/>
        <w:numPr>
          <w:ilvl w:val="0"/>
          <w:numId w:val="5"/>
        </w:numPr>
      </w:pPr>
      <w:r>
        <w:t xml:space="preserve">Sesgos cognitivos: alcance y límites del vocabulario — 7</w:t>
      </w:r>
    </w:p>
    <w:p>
      <w:pPr>
        <w:pStyle w:val="BodyJ"/>
        <w:keepNext w:val="false"/>
        <w:numPr>
          <w:ilvl w:val="0"/>
          <w:numId w:val="5"/>
        </w:numPr>
      </w:pPr>
      <w:r>
        <w:t xml:space="preserve">Sobreconfianza — 5, 7</w:t>
      </w:r>
    </w:p>
    <w:p>
      <w:pPr>
        <w:pStyle w:val="BodyJ"/>
        <w:keepNext w:val="false"/>
        <w:numPr>
          <w:ilvl w:val="0"/>
          <w:numId w:val="5"/>
        </w:numPr>
      </w:pPr>
      <w:r>
        <w:t xml:space="preserve">Sobrediagnóstico — 11</w:t>
      </w:r>
    </w:p>
    <w:p>
      <w:pPr>
        <w:pStyle w:val="BodyJ"/>
        <w:keepNext w:val="false"/>
        <w:numPr>
          <w:ilvl w:val="0"/>
          <w:numId w:val="5"/>
        </w:numPr>
      </w:pPr>
      <w:r>
        <w:t xml:space="preserve">Sobreestudio e intervenciones innecesarias — 3</w:t>
      </w:r>
    </w:p>
    <w:p>
      <w:pPr>
        <w:pStyle w:val="BodyJ"/>
        <w:keepNext w:val="false"/>
        <w:numPr>
          <w:ilvl w:val="0"/>
          <w:numId w:val="5"/>
        </w:numPr>
      </w:pPr>
      <w:r>
        <w:t xml:space="preserve">Talleres (ejercicios por capítulo) — Ap D</w:t>
      </w:r>
    </w:p>
    <w:p>
      <w:pPr>
        <w:pStyle w:val="BodyJ"/>
        <w:keepNext w:val="false"/>
        <w:numPr>
          <w:ilvl w:val="0"/>
          <w:numId w:val="5"/>
        </w:numPr>
      </w:pPr>
      <w:r>
        <w:t xml:space="preserve">Tarjeta HII-D en sesenta segundos — última página</w:t>
      </w:r>
    </w:p>
    <w:p>
      <w:pPr>
        <w:pStyle w:val="BodyJ"/>
        <w:keepNext w:val="false"/>
        <w:numPr>
          <w:ilvl w:val="0"/>
          <w:numId w:val="5"/>
        </w:numPr>
      </w:pPr>
      <w:r>
        <w:t xml:space="preserve">Testimonio del paciente — 1, 15; epistemología del testimonio (Coady, Lackey) — 15; testimonio de terceros y cuidadores — CC (viñeta 7)</w:t>
      </w:r>
    </w:p>
    <w:p>
      <w:pPr>
        <w:pStyle w:val="BodyJ"/>
        <w:keepNext w:val="false"/>
        <w:numPr>
          <w:ilvl w:val="0"/>
          <w:numId w:val="5"/>
        </w:numPr>
      </w:pPr>
      <w:r>
        <w:t xml:space="preserve">Trayectoria del error (estaciones y barreras) — 7</w:t>
      </w:r>
    </w:p>
    <w:p>
      <w:pPr>
        <w:pStyle w:val="BodyJ"/>
        <w:keepNext w:val="false"/>
        <w:numPr>
          <w:ilvl w:val="0"/>
          <w:numId w:val="5"/>
        </w:numPr>
      </w:pPr>
      <w:r>
        <w:t xml:space="preserve">Trayectoria y temporalidad — 12, Interludio I</w:t>
      </w:r>
    </w:p>
    <w:p>
      <w:pPr>
        <w:pStyle w:val="BodyJ"/>
        <w:keepNext w:val="false"/>
        <w:numPr>
          <w:ilvl w:val="0"/>
          <w:numId w:val="5"/>
        </w:numPr>
      </w:pPr>
      <w:r>
        <w:t xml:space="preserve">Umbral y geografía (hospital insular, evacuación aeromédica) — 12</w:t>
      </w:r>
    </w:p>
    <w:p>
      <w:pPr>
        <w:pStyle w:val="BodyJ"/>
        <w:keepNext w:val="false"/>
        <w:numPr>
          <w:ilvl w:val="0"/>
          <w:numId w:val="5"/>
        </w:numPr>
      </w:pPr>
      <w:r>
        <w:t xml:space="preserve">Umbrales de decisión — 10, 16, Interludio III, CC (viñeta 3)</w:t>
      </w:r>
    </w:p>
    <w:p>
      <w:pPr>
        <w:pStyle w:val="BodyJ"/>
        <w:keepNext w:val="false"/>
        <w:numPr>
          <w:ilvl w:val="0"/>
          <w:numId w:val="5"/>
        </w:numPr>
      </w:pPr>
      <w:r>
        <w:t xml:space="preserve">Validación local y monitoreo de herramientas de IA — 19</w:t>
      </w:r>
    </w:p>
    <w:p>
      <w:pPr>
        <w:pStyle w:val="BodyJ"/>
        <w:keepNext w:val="false"/>
        <w:numPr>
          <w:ilvl w:val="0"/>
          <w:numId w:val="5"/>
        </w:numPr>
      </w:pPr>
      <w:r>
        <w:t xml:space="preserve">Validez del entorno e intuición (Kahneman y Klein) — 6</w:t>
      </w:r>
    </w:p>
    <w:p>
      <w:pPr>
        <w:pStyle w:val="BodyJ"/>
        <w:keepNext w:val="false"/>
        <w:numPr>
          <w:ilvl w:val="0"/>
          <w:numId w:val="5"/>
        </w:numPr>
      </w:pPr>
      <w:r>
        <w:t xml:space="preserve">Valor de un examen («si sale…, haré…») — 11, Ap A, Ap D</w:t>
      </w:r>
    </w:p>
    <w:p>
      <w:pPr>
        <w:pStyle w:val="BodyJ"/>
        <w:keepNext w:val="false"/>
        <w:numPr>
          <w:ilvl w:val="0"/>
          <w:numId w:val="5"/>
        </w:numPr>
      </w:pPr>
      <w:r>
        <w:t xml:space="preserve">Verbos epistémicos — 4, Ap B</w:t>
      </w:r>
    </w:p>
    <w:p>
      <w:pPr>
        <w:pStyle w:val="Heading1"/>
        <w:keepNext/>
        <w:keepLines/>
        <w:pageBreakBefore/>
        <w:spacing w:after="320" w:before="720"/>
      </w:pPr>
      <w:r>
        <w:rPr>
          <w:rFonts w:ascii="Gelasio" w:cs="Gelasio" w:eastAsia="Gelasio" w:hAnsi="Gelasio"/>
          <w:b/>
          <w:bCs/>
          <w:color w:val="2B2B2B"/>
          <w:sz w:val="34"/>
          <w:szCs w:val="34"/>
        </w:rPr>
        <w:t xml:space="preserve">Lista de figuras</w:t>
      </w:r>
    </w:p>
    <w:p>
      <w:pPr>
        <w:pStyle w:val="BodyJ"/>
        <w:keepNext w:val="false"/>
        <w:numPr>
          <w:ilvl w:val="0"/>
          <w:numId w:val="5"/>
        </w:numPr>
      </w:pPr>
      <w:r>
        <w:t xml:space="preserve">Figura 1. Mapa del libro (Cómo leer este libro).</w:t>
      </w:r>
    </w:p>
    <w:p>
      <w:pPr>
        <w:pStyle w:val="BodyJ"/>
        <w:keepNext w:val="false"/>
        <w:numPr>
          <w:ilvl w:val="0"/>
          <w:numId w:val="5"/>
        </w:numPr>
      </w:pPr>
      <w:r>
        <w:t xml:space="preserve">Figura 2. Las cuatro capas del conocimiento clínico, la franja de incertidumbre que las atraviesa y el circuito de reevaluación que vuelve a la pregunta y a los hechos (Introducción).</w:t>
      </w:r>
    </w:p>
    <w:p>
      <w:pPr>
        <w:pStyle w:val="BodyJ"/>
        <w:keepNext w:val="false"/>
        <w:numPr>
          <w:ilvl w:val="0"/>
          <w:numId w:val="5"/>
        </w:numPr>
      </w:pPr>
      <w:r>
        <w:t xml:space="preserve">Figura 3. Fuentes del hecho clínico (Capítulo 1).</w:t>
      </w:r>
    </w:p>
    <w:p>
      <w:pPr>
        <w:pStyle w:val="BodyJ"/>
        <w:keepNext w:val="false"/>
        <w:numPr>
          <w:ilvl w:val="0"/>
          <w:numId w:val="5"/>
        </w:numPr>
      </w:pPr>
      <w:r>
        <w:t xml:space="preserve">Figura 4. Un mapa de la incertidumbre clínica (adaptado de la taxonomía de Han et al.) (Capítulo 3).</w:t>
      </w:r>
    </w:p>
    <w:p>
      <w:pPr>
        <w:pStyle w:val="BodyJ"/>
        <w:keepNext w:val="false"/>
        <w:numPr>
          <w:ilvl w:val="0"/>
          <w:numId w:val="5"/>
        </w:numPr>
      </w:pPr>
      <w:r>
        <w:t xml:space="preserve">Figura 5. La frase medular como argumento de Toulmin (Capítulo 4).</w:t>
      </w:r>
    </w:p>
    <w:p>
      <w:pPr>
        <w:pStyle w:val="BodyJ"/>
        <w:keepNext w:val="false"/>
        <w:numPr>
          <w:ilvl w:val="0"/>
          <w:numId w:val="5"/>
        </w:numPr>
      </w:pPr>
      <w:r>
        <w:t xml:space="preserve">Figura 6. El modelo de dos niveles de Nelson y Narens (Capítulo 5).</w:t>
      </w:r>
    </w:p>
    <w:p>
      <w:pPr>
        <w:pStyle w:val="BodyJ"/>
        <w:keepNext w:val="false"/>
        <w:numPr>
          <w:ilvl w:val="0"/>
          <w:numId w:val="5"/>
        </w:numPr>
      </w:pPr>
      <w:r>
        <w:t xml:space="preserve">Figura 7. Curva de calibración, esquemática (Capítulo 5).</w:t>
      </w:r>
    </w:p>
    <w:p>
      <w:pPr>
        <w:pStyle w:val="BodyJ"/>
        <w:keepNext w:val="false"/>
        <w:numPr>
          <w:ilvl w:val="0"/>
          <w:numId w:val="5"/>
        </w:numPr>
      </w:pPr>
      <w:r>
        <w:t xml:space="preserve">Figura 8. El error como trayectoria (Capítulo 7).</w:t>
      </w:r>
    </w:p>
    <w:p>
      <w:pPr>
        <w:pStyle w:val="BodyJ"/>
        <w:keepNext w:val="false"/>
        <w:numPr>
          <w:ilvl w:val="0"/>
          <w:numId w:val="5"/>
        </w:numPr>
      </w:pPr>
      <w:r>
        <w:t xml:space="preserve">Figura 9. Una década sobre un mismo dato (Capítulo 9).</w:t>
      </w:r>
    </w:p>
    <w:p>
      <w:pPr>
        <w:pStyle w:val="BodyJ"/>
        <w:keepNext w:val="false"/>
        <w:numPr>
          <w:ilvl w:val="0"/>
          <w:numId w:val="5"/>
        </w:numPr>
      </w:pPr>
      <w:r>
        <w:t xml:space="preserve">Figura 10. El enfoque de umbrales de Pauker y Kassirer (Capítulo 10).</w:t>
      </w:r>
    </w:p>
    <w:p>
      <w:pPr>
        <w:pStyle w:val="BodyJ"/>
        <w:keepNext w:val="false"/>
        <w:numPr>
          <w:ilvl w:val="0"/>
          <w:numId w:val="5"/>
        </w:numPr>
      </w:pPr>
      <w:r>
        <w:t xml:space="preserve">Figura 11. La línea de tiempo de Carmen y el umbral que se mueve (Capítulo 10).</w:t>
      </w:r>
    </w:p>
    <w:p>
      <w:pPr>
        <w:pStyle w:val="BodyJ"/>
        <w:keepNext w:val="false"/>
        <w:numPr>
          <w:ilvl w:val="0"/>
          <w:numId w:val="5"/>
        </w:numPr>
      </w:pPr>
      <w:r>
        <w:t xml:space="preserve">Figura 12. El cálculo en frecuencias naturales (Capítulo 10).</w:t>
      </w:r>
    </w:p>
    <w:p>
      <w:pPr>
        <w:pStyle w:val="BodyJ"/>
        <w:keepNext w:val="false"/>
        <w:numPr>
          <w:ilvl w:val="0"/>
          <w:numId w:val="5"/>
        </w:numPr>
      </w:pPr>
      <w:r>
        <w:t xml:space="preserve">Figura 13. El viaje de una frase (Capítulo 13).</w:t>
      </w:r>
    </w:p>
    <w:p>
      <w:pPr>
        <w:pStyle w:val="BodyJ"/>
        <w:keepNext w:val="false"/>
        <w:numPr>
          <w:ilvl w:val="0"/>
          <w:numId w:val="5"/>
        </w:numPr>
      </w:pPr>
      <w:r>
        <w:t xml:space="preserve">Figura 14. El método HII-D en una página (Capítulo 17).</w:t>
      </w:r>
    </w:p>
    <w:p>
      <w:pPr>
        <w:pStyle w:val="BodyJ"/>
        <w:keepNext w:val="false"/>
        <w:numPr>
          <w:ilvl w:val="0"/>
          <w:numId w:val="5"/>
        </w:numPr>
      </w:pPr>
      <w:r>
        <w:t xml:space="preserve">Figura 15. Parentescos: cada riesgo de la IA clínica junto al sesgo ya descrito (Capítulo 19).</w:t>
      </w:r>
    </w:p>
    <w:p>
      <w:pPr>
        <w:pStyle w:val="Heading1"/>
        <w:keepNext/>
        <w:keepLines/>
        <w:pageBreakBefore/>
        <w:spacing w:after="320" w:before="720"/>
      </w:pPr>
      <w:r>
        <w:rPr>
          <w:rFonts w:ascii="Gelasio" w:cs="Gelasio" w:eastAsia="Gelasio" w:hAnsi="Gelasio"/>
          <w:b/>
          <w:bCs/>
          <w:color w:val="2B2B2B"/>
          <w:sz w:val="34"/>
          <w:szCs w:val="34"/>
        </w:rPr>
        <w:t xml:space="preserve">Nota metodológica y estatuto de las afirmaciones</w:t>
      </w:r>
    </w:p>
    <w:p>
      <w:pPr>
        <w:pStyle w:val="BodyJ"/>
        <w:keepNext w:val="false"/>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keepNext w:val="false"/>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—autoría, año, revista y resultado—. No se pretende exhaustividad sistemática: la selección sirve al argumento y se declara como tal.</w:t>
      </w:r>
    </w:p>
    <w:p>
      <w:pPr>
        <w:pStyle w:val="BodyJ"/>
        <w:keepNext w:val="false"/>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—la densidad epistémica, la frase medular y el método HII-D—, que no deben leerse como hallazgos sino como hipótesis de trabajo.</w:t>
      </w:r>
    </w:p>
    <w:p>
      <w:pPr>
        <w:pStyle w:val="BodyJ"/>
        <w:keepNext w:val="false"/>
      </w:pPr>
      <w:r>
        <w:rPr>
          <w:b/>
          <w:bCs/>
        </w:rPr>
        <w:t xml:space="preserve">Los casos.</w:t>
      </w:r>
      <w:r>
        <w:t xml:space="preserve"> Las escenas clínicas de este libro —Carmen, los interludios, las viñetas y los pasajes en primera persona— son composiciones docentes en el sentido declarado en la página legal: condensan experiencias reales y situaciones compuestas, sin reproducir episodios literales ni permitir identificación de personas o instituciones.</w:t>
      </w:r>
    </w:p>
    <w:p>
      <w:pPr>
        <w:pStyle w:val="BodyJ"/>
        <w:keepNext w:val="false"/>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19 recomienda.</w:t>
      </w:r>
    </w:p>
    <w:p>
      <w:pPr>
        <w:pStyle w:val="BodyJ"/>
        <w:keepNext w:val="false"/>
      </w:pPr>
      <w:r>
        <w:rPr>
          <w:b/>
          <w:bCs/>
        </w:rPr>
        <w:t xml:space="preserve">Verificación de las referencias.</w:t>
      </w:r>
      <w:r>
        <w:t xml:space="preserve"> Cada referencia se cotejó contra su fuente primaria antes de citarse, y el registro de ese cotejo —cifra por cifra— acompaña a las fuentes del libro. Cinco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y el artículo de Ledley y Lusted (1959), cuyo texto completo no estuvo accesible, por lo que se describe por su subtítulo y por lo que dicen de él sus contemporáneos.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keepNext w:val="false"/>
      </w:pPr>
      <w:r>
        <w:rPr>
          <w:b/>
          <w:bCs/>
        </w:rPr>
        <w:t xml:space="preserve">HII-D.</w:t>
      </w:r>
      <w:r>
        <w:t xml:space="preserve"> Es una heurística conceptual no validada. Sus compromisos de falsabilidad están en el capítulo 17 («Qué evidencia me haría abandonar este método»); su evaluación empírica —concordancia entre lectores, efecto sobre la reconstrucción del razonamiento y sobre conductas medibles, y costo en tiempo— es un programa pendiente, no un resultado.</w:t>
      </w:r>
    </w:p>
    <w:p>
      <w:pPr>
        <w:pStyle w:val="Heading1"/>
        <w:keepNext/>
        <w:keepLines/>
        <w:pageBreakBefore/>
        <w:spacing w:after="320" w:before="720"/>
      </w:pPr>
      <w:r>
        <w:rPr>
          <w:rFonts w:ascii="Gelasio" w:cs="Gelasio" w:eastAsia="Gelasio" w:hAnsi="Gelasio"/>
          <w:b/>
          <w:bCs/>
          <w:color w:val="2B2B2B"/>
          <w:sz w:val="34"/>
          <w:szCs w:val="34"/>
        </w:rPr>
        <w:t xml:space="preserve">Referencias</w:t>
      </w:r>
    </w:p>
    <w:p>
      <w:pPr>
        <w:pStyle w:val="BodyJ"/>
        <w:keepNext w:val="false"/>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keepNext w:val="false"/>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keepNext w:val="false"/>
      </w:pPr>
      <w:r>
        <w:t xml:space="preserve">Abeles, A. M., &amp; Abeles, M. (2013). The clinical utility of a positive antinuclear antibody test result. </w:t>
      </w:r>
      <w:r>
        <w:rPr>
          <w:i/>
          <w:iCs/>
        </w:rPr>
        <w:t xml:space="preserve">American Journal of Medicine, 126</w:t>
      </w:r>
      <w:r>
        <w:t xml:space="preserve">(4), 342–348.</w:t>
      </w:r>
    </w:p>
    <w:p>
      <w:pPr>
        <w:pStyle w:val="BodyJ"/>
        <w:keepNext w:val="false"/>
      </w:pPr>
      <w:r>
        <w:t xml:space="preserve">Afshar, M., Baumann, M. R., Resnik, F., Hintzke, J., Sullivan, A. G., Wills, G., et al. (2025). A pragmatic randomized controlled trial of ambient artificial intelligence to improve health practitioner well-being. </w:t>
      </w:r>
      <w:r>
        <w:rPr>
          <w:i/>
          <w:iCs/>
        </w:rPr>
        <w:t xml:space="preserve">NEJM AI, 2</w:t>
      </w:r>
      <w:r>
        <w:t xml:space="preserve">(12), AIoa2500945.</w:t>
      </w:r>
    </w:p>
    <w:p>
      <w:pPr>
        <w:pStyle w:val="BodyJ"/>
        <w:keepNext w:val="false"/>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keepNext w:val="false"/>
      </w:pPr>
      <w:r>
        <w:t xml:space="preserve">Alves de Lima, A. (2008). Devolución constructiva: Una estrategia para mejorar el aprendizaje. </w:t>
      </w:r>
      <w:r>
        <w:rPr>
          <w:i/>
          <w:iCs/>
        </w:rPr>
        <w:t xml:space="preserve">Medicina (Buenos Aires), 68</w:t>
      </w:r>
      <w:r>
        <w:t xml:space="preserve">(1), 88–92.</w:t>
      </w:r>
    </w:p>
    <w:p>
      <w:pPr>
        <w:pStyle w:val="BodyJ"/>
        <w:keepNext w:val="false"/>
      </w:pPr>
      <w:r>
        <w:t xml:space="preserve">Andreadis, K., Chan, E., Park, M., Benda, N. C., Sharma, M. M., Demetres, M., et al. (2021). Imprecision and preferences in interpretation of verbal probabilities in health: A systematic review. </w:t>
      </w:r>
      <w:r>
        <w:rPr>
          <w:i/>
          <w:iCs/>
        </w:rPr>
        <w:t xml:space="preserve">Journal of General Internal Medicine, 36</w:t>
      </w:r>
      <w:r>
        <w:t xml:space="preserve">(12), 3820–3829.</w:t>
      </w:r>
    </w:p>
    <w:p>
      <w:pPr>
        <w:pStyle w:val="BodyJ"/>
        <w:keepNext w:val="false"/>
      </w:pPr>
      <w:r>
        <w:t xml:space="preserve">Appelbaum, P. S. (2007). Assessment of patients' competence to consent to treatment. </w:t>
      </w:r>
      <w:r>
        <w:rPr>
          <w:i/>
          <w:iCs/>
        </w:rPr>
        <w:t xml:space="preserve">New England Journal of Medicine, 357</w:t>
      </w:r>
      <w:r>
        <w:t xml:space="preserve">(18), 1834–1840.</w:t>
      </w:r>
    </w:p>
    <w:p>
      <w:pPr>
        <w:pStyle w:val="BodyJ"/>
        <w:keepNext w:val="false"/>
      </w:pPr>
      <w:r>
        <w:t xml:space="preserve">Aristóteles. (1985). </w:t>
      </w:r>
      <w:r>
        <w:rPr>
          <w:i/>
          <w:iCs/>
        </w:rPr>
        <w:t xml:space="preserve">Ética nicomáquea; Ética eudemia</w:t>
      </w:r>
      <w:r>
        <w:t xml:space="preserve"> (J. Pallí Bonet, Trad.; introd. E. Lledó). Gredos.</w:t>
      </w:r>
    </w:p>
    <w:p>
      <w:pPr>
        <w:pStyle w:val="BodyJ"/>
        <w:keepNext w:val="false"/>
      </w:pPr>
      <w:r>
        <w:t xml:space="preserve">Auerbach, A. D., Lee, T. M., Hubbard, C. C., Ranji, S. R., Raffel, K., Valdes, G., et al. (2024). Diagnostic errors in hospitalized adults who died or were transferred to intensive care. </w:t>
      </w:r>
      <w:r>
        <w:rPr>
          <w:i/>
          <w:iCs/>
        </w:rPr>
        <w:t xml:space="preserve">JAMA Internal Medicine, 184</w:t>
      </w:r>
      <w:r>
        <w:t xml:space="preserve">(2), 164–173.</w:t>
      </w:r>
    </w:p>
    <w:p>
      <w:pPr>
        <w:pStyle w:val="BodyJ"/>
        <w:keepNext w:val="false"/>
      </w:pPr>
      <w:r>
        <w:t xml:space="preserve">Austin, J. L. (1962). </w:t>
      </w:r>
      <w:r>
        <w:rPr>
          <w:i/>
          <w:iCs/>
        </w:rPr>
        <w:t xml:space="preserve">How to Do Things with Words</w:t>
      </w:r>
      <w:r>
        <w:t xml:space="preserve">. Clarendon Press.</w:t>
      </w:r>
    </w:p>
    <w:p>
      <w:pPr>
        <w:pStyle w:val="BodyJ"/>
        <w:keepNext w:val="false"/>
      </w:pPr>
      <w:r>
        <w:t xml:space="preserve">Balint, M. (1957). </w:t>
      </w:r>
      <w:r>
        <w:rPr>
          <w:i/>
          <w:iCs/>
        </w:rPr>
        <w:t xml:space="preserve">The Doctor, His Patient and the Illness</w:t>
      </w:r>
      <w:r>
        <w:t xml:space="preserve">. International Universities Press.</w:t>
      </w:r>
    </w:p>
    <w:p>
      <w:pPr>
        <w:pStyle w:val="BodyJ"/>
        <w:keepNext w:val="false"/>
      </w:pPr>
      <w:r>
        <w:t xml:space="preserve">Barrows, H. S., &amp; Feltovich, P. J. (1987). The clinical reasoning process. </w:t>
      </w:r>
      <w:r>
        <w:rPr>
          <w:i/>
          <w:iCs/>
        </w:rPr>
        <w:t xml:space="preserve">Medical Education, 21</w:t>
      </w:r>
      <w:r>
        <w:t xml:space="preserve">(2), 86–91.</w:t>
      </w:r>
    </w:p>
    <w:p>
      <w:pPr>
        <w:pStyle w:val="BodyJ"/>
        <w:keepNext w:val="false"/>
      </w:pPr>
      <w:r>
        <w:t xml:space="preserve">Bernard, C. (1865). </w:t>
      </w:r>
      <w:r>
        <w:rPr>
          <w:i/>
          <w:iCs/>
        </w:rPr>
        <w:t xml:space="preserve">Introduction à l'étude de la médecine expérimentale</w:t>
      </w:r>
      <w:r>
        <w:t xml:space="preserve">. J.-B. Baillière et fils.</w:t>
      </w:r>
    </w:p>
    <w:p>
      <w:pPr>
        <w:pStyle w:val="BodyJ"/>
        <w:keepNext w:val="false"/>
      </w:pPr>
      <w:r>
        <w:t xml:space="preserve">Berner, E. S., &amp; Graber, M. L. (2008). Overconfidence as a cause of diagnostic error in medicine. </w:t>
      </w:r>
      <w:r>
        <w:rPr>
          <w:i/>
          <w:iCs/>
        </w:rPr>
        <w:t xml:space="preserve">The American Journal of Medicine, 121</w:t>
      </w:r>
      <w:r>
        <w:t xml:space="preserve">(5 Suppl), S2–S23.</w:t>
      </w:r>
    </w:p>
    <w:p>
      <w:pPr>
        <w:pStyle w:val="BodyJ"/>
        <w:keepNext w:val="false"/>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keepNext w:val="false"/>
      </w:pPr>
      <w:r>
        <w:t xml:space="preserve">Boden, M. A. (2004). </w:t>
      </w:r>
      <w:r>
        <w:rPr>
          <w:i/>
          <w:iCs/>
        </w:rPr>
        <w:t xml:space="preserve">The Creative Mind: Myths and Mechanisms</w:t>
      </w:r>
      <w:r>
        <w:t xml:space="preserve"> (2.ª ed.). Routledge.</w:t>
      </w:r>
    </w:p>
    <w:p>
      <w:pPr>
        <w:pStyle w:val="BodyJ"/>
        <w:keepNext w:val="false"/>
      </w:pPr>
      <w:r>
        <w:t xml:space="preserve">Bohm, D. (1996). </w:t>
      </w:r>
      <w:r>
        <w:rPr>
          <w:i/>
          <w:iCs/>
        </w:rPr>
        <w:t xml:space="preserve">On Creativity</w:t>
      </w:r>
      <w:r>
        <w:t xml:space="preserve"> (L. Nichol, Ed.). Routledge.</w:t>
      </w:r>
    </w:p>
    <w:p>
      <w:pPr>
        <w:pStyle w:val="BodyJ"/>
        <w:keepNext w:val="false"/>
      </w:pPr>
      <w:r>
        <w:t xml:space="preserve">Bohm, D., &amp; Peat, F. D. (1987). </w:t>
      </w:r>
      <w:r>
        <w:rPr>
          <w:i/>
          <w:iCs/>
        </w:rPr>
        <w:t xml:space="preserve">Science, Order, and Creativity</w:t>
      </w:r>
      <w:r>
        <w:t xml:space="preserve">. Bantam Books.</w:t>
      </w:r>
    </w:p>
    <w:p>
      <w:pPr>
        <w:pStyle w:val="BodyJ"/>
        <w:keepNext w:val="false"/>
      </w:pPr>
      <w:r>
        <w:t xml:space="preserve">Bordage, G. (1994). Elaborated knowledge: A key to successful diagnostic thinking. </w:t>
      </w:r>
      <w:r>
        <w:rPr>
          <w:i/>
          <w:iCs/>
        </w:rPr>
        <w:t xml:space="preserve">Academic Medicine, 69</w:t>
      </w:r>
      <w:r>
        <w:t xml:space="preserve">(11), 883–885.</w:t>
      </w:r>
    </w:p>
    <w:p>
      <w:pPr>
        <w:pStyle w:val="BodyJ"/>
        <w:keepNext w:val="false"/>
      </w:pPr>
      <w:r>
        <w:t xml:space="preserve">Bowen, J. L. (2006). Educational strategies to promote clinical diagnostic reasoning. </w:t>
      </w:r>
      <w:r>
        <w:rPr>
          <w:i/>
          <w:iCs/>
        </w:rPr>
        <w:t xml:space="preserve">New England Journal of Medicine, 355</w:t>
      </w:r>
      <w:r>
        <w:t xml:space="preserve">(21), 2217–2225.</w:t>
      </w:r>
    </w:p>
    <w:p>
      <w:pPr>
        <w:pStyle w:val="BodyJ"/>
        <w:keepNext w:val="false"/>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keepNext w:val="false"/>
      </w:pPr>
      <w:r>
        <w:t xml:space="preserve">Cabitza, F., Rasoini, R., &amp; Gensini, G. F. (2017). Unintended consequences of machine learning in medicine. </w:t>
      </w:r>
      <w:r>
        <w:rPr>
          <w:i/>
          <w:iCs/>
        </w:rPr>
        <w:t xml:space="preserve">JAMA, 318</w:t>
      </w:r>
      <w:r>
        <w:t xml:space="preserve">(6), 517–518.</w:t>
      </w:r>
    </w:p>
    <w:p>
      <w:pPr>
        <w:pStyle w:val="BodyJ"/>
        <w:keepNext w:val="false"/>
      </w:pPr>
      <w:r>
        <w:t xml:space="preserve">Canguilhem, G. (1971). </w:t>
      </w:r>
      <w:r>
        <w:rPr>
          <w:i/>
          <w:iCs/>
        </w:rPr>
        <w:t xml:space="preserve">Lo normal y lo patológico</w:t>
      </w:r>
      <w:r>
        <w:t xml:space="preserve"> (R. Potschart, Trad.). Siglo XXI. (Obra original publicada en 1966).</w:t>
      </w:r>
    </w:p>
    <w:p>
      <w:pPr>
        <w:pStyle w:val="BodyJ"/>
        <w:keepNext w:val="false"/>
      </w:pPr>
      <w:r>
        <w:t xml:space="preserve">Card, W. I. (1970). The diagnostic process. </w:t>
      </w:r>
      <w:r>
        <w:rPr>
          <w:i/>
          <w:iCs/>
        </w:rPr>
        <w:t xml:space="preserve">Journal of the Royal College of Physicians of London, 4</w:t>
      </w:r>
      <w:r>
        <w:t xml:space="preserve">(3), 183–187.</w:t>
      </w:r>
    </w:p>
    <w:p>
      <w:pPr>
        <w:pStyle w:val="BodyJ"/>
        <w:keepNext w:val="false"/>
      </w:pPr>
      <w:r>
        <w:t xml:space="preserve">Carel, H., &amp; Kidd, I. J. (2014). Epistemic injustice in healthcare: A philosophical analysis. </w:t>
      </w:r>
      <w:r>
        <w:rPr>
          <w:i/>
          <w:iCs/>
        </w:rPr>
        <w:t xml:space="preserve">Medicine, Health Care and Philosophy, 17</w:t>
      </w:r>
      <w:r>
        <w:t xml:space="preserve">(4), 529–540.</w:t>
      </w:r>
    </w:p>
    <w:p>
      <w:pPr>
        <w:pStyle w:val="BodyJ"/>
        <w:keepNext w:val="false"/>
      </w:pPr>
      <w:r>
        <w:t xml:space="preserve">Cartwright, N., &amp; Hardie, J. (2012). </w:t>
      </w:r>
      <w:r>
        <w:rPr>
          <w:i/>
          <w:iCs/>
        </w:rPr>
        <w:t xml:space="preserve">Evidence-Based Policy: A Practical Guide to Doing It Better</w:t>
      </w:r>
      <w:r>
        <w:t xml:space="preserve">. Oxford University Press.</w:t>
      </w:r>
    </w:p>
    <w:p>
      <w:pPr>
        <w:pStyle w:val="BodyJ"/>
        <w:keepNext w:val="false"/>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keepNext w:val="false"/>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keepNext w:val="false"/>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keepNext w:val="false"/>
      </w:pPr>
      <w:r>
        <w:t xml:space="preserve">Charon, R. (2006). </w:t>
      </w:r>
      <w:r>
        <w:rPr>
          <w:i/>
          <w:iCs/>
        </w:rPr>
        <w:t xml:space="preserve">Narrative Medicine: Honoring the Stories of Illness</w:t>
      </w:r>
      <w:r>
        <w:t xml:space="preserve">. Oxford University Press.</w:t>
      </w:r>
    </w:p>
    <w:p>
      <w:pPr>
        <w:pStyle w:val="BodyJ"/>
        <w:keepNext w:val="false"/>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keepNext w:val="false"/>
      </w:pPr>
      <w:r>
        <w:t xml:space="preserve">Clifford, W. K. (1877). The ethics of belief. </w:t>
      </w:r>
      <w:r>
        <w:rPr>
          <w:i/>
          <w:iCs/>
        </w:rPr>
        <w:t xml:space="preserve">Contemporary Review, 29</w:t>
      </w:r>
      <w:r>
        <w:t xml:space="preserve">, 289–309.</w:t>
      </w:r>
    </w:p>
    <w:p>
      <w:pPr>
        <w:pStyle w:val="BodyJ"/>
        <w:keepNext w:val="false"/>
      </w:pPr>
      <w:r>
        <w:t xml:space="preserve">Coady, C. A. J. (1992). </w:t>
      </w:r>
      <w:r>
        <w:rPr>
          <w:i/>
          <w:iCs/>
        </w:rPr>
        <w:t xml:space="preserve">Testimony: A Philosophical Study</w:t>
      </w:r>
      <w:r>
        <w:t xml:space="preserve">. Clarendon Press.</w:t>
      </w:r>
    </w:p>
    <w:p>
      <w:pPr>
        <w:pStyle w:val="BodyJ"/>
        <w:keepNext w:val="false"/>
      </w:pPr>
      <w:r>
        <w:t xml:space="preserve">Croskerry, P. (2003). The importance of cognitive errors in diagnosis and strategies to minimize them. </w:t>
      </w:r>
      <w:r>
        <w:rPr>
          <w:i/>
          <w:iCs/>
        </w:rPr>
        <w:t xml:space="preserve">Academic Medicine, 78</w:t>
      </w:r>
      <w:r>
        <w:t xml:space="preserve">(8), 775–780.</w:t>
      </w:r>
    </w:p>
    <w:p>
      <w:pPr>
        <w:pStyle w:val="BodyJ"/>
        <w:keepNext w:val="false"/>
      </w:pPr>
      <w:r>
        <w:t xml:space="preserve">Croskerry, P. (2009). A universal model of diagnostic reasoning. </w:t>
      </w:r>
      <w:r>
        <w:rPr>
          <w:i/>
          <w:iCs/>
        </w:rPr>
        <w:t xml:space="preserve">Academic Medicine, 84</w:t>
      </w:r>
      <w:r>
        <w:t xml:space="preserve">(8), 1022–1028.</w:t>
      </w:r>
    </w:p>
    <w:p>
      <w:pPr>
        <w:pStyle w:val="BodyJ"/>
        <w:keepNext w:val="false"/>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keepNext w:val="false"/>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keepNext w:val="false"/>
      </w:pPr>
      <w:r>
        <w:t xml:space="preserve">Custers, E. J. F. M. (2015). Thirty years of illness scripts: Theoretical origins and practical applications. </w:t>
      </w:r>
      <w:r>
        <w:rPr>
          <w:i/>
          <w:iCs/>
        </w:rPr>
        <w:t xml:space="preserve">Medical Teacher, 37</w:t>
      </w:r>
      <w:r>
        <w:t xml:space="preserve">(5), 457–462.</w:t>
      </w:r>
    </w:p>
    <w:p>
      <w:pPr>
        <w:pStyle w:val="BodyJ"/>
        <w:keepNext w:val="false"/>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keepNext w:val="false"/>
      </w:pPr>
      <w:r>
        <w:t xml:space="preserve">Djulbegovic, B., &amp; Guyatt, G. H. (2017). Progress in evidence-based medicine: A quarter century on. </w:t>
      </w:r>
      <w:r>
        <w:rPr>
          <w:i/>
          <w:iCs/>
        </w:rPr>
        <w:t xml:space="preserve">The Lancet, 390</w:t>
      </w:r>
      <w:r>
        <w:t xml:space="preserve">(10092), 415–423.</w:t>
      </w:r>
    </w:p>
    <w:p>
      <w:pPr>
        <w:pStyle w:val="BodyJ"/>
        <w:keepNext w:val="false"/>
      </w:pPr>
      <w:r>
        <w:t xml:space="preserve">Dora, J. M., Biscolla, R. P. M., Caldas, G., Cerutti, J., Graf, H., Hoff, A. O., et al. (2021). Choosing Wisely for thyroid conditions: Recommendations of the Thyroid Department of the Brazilian Society of Endocrinology and Metabolism. </w:t>
      </w:r>
      <w:r>
        <w:rPr>
          <w:i/>
          <w:iCs/>
        </w:rPr>
        <w:t xml:space="preserve">Archives of Endocrinology and Metabolism, 65</w:t>
      </w:r>
      <w:r>
        <w:t xml:space="preserve">(2), 248–252.</w:t>
      </w:r>
    </w:p>
    <w:p>
      <w:pPr>
        <w:pStyle w:val="BodyJ"/>
        <w:keepNext w:val="false"/>
      </w:pPr>
      <w:r>
        <w:t xml:space="preserve">Douglas, H. (2000). Inductive risk and values in science. </w:t>
      </w:r>
      <w:r>
        <w:rPr>
          <w:i/>
          <w:iCs/>
        </w:rPr>
        <w:t xml:space="preserve">Philosophy of Science, 67</w:t>
      </w:r>
      <w:r>
        <w:t xml:space="preserve">(4), 559–579.</w:t>
      </w:r>
    </w:p>
    <w:p>
      <w:pPr>
        <w:pStyle w:val="BodyJ"/>
        <w:keepNext w:val="false"/>
      </w:pPr>
      <w:r>
        <w:t xml:space="preserve">Dunlosky, J., &amp; Metcalfe, J. (2009). </w:t>
      </w:r>
      <w:r>
        <w:rPr>
          <w:i/>
          <w:iCs/>
        </w:rPr>
        <w:t xml:space="preserve">Metacognition</w:t>
      </w:r>
      <w:r>
        <w:t xml:space="preserve">. SAGE.</w:t>
      </w:r>
    </w:p>
    <w:p>
      <w:pPr>
        <w:pStyle w:val="BodyJ"/>
        <w:keepNext w:val="false"/>
      </w:pPr>
      <w:r>
        <w:t xml:space="preserve">Elstein, A. S., Shulman, L. S., &amp; Sprafka, S. A. (1978). </w:t>
      </w:r>
      <w:r>
        <w:rPr>
          <w:i/>
          <w:iCs/>
        </w:rPr>
        <w:t xml:space="preserve">Medical Problem Solving: An Analysis of Clinical Reasoning</w:t>
      </w:r>
      <w:r>
        <w:t xml:space="preserve">. Harvard University Press.</w:t>
      </w:r>
    </w:p>
    <w:p>
      <w:pPr>
        <w:pStyle w:val="BodyJ"/>
        <w:keepNext w:val="false"/>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keepNext w:val="false"/>
      </w:pPr>
      <w:r>
        <w:t xml:space="preserve">Engel, G. L. (1977). The need for a new medical model: A challenge for biomedicine. </w:t>
      </w:r>
      <w:r>
        <w:rPr>
          <w:i/>
          <w:iCs/>
        </w:rPr>
        <w:t xml:space="preserve">Science, 196</w:t>
      </w:r>
      <w:r>
        <w:t xml:space="preserve">(4286), 129–136.</w:t>
      </w:r>
    </w:p>
    <w:p>
      <w:pPr>
        <w:pStyle w:val="BodyJ"/>
        <w:keepNext w:val="false"/>
      </w:pPr>
      <w:r>
        <w:t xml:space="preserve">Epstein, R. M. (1999). Mindful practice. </w:t>
      </w:r>
      <w:r>
        <w:rPr>
          <w:i/>
          <w:iCs/>
        </w:rPr>
        <w:t xml:space="preserve">JAMA, 282</w:t>
      </w:r>
      <w:r>
        <w:t xml:space="preserve">(9), 833–839.</w:t>
      </w:r>
    </w:p>
    <w:p>
      <w:pPr>
        <w:pStyle w:val="BodyJ"/>
        <w:keepNext w:val="false"/>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keepNext w:val="false"/>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keepNext w:val="false"/>
      </w:pPr>
      <w:r>
        <w:t xml:space="preserve">Eva, K. W. (2005). What every teacher needs to know about clinical reasoning. </w:t>
      </w:r>
      <w:r>
        <w:rPr>
          <w:i/>
          <w:iCs/>
        </w:rPr>
        <w:t xml:space="preserve">Medical Education, 39</w:t>
      </w:r>
      <w:r>
        <w:t xml:space="preserve">(1), 98–106.</w:t>
      </w:r>
    </w:p>
    <w:p>
      <w:pPr>
        <w:pStyle w:val="BodyJ"/>
        <w:keepNext w:val="false"/>
      </w:pPr>
      <w:r>
        <w:t xml:space="preserve">Eva, K. W., &amp; Regehr, G. (2005). Self-assessment in the health professions: A reformulation and research agenda. </w:t>
      </w:r>
      <w:r>
        <w:rPr>
          <w:i/>
          <w:iCs/>
        </w:rPr>
        <w:t xml:space="preserve">Academic Medicine, 80</w:t>
      </w:r>
      <w:r>
        <w:t xml:space="preserve">(10 Suppl), S46–S54.</w:t>
      </w:r>
    </w:p>
    <w:p>
      <w:pPr>
        <w:pStyle w:val="BodyJ"/>
        <w:keepNext w:val="false"/>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keepNext w:val="false"/>
      </w:pPr>
      <w:r>
        <w:t xml:space="preserve">Feinstein, A. R. (1967). </w:t>
      </w:r>
      <w:r>
        <w:rPr>
          <w:i/>
          <w:iCs/>
        </w:rPr>
        <w:t xml:space="preserve">Clinical Judgment</w:t>
      </w:r>
      <w:r>
        <w:t xml:space="preserve">. Williams &amp; Wilkins.</w:t>
      </w:r>
    </w:p>
    <w:p>
      <w:pPr>
        <w:pStyle w:val="BodyJ"/>
        <w:keepNext w:val="false"/>
      </w:pPr>
      <w:r>
        <w:t xml:space="preserve">Feinstein, A. R. (1973). An analysis of diagnostic reasoning. I. The domains and disorders of clinical macrobiology. </w:t>
      </w:r>
      <w:r>
        <w:rPr>
          <w:i/>
          <w:iCs/>
        </w:rPr>
        <w:t xml:space="preserve">Yale Journal of Biology and Medicine, 46</w:t>
      </w:r>
      <w:r>
        <w:t xml:space="preserve">(3), 212–232.</w:t>
      </w:r>
    </w:p>
    <w:p>
      <w:pPr>
        <w:pStyle w:val="BodyJ"/>
        <w:keepNext w:val="false"/>
      </w:pPr>
      <w:r>
        <w:t xml:space="preserve">Flavell, J. H. (1979). Metacognition and cognitive monitoring: A new area of cognitive-developmental inquiry. </w:t>
      </w:r>
      <w:r>
        <w:rPr>
          <w:i/>
          <w:iCs/>
        </w:rPr>
        <w:t xml:space="preserve">American Psychologist, 34</w:t>
      </w:r>
      <w:r>
        <w:t xml:space="preserve">(10), 906–911.</w:t>
      </w:r>
    </w:p>
    <w:p>
      <w:pPr>
        <w:pStyle w:val="BodyJ"/>
        <w:keepNext w:val="false"/>
      </w:pPr>
      <w:r>
        <w:t xml:space="preserve">Fleck, L. (1979). </w:t>
      </w:r>
      <w:r>
        <w:rPr>
          <w:i/>
          <w:iCs/>
        </w:rPr>
        <w:t xml:space="preserve">Genesis and Development of a Scientific Fact</w:t>
      </w:r>
      <w:r>
        <w:t xml:space="preserve"> (T. J. Trenn &amp; R. K. Merton, Eds.; F. Bradley &amp; T. J. Trenn, Trans.). University of Chicago Press. (Obra original publicada en 1935).</w:t>
      </w:r>
    </w:p>
    <w:p>
      <w:pPr>
        <w:pStyle w:val="BodyJ"/>
        <w:keepNext w:val="false"/>
      </w:pPr>
      <w:r>
        <w:t xml:space="preserve">Fleming, S. M. (2021). </w:t>
      </w:r>
      <w:r>
        <w:rPr>
          <w:i/>
          <w:iCs/>
        </w:rPr>
        <w:t xml:space="preserve">Know Thyself: The Science of Self-Awareness</w:t>
      </w:r>
      <w:r>
        <w:t xml:space="preserve">. Basic Books.</w:t>
      </w:r>
    </w:p>
    <w:p>
      <w:pPr>
        <w:pStyle w:val="BodyJ"/>
        <w:keepNext w:val="false"/>
      </w:pPr>
      <w:r>
        <w:t xml:space="preserve">Fleming, S. M., &amp; Dolan, R. J. (2012). The neural basis of metacognitive ability. </w:t>
      </w:r>
      <w:r>
        <w:rPr>
          <w:i/>
          <w:iCs/>
        </w:rPr>
        <w:t xml:space="preserve">Philosophical Transactions of the Royal Society B, 367</w:t>
      </w:r>
      <w:r>
        <w:t xml:space="preserve">(1594), 1338–1349.</w:t>
      </w:r>
    </w:p>
    <w:p>
      <w:pPr>
        <w:pStyle w:val="BodyJ"/>
        <w:keepNext w:val="false"/>
      </w:pPr>
      <w:r>
        <w:t xml:space="preserve">Fleming, S. M., &amp; Lau, H. C. (2014). How to measure metacognition. </w:t>
      </w:r>
      <w:r>
        <w:rPr>
          <w:i/>
          <w:iCs/>
        </w:rPr>
        <w:t xml:space="preserve">Frontiers in Human Neuroscience, 8</w:t>
      </w:r>
      <w:r>
        <w:t xml:space="preserve">, 443.</w:t>
      </w:r>
    </w:p>
    <w:p>
      <w:pPr>
        <w:pStyle w:val="BodyJ"/>
        <w:keepNext w:val="false"/>
      </w:pPr>
      <w:r>
        <w:t xml:space="preserve">Foucault, M. (1966). </w:t>
      </w:r>
      <w:r>
        <w:rPr>
          <w:i/>
          <w:iCs/>
        </w:rPr>
        <w:t xml:space="preserve">El nacimiento de la clínica: Una arqueología de la mirada médica</w:t>
      </w:r>
      <w:r>
        <w:t xml:space="preserve"> (F. Perujo, Trad.). Siglo XXI. (Obra original publicada en 1963).</w:t>
      </w:r>
    </w:p>
    <w:p>
      <w:pPr>
        <w:pStyle w:val="BodyJ"/>
        <w:keepNext w:val="false"/>
      </w:pPr>
      <w:r>
        <w:t xml:space="preserve">Fox, R. C. (1980). The evolution of medical uncertainty. </w:t>
      </w:r>
      <w:r>
        <w:rPr>
          <w:i/>
          <w:iCs/>
        </w:rPr>
        <w:t xml:space="preserve">Milbank Memorial Fund Quarterly: Health and Society, 58</w:t>
      </w:r>
      <w:r>
        <w:t xml:space="preserve">(1), 1–49.</w:t>
      </w:r>
    </w:p>
    <w:p>
      <w:pPr>
        <w:pStyle w:val="BodyJ"/>
        <w:keepNext w:val="false"/>
      </w:pPr>
      <w:r>
        <w:t xml:space="preserve">Fricker, M. (2007). </w:t>
      </w:r>
      <w:r>
        <w:rPr>
          <w:i/>
          <w:iCs/>
        </w:rPr>
        <w:t xml:space="preserve">Epistemic Injustice: Power and the Ethics of Knowing</w:t>
      </w:r>
      <w:r>
        <w:t xml:space="preserve">. Oxford University Press.</w:t>
      </w:r>
    </w:p>
    <w:p>
      <w:pPr>
        <w:pStyle w:val="BodyJ"/>
        <w:keepNext w:val="false"/>
      </w:pPr>
      <w:r>
        <w:t xml:space="preserve">Gadamer, H.-G. (1996). </w:t>
      </w:r>
      <w:r>
        <w:rPr>
          <w:i/>
          <w:iCs/>
        </w:rPr>
        <w:t xml:space="preserve">El estado oculto de la salud</w:t>
      </w:r>
      <w:r>
        <w:t xml:space="preserve"> (N. Machaín, Trad.). Gedisa.</w:t>
      </w:r>
    </w:p>
    <w:p>
      <w:pPr>
        <w:pStyle w:val="BodyJ"/>
        <w:keepNext w:val="false"/>
      </w:pPr>
      <w:r>
        <w:t xml:space="preserve">Ganguli, I., Simpkin, A. L., Lupo, C., Weissman, A., Mainor, A. J., Orav, E. J., et al. (2019). Cascades of care after incidental findings in a US national survey of physicians. </w:t>
      </w:r>
      <w:r>
        <w:rPr>
          <w:i/>
          <w:iCs/>
        </w:rPr>
        <w:t xml:space="preserve">JAMA Network Open, 2</w:t>
      </w:r>
      <w:r>
        <w:t xml:space="preserve">(10), e1913325.</w:t>
      </w:r>
    </w:p>
    <w:p>
      <w:pPr>
        <w:pStyle w:val="BodyJ"/>
        <w:keepNext w:val="false"/>
      </w:pPr>
      <w:r>
        <w:t xml:space="preserve">Gérvas, J., &amp; Pérez Fernández, M. (2013). </w:t>
      </w:r>
      <w:r>
        <w:rPr>
          <w:i/>
          <w:iCs/>
        </w:rPr>
        <w:t xml:space="preserve">Sano y salvo (y libre de intervenciones médicas innecesarias)</w:t>
      </w:r>
      <w:r>
        <w:t xml:space="preserve">. Los Libros del Lince.</w:t>
      </w:r>
    </w:p>
    <w:p>
      <w:pPr>
        <w:pStyle w:val="BodyJ"/>
        <w:keepNext w:val="false"/>
      </w:pPr>
      <w:r>
        <w:t xml:space="preserve">Ghaemi, S. N. (2009). The rise and fall of the biopsychosocial model. </w:t>
      </w:r>
      <w:r>
        <w:rPr>
          <w:i/>
          <w:iCs/>
        </w:rPr>
        <w:t xml:space="preserve">British Journal of Psychiatry, 195</w:t>
      </w:r>
      <w:r>
        <w:t xml:space="preserve">(1), 3–4.</w:t>
      </w:r>
    </w:p>
    <w:p>
      <w:pPr>
        <w:pStyle w:val="BodyJ"/>
        <w:keepNext w:val="false"/>
      </w:pPr>
      <w:r>
        <w:t xml:space="preserve">Gigerenzer, G., &amp; Gaissmaier, W. (2011). Heuristic decision making. </w:t>
      </w:r>
      <w:r>
        <w:rPr>
          <w:i/>
          <w:iCs/>
        </w:rPr>
        <w:t xml:space="preserve">Annual Review of Psychology, 62</w:t>
      </w:r>
      <w:r>
        <w:t xml:space="preserve">, 451–482.</w:t>
      </w:r>
    </w:p>
    <w:p>
      <w:pPr>
        <w:pStyle w:val="BodyJ"/>
        <w:keepNext w:val="false"/>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keepNext w:val="false"/>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keepNext w:val="false"/>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keepNext w:val="false"/>
      </w:pPr>
      <w:r>
        <w:t xml:space="preserve">Goh, E., Gallo, R. J., Strong, E., Weng, Y., Kerman, H., Freed, J. A., et al. (2025). GPT-4 assistance for improvement of physician performance on patient care tasks: A randomized controlled trial. </w:t>
      </w:r>
      <w:r>
        <w:rPr>
          <w:i/>
          <w:iCs/>
        </w:rPr>
        <w:t xml:space="preserve">Nature Medicine, 31</w:t>
      </w:r>
      <w:r>
        <w:t xml:space="preserve">(4), 1233–1238.</w:t>
      </w:r>
    </w:p>
    <w:p>
      <w:pPr>
        <w:pStyle w:val="BodyJ"/>
        <w:keepNext w:val="false"/>
      </w:pPr>
      <w:r>
        <w:t xml:space="preserve">Graber, M. L., Franklin, N., &amp; Gordon, R. (2005). Diagnostic error in internal medicine. </w:t>
      </w:r>
      <w:r>
        <w:rPr>
          <w:i/>
          <w:iCs/>
        </w:rPr>
        <w:t xml:space="preserve">Archives of Internal Medicine, 165</w:t>
      </w:r>
      <w:r>
        <w:t xml:space="preserve">(13), 1493–1499.</w:t>
      </w:r>
    </w:p>
    <w:p>
      <w:pPr>
        <w:pStyle w:val="BodyJ"/>
        <w:keepNext w:val="false"/>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keepNext w:val="false"/>
      </w:pPr>
      <w:r>
        <w:t xml:space="preserve">Gracia, D. (2001). La deliberación moral: El método de la ética clínica. </w:t>
      </w:r>
      <w:r>
        <w:rPr>
          <w:i/>
          <w:iCs/>
        </w:rPr>
        <w:t xml:space="preserve">Medicina Clínica, 117</w:t>
      </w:r>
      <w:r>
        <w:t xml:space="preserve">(1), 18–23.</w:t>
      </w:r>
    </w:p>
    <w:p>
      <w:pPr>
        <w:pStyle w:val="BodyJ"/>
        <w:keepNext w:val="false"/>
      </w:pPr>
      <w:r>
        <w:t xml:space="preserve">Greenhalgh, T., Howick, J., &amp; Maskrey, N. (2014). Evidence based medicine: A movement in crisis? </w:t>
      </w:r>
      <w:r>
        <w:rPr>
          <w:i/>
          <w:iCs/>
        </w:rPr>
        <w:t xml:space="preserve">BMJ, 348</w:t>
      </w:r>
      <w:r>
        <w:t xml:space="preserve">, g3725.</w:t>
      </w:r>
    </w:p>
    <w:p>
      <w:pPr>
        <w:pStyle w:val="BodyJ"/>
        <w:keepNext w:val="false"/>
      </w:pPr>
      <w:r>
        <w:t xml:space="preserve">Greenhalgh, T., &amp; Hurwitz, B. (Eds.). (1998). </w:t>
      </w:r>
      <w:r>
        <w:rPr>
          <w:i/>
          <w:iCs/>
        </w:rPr>
        <w:t xml:space="preserve">Narrative Based Medicine: Dialogue and Discourse in Clinical Practice</w:t>
      </w:r>
      <w:r>
        <w:t xml:space="preserve">. BMJ Books.</w:t>
      </w:r>
    </w:p>
    <w:p>
      <w:pPr>
        <w:pStyle w:val="BodyJ"/>
        <w:keepNext w:val="false"/>
      </w:pPr>
      <w:r>
        <w:t xml:space="preserve">Groopman, J. (2007). </w:t>
      </w:r>
      <w:r>
        <w:rPr>
          <w:i/>
          <w:iCs/>
        </w:rPr>
        <w:t xml:space="preserve">How Doctors Think</w:t>
      </w:r>
      <w:r>
        <w:t xml:space="preserve">. Houghton Mifflin.</w:t>
      </w:r>
    </w:p>
    <w:p>
      <w:pPr>
        <w:pStyle w:val="BodyJ"/>
        <w:keepNext w:val="false"/>
      </w:pPr>
      <w:r>
        <w:t xml:space="preserve">Guth, S., Theune, U., Aberle, J., Galach, A., &amp; Bamberger, C. M. (2009). Very high prevalence of thyroid nodules detected by high frequency (13 MHz) ultrasound examination. </w:t>
      </w:r>
      <w:r>
        <w:rPr>
          <w:i/>
          <w:iCs/>
        </w:rPr>
        <w:t xml:space="preserve">European Journal of Clinical Investigation, 39</w:t>
      </w:r>
      <w:r>
        <w:t xml:space="preserve">(8), 699–706.</w:t>
      </w:r>
    </w:p>
    <w:p>
      <w:pPr>
        <w:pStyle w:val="BodyJ"/>
        <w:keepNext w:val="false"/>
      </w:pPr>
      <w:r>
        <w:t xml:space="preserve">Han, P. K. J., Klein, W. M. P., &amp; Arora, N. K. (2011). Varieties of uncertainty in health care: A conceptual taxonomy. </w:t>
      </w:r>
      <w:r>
        <w:rPr>
          <w:i/>
          <w:iCs/>
        </w:rPr>
        <w:t xml:space="preserve">Medical Decision Making, 31</w:t>
      </w:r>
      <w:r>
        <w:t xml:space="preserve">(6), 828–838.</w:t>
      </w:r>
    </w:p>
    <w:p>
      <w:pPr>
        <w:pStyle w:val="BodyJ"/>
        <w:keepNext w:val="false"/>
      </w:pPr>
      <w:r>
        <w:t xml:space="preserve">Hempel, C. G. (1965). Science and human values. In </w:t>
      </w:r>
      <w:r>
        <w:rPr>
          <w:i/>
          <w:iCs/>
        </w:rPr>
        <w:t xml:space="preserve">Aspects of Scientific Explanation and Other Essays in the Philosophy of Science</w:t>
      </w:r>
      <w:r>
        <w:t xml:space="preserve"> (pp. 81–96). Free Press.</w:t>
      </w:r>
    </w:p>
    <w:p>
      <w:pPr>
        <w:pStyle w:val="BodyJ"/>
        <w:keepNext w:val="false"/>
      </w:pPr>
      <w:r>
        <w:t xml:space="preserve">Hepburn, B., &amp; Andersen, H. (2026). Scientific method. En E. N. Zalta &amp; U. Nodelman (Eds.), </w:t>
      </w:r>
      <w:r>
        <w:rPr>
          <w:i/>
          <w:iCs/>
        </w:rPr>
        <w:t xml:space="preserve">The Stanford Encyclopedia of Philosophy</w:t>
      </w:r>
      <w:r>
        <w:t xml:space="preserve"> (Fall 2026 ed.).</w:t>
      </w:r>
    </w:p>
    <w:p>
      <w:pPr>
        <w:pStyle w:val="BodyJ"/>
        <w:keepNext w:val="false"/>
      </w:pPr>
      <w:r>
        <w:t xml:space="preserve">Hernán, M. A., &amp; Robins, J. M. (2020). </w:t>
      </w:r>
      <w:r>
        <w:rPr>
          <w:i/>
          <w:iCs/>
        </w:rPr>
        <w:t xml:space="preserve">Causal Inference: What If</w:t>
      </w:r>
      <w:r>
        <w:t xml:space="preserve">. Chapman &amp; Hall/CRC.</w:t>
      </w:r>
    </w:p>
    <w:p>
      <w:pPr>
        <w:pStyle w:val="BodyJ"/>
        <w:keepNext w:val="false"/>
      </w:pPr>
      <w:r>
        <w:t xml:space="preserve">Hernández, G., Bellomo, R., &amp; Bakker, J. (2019). The ten pitfalls of lactate clearance in sepsis. </w:t>
      </w:r>
      <w:r>
        <w:rPr>
          <w:i/>
          <w:iCs/>
        </w:rPr>
        <w:t xml:space="preserve">Intensive Care Medicine, 45</w:t>
      </w:r>
      <w:r>
        <w:t xml:space="preserve">(1), 82–85.</w:t>
      </w:r>
    </w:p>
    <w:p>
      <w:pPr>
        <w:pStyle w:val="BodyJ"/>
        <w:keepNext w:val="false"/>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keepNext w:val="false"/>
      </w:pPr>
      <w:r>
        <w:t xml:space="preserve">Hernández, G., Ospina-Tascón, G. A., Kattan, E., Ibarra-Estrada, M., Ramasco, F., Orozco, N.,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keepNext w:val="false"/>
      </w:pPr>
      <w:r>
        <w:t xml:space="preserve">Hill, A. B. (1965). The environment and disease: Association or causation? </w:t>
      </w:r>
      <w:r>
        <w:rPr>
          <w:i/>
          <w:iCs/>
        </w:rPr>
        <w:t xml:space="preserve">Proceedings of the Royal Society of Medicine, 58</w:t>
      </w:r>
      <w:r>
        <w:t xml:space="preserve">(5), 295–300.</w:t>
      </w:r>
    </w:p>
    <w:p>
      <w:pPr>
        <w:pStyle w:val="BodyJ"/>
        <w:keepNext w:val="false"/>
      </w:pPr>
      <w:r>
        <w:t xml:space="preserve">Hipócrates. (1923a). </w:t>
      </w:r>
      <w:r>
        <w:rPr>
          <w:i/>
          <w:iCs/>
        </w:rPr>
        <w:t xml:space="preserve">Hippocrates, Vol. I</w:t>
      </w:r>
      <w:r>
        <w:t xml:space="preserve"> (W. H. S. Jones, Trad.). William Heinemann; Harvard University Press.</w:t>
      </w:r>
    </w:p>
    <w:p>
      <w:pPr>
        <w:pStyle w:val="BodyJ"/>
        <w:keepNext w:val="false"/>
      </w:pPr>
      <w:r>
        <w:t xml:space="preserve">Hipócrates. (1923b). </w:t>
      </w:r>
      <w:r>
        <w:rPr>
          <w:i/>
          <w:iCs/>
        </w:rPr>
        <w:t xml:space="preserve">Hippocrates, Vol. II</w:t>
      </w:r>
      <w:r>
        <w:t xml:space="preserve"> (W. H. S. Jones, Trad.). William Heinemann; Harvard University Press.</w:t>
      </w:r>
    </w:p>
    <w:p>
      <w:pPr>
        <w:pStyle w:val="BodyJ"/>
        <w:keepNext w:val="false"/>
      </w:pPr>
      <w:r>
        <w:t xml:space="preserve">Hoffrage, U., &amp; Gigerenzer, G. (1998). Using natural frequencies to improve diagnostic inferences. </w:t>
      </w:r>
      <w:r>
        <w:rPr>
          <w:i/>
          <w:iCs/>
        </w:rPr>
        <w:t xml:space="preserve">Academic Medicine, 73</w:t>
      </w:r>
      <w:r>
        <w:t xml:space="preserve">(5), 538–540.</w:t>
      </w:r>
    </w:p>
    <w:p>
      <w:pPr>
        <w:pStyle w:val="BodyJ"/>
        <w:keepNext w:val="false"/>
      </w:pPr>
      <w:r>
        <w:t xml:space="preserve">Huidobro, V. (1916). </w:t>
      </w:r>
      <w:r>
        <w:rPr>
          <w:i/>
          <w:iCs/>
        </w:rPr>
        <w:t xml:space="preserve">El espejo de agua</w:t>
      </w:r>
      <w:r>
        <w:t xml:space="preserve">. Orión.</w:t>
      </w:r>
    </w:p>
    <w:p>
      <w:pPr>
        <w:pStyle w:val="BodyJ"/>
        <w:keepNext w:val="false"/>
      </w:pPr>
      <w:r>
        <w:t xml:space="preserve">Hunter, K. M. (1991). </w:t>
      </w:r>
      <w:r>
        <w:rPr>
          <w:i/>
          <w:iCs/>
        </w:rPr>
        <w:t xml:space="preserve">Doctors' Stories: The Narrative Structure of Medical Knowledge</w:t>
      </w:r>
      <w:r>
        <w:t xml:space="preserve">. Princeton University Press.</w:t>
      </w:r>
    </w:p>
    <w:p>
      <w:pPr>
        <w:pStyle w:val="BodyJ"/>
        <w:keepNext w:val="false"/>
      </w:pPr>
      <w:r>
        <w:t xml:space="preserve">Hutchins, E. (1995). </w:t>
      </w:r>
      <w:r>
        <w:rPr>
          <w:i/>
          <w:iCs/>
        </w:rPr>
        <w:t xml:space="preserve">Cognition in the Wild</w:t>
      </w:r>
      <w:r>
        <w:t xml:space="preserve">. MIT Press.</w:t>
      </w:r>
    </w:p>
    <w:p>
      <w:pPr>
        <w:pStyle w:val="BodyJ"/>
        <w:keepNext w:val="false"/>
      </w:pPr>
      <w:r>
        <w:t xml:space="preserve">Hyland, K. (1998). </w:t>
      </w:r>
      <w:r>
        <w:rPr>
          <w:i/>
          <w:iCs/>
        </w:rPr>
        <w:t xml:space="preserve">Hedging in Scientific Research Articles</w:t>
      </w:r>
      <w:r>
        <w:t xml:space="preserve">. John Benjamins.</w:t>
      </w:r>
    </w:p>
    <w:p>
      <w:pPr>
        <w:pStyle w:val="BodyJ"/>
        <w:keepNext w:val="false"/>
      </w:pPr>
      <w:r>
        <w:t xml:space="preserve">Ji, Z., Lee, N., Frieske, R., Yu, T., Su, D., Xu, Y., et al. (2023). Survey of hallucination in natural language generation. </w:t>
      </w:r>
      <w:r>
        <w:rPr>
          <w:i/>
          <w:iCs/>
        </w:rPr>
        <w:t xml:space="preserve">ACM Computing Surveys, 55</w:t>
      </w:r>
      <w:r>
        <w:t xml:space="preserve">(12), Article 248.</w:t>
      </w:r>
    </w:p>
    <w:p>
      <w:pPr>
        <w:pStyle w:val="BodyJ"/>
        <w:keepNext w:val="false"/>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keepNext w:val="false"/>
      </w:pPr>
      <w:r>
        <w:t xml:space="preserve">Jonsen, A. R., &amp; Toulmin, S. (1988). </w:t>
      </w:r>
      <w:r>
        <w:rPr>
          <w:i/>
          <w:iCs/>
        </w:rPr>
        <w:t xml:space="preserve">The Abuse of Casuistry: A History of Moral Reasoning</w:t>
      </w:r>
      <w:r>
        <w:t xml:space="preserve">. University of California Press.</w:t>
      </w:r>
    </w:p>
    <w:p>
      <w:pPr>
        <w:pStyle w:val="BodyJ"/>
        <w:keepNext w:val="false"/>
      </w:pPr>
      <w:r>
        <w:t xml:space="preserve">Kadar, N., Romero, R., &amp; Papp, Z. (2018). Ignaz Semmelweis: The «Savior of Mothers»: On the 200th anniversary of his birth. </w:t>
      </w:r>
      <w:r>
        <w:rPr>
          <w:i/>
          <w:iCs/>
        </w:rPr>
        <w:t xml:space="preserve">American Journal of Obstetrics and Gynecology, 219</w:t>
      </w:r>
      <w:r>
        <w:t xml:space="preserve">(6), 519–522.</w:t>
      </w:r>
    </w:p>
    <w:p>
      <w:pPr>
        <w:pStyle w:val="BodyJ"/>
        <w:keepNext w:val="false"/>
      </w:pPr>
      <w:r>
        <w:t xml:space="preserve">Kadavath, S., Conerly, T., Askell, A., Henighan, T., Drain, D., Perez, E., et al. (2022). Language models (mostly) know what they know. </w:t>
      </w:r>
      <w:r>
        <w:rPr>
          <w:i/>
          <w:iCs/>
        </w:rPr>
        <w:t xml:space="preserve">arXiv preprint</w:t>
      </w:r>
      <w:r>
        <w:t xml:space="preserve">, arXiv:2207.05221.</w:t>
      </w:r>
    </w:p>
    <w:p>
      <w:pPr>
        <w:pStyle w:val="BodyJ"/>
        <w:keepNext w:val="false"/>
      </w:pPr>
      <w:r>
        <w:t xml:space="preserve">Kahneman, D. (2011). </w:t>
      </w:r>
      <w:r>
        <w:rPr>
          <w:i/>
          <w:iCs/>
        </w:rPr>
        <w:t xml:space="preserve">Thinking, Fast and Slow</w:t>
      </w:r>
      <w:r>
        <w:t xml:space="preserve">. Farrar, Straus and Giroux.</w:t>
      </w:r>
    </w:p>
    <w:p>
      <w:pPr>
        <w:pStyle w:val="BodyJ"/>
        <w:keepNext w:val="false"/>
      </w:pPr>
      <w:r>
        <w:t xml:space="preserve">Kahneman, D., &amp; Klein, G. (2009). Conditions for intuitive expertise: A failure to disagree. </w:t>
      </w:r>
      <w:r>
        <w:rPr>
          <w:i/>
          <w:iCs/>
        </w:rPr>
        <w:t xml:space="preserve">American Psychologist, 64</w:t>
      </w:r>
      <w:r>
        <w:t xml:space="preserve">(6), 515–526.</w:t>
      </w:r>
    </w:p>
    <w:p>
      <w:pPr>
        <w:pStyle w:val="BodyJ"/>
        <w:keepNext w:val="false"/>
      </w:pPr>
      <w:r>
        <w:t xml:space="preserve">Kassirer, J. P. (1989). Our stubborn quest for diagnostic certainty. </w:t>
      </w:r>
      <w:r>
        <w:rPr>
          <w:i/>
          <w:iCs/>
        </w:rPr>
        <w:t xml:space="preserve">New England Journal of Medicine, 320</w:t>
      </w:r>
      <w:r>
        <w:t xml:space="preserve">(22), 1489–1491.</w:t>
      </w:r>
    </w:p>
    <w:p>
      <w:pPr>
        <w:pStyle w:val="BodyJ"/>
        <w:keepNext w:val="false"/>
      </w:pPr>
      <w:r>
        <w:t xml:space="preserve">Kent, S. (1964). Words of estimative probability. </w:t>
      </w:r>
      <w:r>
        <w:rPr>
          <w:i/>
          <w:iCs/>
        </w:rPr>
        <w:t xml:space="preserve">Studies in Intelligence, 8</w:t>
      </w:r>
      <w:r>
        <w:t xml:space="preserve">(4).</w:t>
      </w:r>
    </w:p>
    <w:p>
      <w:pPr>
        <w:pStyle w:val="BodyJ"/>
        <w:keepNext w:val="false"/>
      </w:pPr>
      <w:r>
        <w:t xml:space="preserve">Kidd, I. J., &amp; Carel, H. (2017). Epistemic injustice and illness. </w:t>
      </w:r>
      <w:r>
        <w:rPr>
          <w:i/>
          <w:iCs/>
        </w:rPr>
        <w:t xml:space="preserve">Journal of Applied Philosophy, 34</w:t>
      </w:r>
      <w:r>
        <w:t xml:space="preserve">(2), 172–190.</w:t>
      </w:r>
    </w:p>
    <w:p>
      <w:pPr>
        <w:pStyle w:val="BodyJ"/>
        <w:keepNext w:val="false"/>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keepNext w:val="false"/>
      </w:pPr>
      <w:r>
        <w:t xml:space="preserve">Knight, F. H. (1921). </w:t>
      </w:r>
      <w:r>
        <w:rPr>
          <w:i/>
          <w:iCs/>
        </w:rPr>
        <w:t xml:space="preserve">Risk, Uncertainty and Profit</w:t>
      </w:r>
      <w:r>
        <w:t xml:space="preserve">. Houghton Mifflin.</w:t>
      </w:r>
    </w:p>
    <w:p>
      <w:pPr>
        <w:pStyle w:val="BodyJ"/>
        <w:keepNext w:val="false"/>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keepNext w:val="false"/>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keepNext w:val="false"/>
      </w:pPr>
      <w:r>
        <w:t xml:space="preserve">Kuhn, T. S. (1996). </w:t>
      </w:r>
      <w:r>
        <w:rPr>
          <w:i/>
          <w:iCs/>
        </w:rPr>
        <w:t xml:space="preserve">The Structure of Scientific Revolutions</w:t>
      </w:r>
      <w:r>
        <w:t xml:space="preserve"> (3rd ed.). University of Chicago Press. (Obra original publicada en 1962).</w:t>
      </w:r>
    </w:p>
    <w:p>
      <w:pPr>
        <w:pStyle w:val="BodyJ"/>
        <w:keepNext w:val="false"/>
      </w:pPr>
      <w:r>
        <w:t xml:space="preserve">Lackey, J. (2008). </w:t>
      </w:r>
      <w:r>
        <w:rPr>
          <w:i/>
          <w:iCs/>
        </w:rPr>
        <w:t xml:space="preserve">Learning from Words: Testimony as a Source of Knowledge</w:t>
      </w:r>
      <w:r>
        <w:t xml:space="preserve">. Oxford University Press.</w:t>
      </w:r>
    </w:p>
    <w:p>
      <w:pPr>
        <w:pStyle w:val="BodyJ"/>
        <w:keepNext w:val="false"/>
      </w:pPr>
      <w:r>
        <w:t xml:space="preserve">Laennec, R. T. H. (1819). </w:t>
      </w:r>
      <w:r>
        <w:rPr>
          <w:i/>
          <w:iCs/>
        </w:rPr>
        <w:t xml:space="preserve">De l'auscultation médiate, ou Traité du diagnostic des maladies des poumons et du cœur</w:t>
      </w:r>
      <w:r>
        <w:t xml:space="preserve"> (Vol. 1). J.-A. Brosson et J.-S. Chaudé.</w:t>
      </w:r>
    </w:p>
    <w:p>
      <w:pPr>
        <w:pStyle w:val="BodyJ"/>
        <w:keepNext w:val="false"/>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keepNext w:val="false"/>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keepNext w:val="false"/>
      </w:pPr>
      <w:r>
        <w:t xml:space="preserve">Landrigan, C. P., Rahman, S. A., Sullivan, J. P., Vittinghoff, E., Barger, L. K., Sanderson, A. L., et al. (2020). Effect on patient safety of a resident physician schedule without 24-hour shifts. </w:t>
      </w:r>
      <w:r>
        <w:rPr>
          <w:i/>
          <w:iCs/>
        </w:rPr>
        <w:t xml:space="preserve">New England Journal of Medicine, 382</w:t>
      </w:r>
      <w:r>
        <w:t xml:space="preserve">(26), 2514–2523.</w:t>
      </w:r>
    </w:p>
    <w:p>
      <w:pPr>
        <w:pStyle w:val="BodyJ"/>
        <w:keepNext w:val="false"/>
      </w:pPr>
      <w:r>
        <w:t xml:space="preserve">Ledley, R. S., &amp; Lusted, L. B. (1959). Reasoning foundations of medical diagnosis: Symbolic logic, probability, and value theory aid our understanding of how physicians reason. </w:t>
      </w:r>
      <w:r>
        <w:rPr>
          <w:i/>
          <w:iCs/>
        </w:rPr>
        <w:t xml:space="preserve">Science, 130</w:t>
      </w:r>
      <w:r>
        <w:t xml:space="preserve">(3366), 9–21.</w:t>
      </w:r>
    </w:p>
    <w:p>
      <w:pPr>
        <w:pStyle w:val="BodyJ"/>
        <w:keepNext w:val="false"/>
      </w:pPr>
      <w:r>
        <w:t xml:space="preserve">Lee, P., Bubeck, S., &amp; Petro, J. (2023). Benefits, limits, and risks of GPT-4 as an AI chatbot for medicine. </w:t>
      </w:r>
      <w:r>
        <w:rPr>
          <w:i/>
          <w:iCs/>
        </w:rPr>
        <w:t xml:space="preserve">New England Journal of Medicine, 388</w:t>
      </w:r>
      <w:r>
        <w:t xml:space="preserve">, 1233–1239.</w:t>
      </w:r>
    </w:p>
    <w:p>
      <w:pPr>
        <w:pStyle w:val="BodyJ"/>
        <w:keepNext w:val="false"/>
      </w:pPr>
      <w:r>
        <w:t xml:space="preserve">Lifshitz, A. (2014). </w:t>
      </w:r>
      <w:r>
        <w:rPr>
          <w:i/>
          <w:iCs/>
        </w:rPr>
        <w:t xml:space="preserve">La nueva clínica</w:t>
      </w:r>
      <w:r>
        <w:t xml:space="preserve">. Academia Nacional de Medicina de México.</w:t>
      </w:r>
    </w:p>
    <w:p>
      <w:pPr>
        <w:pStyle w:val="BodyJ"/>
        <w:keepNext w:val="false"/>
      </w:pPr>
      <w:r>
        <w:t xml:space="preserve">Limb, C. J., &amp; Braun, A. R. (2008). Neural substrates of spontaneous musical performance: An fMRI study of jazz improvisation. </w:t>
      </w:r>
      <w:r>
        <w:rPr>
          <w:i/>
          <w:iCs/>
        </w:rPr>
        <w:t xml:space="preserve">PLoS ONE, 3</w:t>
      </w:r>
      <w:r>
        <w:t xml:space="preserve">(2), e1679.</w:t>
      </w:r>
    </w:p>
    <w:p>
      <w:pPr>
        <w:pStyle w:val="BodyJ"/>
        <w:keepNext w:val="false"/>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keepNext w:val="false"/>
      </w:pPr>
      <w:r>
        <w:t xml:space="preserve">Lipkin, M., &amp; Hardy, J. D. (1957). Differential diagnosis of hematologic diseases aided by mechanical correlation of data. </w:t>
      </w:r>
      <w:r>
        <w:rPr>
          <w:i/>
          <w:iCs/>
        </w:rPr>
        <w:t xml:space="preserve">Science, 125</w:t>
      </w:r>
      <w:r>
        <w:t xml:space="preserve">(3247), 551–552.</w:t>
      </w:r>
    </w:p>
    <w:p>
      <w:pPr>
        <w:pStyle w:val="BodyJ"/>
        <w:keepNext w:val="false"/>
      </w:pPr>
      <w:r>
        <w:t xml:space="preserve">Louis, P.-C.-A. (1835). </w:t>
      </w:r>
      <w:r>
        <w:rPr>
          <w:i/>
          <w:iCs/>
        </w:rPr>
        <w:t xml:space="preserve">Recherches sur les effets de la saignée dans quelques maladies inflammatoires, et sur l'action de l'émétique et des vésicatoires dans la pneumonie</w:t>
      </w:r>
      <w:r>
        <w:t xml:space="preserve">. J.-B. Baillière.</w:t>
      </w:r>
    </w:p>
    <w:p>
      <w:pPr>
        <w:pStyle w:val="BodyJ"/>
        <w:keepNext w:val="false"/>
      </w:pPr>
      <w:r>
        <w:t xml:space="preserve">Lukac, P. J., Turner, W., Vangala, S., Chin, A. T., Khalili, J., Shih, Y.-C. T., et al. (2025). Ambient AI scribes in clinical practice: A randomized trial. </w:t>
      </w:r>
      <w:r>
        <w:rPr>
          <w:i/>
          <w:iCs/>
        </w:rPr>
        <w:t xml:space="preserve">NEJM AI, 2</w:t>
      </w:r>
      <w:r>
        <w:t xml:space="preserve">(12), AIoa2501000.</w:t>
      </w:r>
    </w:p>
    <w:p>
      <w:pPr>
        <w:pStyle w:val="BodyJ"/>
        <w:keepNext w:val="false"/>
      </w:pPr>
      <w:r>
        <w:t xml:space="preserve">Mamede, S., Schmidt, H. G., &amp; Penaforte, J. C. (2008). Effects of reflective practice on the accuracy of medical diagnoses. </w:t>
      </w:r>
      <w:r>
        <w:rPr>
          <w:i/>
          <w:iCs/>
        </w:rPr>
        <w:t xml:space="preserve">Medical Education, 42</w:t>
      </w:r>
      <w:r>
        <w:t xml:space="preserve">(5), 468–475.</w:t>
      </w:r>
    </w:p>
    <w:p>
      <w:pPr>
        <w:pStyle w:val="BodyJ"/>
        <w:keepNext w:val="false"/>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keepNext w:val="false"/>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keepNext w:val="false"/>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keepNext w:val="false"/>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keepNext w:val="false"/>
      </w:pPr>
      <w:r>
        <w:t xml:space="preserve">Maturana, H. (1990). </w:t>
      </w:r>
      <w:r>
        <w:rPr>
          <w:i/>
          <w:iCs/>
        </w:rPr>
        <w:t xml:space="preserve">Emociones y lenguaje en educación y política</w:t>
      </w:r>
      <w:r>
        <w:t xml:space="preserve">. Hachette / CED.</w:t>
      </w:r>
    </w:p>
    <w:p>
      <w:pPr>
        <w:pStyle w:val="BodyJ"/>
        <w:keepNext w:val="false"/>
      </w:pPr>
      <w:r>
        <w:t xml:space="preserve">Maturana, H., &amp; Varela, F. (1984). </w:t>
      </w:r>
      <w:r>
        <w:rPr>
          <w:i/>
          <w:iCs/>
        </w:rPr>
        <w:t xml:space="preserve">El árbol del conocimiento: Las bases biológicas del entendimiento humano</w:t>
      </w:r>
      <w:r>
        <w:t xml:space="preserve">. Editorial Universitaria.</w:t>
      </w:r>
    </w:p>
    <w:p>
      <w:pPr>
        <w:pStyle w:val="BodyJ"/>
        <w:keepNext w:val="false"/>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keepNext w:val="false"/>
      </w:pPr>
      <w:r>
        <w:t xml:space="preserve">McDuff, D., Schaekermann, M., Tu, T., Palepu, A., Wang, A., Garrison, J., et al. (2025). Towards accurate differential diagnosis with large language models. </w:t>
      </w:r>
      <w:r>
        <w:rPr>
          <w:i/>
          <w:iCs/>
        </w:rPr>
        <w:t xml:space="preserve">Nature, 642</w:t>
      </w:r>
      <w:r>
        <w:t xml:space="preserve">(8067), 451–457.</w:t>
      </w:r>
    </w:p>
    <w:p>
      <w:pPr>
        <w:pStyle w:val="BodyJ"/>
        <w:keepNext w:val="false"/>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keepNext w:val="false"/>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keepNext w:val="false"/>
      </w:pPr>
      <w:r>
        <w:t xml:space="preserve">Monteiro, S., &amp; Norman, G. (2013). Diagnostic reasoning: Where we've been, where we're going. </w:t>
      </w:r>
      <w:r>
        <w:rPr>
          <w:i/>
          <w:iCs/>
        </w:rPr>
        <w:t xml:space="preserve">Teaching and Learning in Medicine, 25</w:t>
      </w:r>
      <w:r>
        <w:t xml:space="preserve">(Suppl 1), S26–S32.</w:t>
      </w:r>
    </w:p>
    <w:p>
      <w:pPr>
        <w:pStyle w:val="BodyJ"/>
        <w:keepNext w:val="false"/>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keepNext w:val="false"/>
      </w:pPr>
      <w:r>
        <w:t xml:space="preserve">Montgomery, K. (2006). </w:t>
      </w:r>
      <w:r>
        <w:rPr>
          <w:i/>
          <w:iCs/>
        </w:rPr>
        <w:t xml:space="preserve">How Doctors Think: Clinical Judgment and the Practice of Medicine</w:t>
      </w:r>
      <w:r>
        <w:t xml:space="preserve">. Oxford University Press.</w:t>
      </w:r>
    </w:p>
    <w:p>
      <w:pPr>
        <w:pStyle w:val="BodyJ"/>
        <w:keepNext w:val="false"/>
      </w:pPr>
      <w:r>
        <w:t xml:space="preserve">Morabia, A. (2006). Pierre-Charles-Alexandre Louis and the evaluation of bloodletting. </w:t>
      </w:r>
      <w:r>
        <w:rPr>
          <w:i/>
          <w:iCs/>
        </w:rPr>
        <w:t xml:space="preserve">Journal of the Royal Society of Medicine, 99</w:t>
      </w:r>
      <w:r>
        <w:t xml:space="preserve">(3), 158–160.</w:t>
      </w:r>
    </w:p>
    <w:p>
      <w:pPr>
        <w:pStyle w:val="BodyJ"/>
        <w:keepNext w:val="false"/>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keepNext w:val="false"/>
      </w:pPr>
      <w:r>
        <w:t xml:space="preserve">Nash, F. A. (1954). Differential diagnosis: An apparatus to assist the logical faculties. </w:t>
      </w:r>
      <w:r>
        <w:rPr>
          <w:i/>
          <w:iCs/>
        </w:rPr>
        <w:t xml:space="preserve">The Lancet, 266</w:t>
      </w:r>
      <w:r>
        <w:t xml:space="preserve">(6817), 874–875.</w:t>
      </w:r>
    </w:p>
    <w:p>
      <w:pPr>
        <w:pStyle w:val="BodyJ"/>
        <w:keepNext w:val="false"/>
      </w:pPr>
      <w:r>
        <w:t xml:space="preserve">National Academies of Sciences, Engineering, and Medicine. (2015). </w:t>
      </w:r>
      <w:r>
        <w:rPr>
          <w:i/>
          <w:iCs/>
        </w:rPr>
        <w:t xml:space="preserve">Improving Diagnosis in Health Care</w:t>
      </w:r>
      <w:r>
        <w:t xml:space="preserve">. The National Academies Press.</w:t>
      </w:r>
    </w:p>
    <w:p>
      <w:pPr>
        <w:pStyle w:val="BodyJ"/>
        <w:keepNext w:val="false"/>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keepNext w:val="false"/>
      </w:pPr>
      <w:r>
        <w:t xml:space="preserve">Newman-Toker, D. E., Nassery, N., Schaffer, A. C., Yu-Moe, C. W., Clemens, G. D., Wang, Z., et al. (2024). Burden of serious harms from diagnostic error in the USA. </w:t>
      </w:r>
      <w:r>
        <w:rPr>
          <w:i/>
          <w:iCs/>
        </w:rPr>
        <w:t xml:space="preserve">BMJ Quality &amp; Safety, 33</w:t>
      </w:r>
      <w:r>
        <w:t xml:space="preserve">(2), 109–120.</w:t>
      </w:r>
    </w:p>
    <w:p>
      <w:pPr>
        <w:pStyle w:val="BodyJ"/>
        <w:keepNext w:val="false"/>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keepNext w:val="false"/>
      </w:pPr>
      <w:r>
        <w:t xml:space="preserve">Norman, G. (2005). Research in clinical reasoning: Past history and current trends. </w:t>
      </w:r>
      <w:r>
        <w:rPr>
          <w:i/>
          <w:iCs/>
        </w:rPr>
        <w:t xml:space="preserve">Medical Education, 39</w:t>
      </w:r>
      <w:r>
        <w:t xml:space="preserve">(4), 418–427.</w:t>
      </w:r>
    </w:p>
    <w:p>
      <w:pPr>
        <w:pStyle w:val="BodyJ"/>
        <w:keepNext w:val="false"/>
      </w:pPr>
      <w:r>
        <w:t xml:space="preserve">Norman, G. (2009). Dual processing and diagnostic errors. </w:t>
      </w:r>
      <w:r>
        <w:rPr>
          <w:i/>
          <w:iCs/>
        </w:rPr>
        <w:t xml:space="preserve">Advances in Health Sciences Education, 14</w:t>
      </w:r>
      <w:r>
        <w:t xml:space="preserve">(Suppl 1), 37–49.</w:t>
      </w:r>
    </w:p>
    <w:p>
      <w:pPr>
        <w:pStyle w:val="BodyJ"/>
        <w:keepNext w:val="false"/>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keepNext w:val="false"/>
      </w:pPr>
      <w:r>
        <w:t xml:space="preserve">Novoa Jurado, A. J. (2025). Terapia epistémica del conocimiento clínico. </w:t>
      </w:r>
      <w:r>
        <w:rPr>
          <w:i/>
          <w:iCs/>
        </w:rPr>
        <w:t xml:space="preserve">Revista Clínica de Medicina de Familia, 18</w:t>
      </w:r>
      <w:r>
        <w:t xml:space="preserve">(3), 274–282.</w:t>
      </w:r>
    </w:p>
    <w:p>
      <w:pPr>
        <w:pStyle w:val="BodyJ"/>
        <w:keepNext w:val="false"/>
      </w:pPr>
      <w:r>
        <w:t xml:space="preserve">O'Sullivan, J. W., Muntinga, T., Grigg, S., &amp; Ioannidis, J. P. A. (2018). Prevalence and outcomes of incidental imaging findings: Umbrella review. </w:t>
      </w:r>
      <w:r>
        <w:rPr>
          <w:i/>
          <w:iCs/>
        </w:rPr>
        <w:t xml:space="preserve">BMJ, 361</w:t>
      </w:r>
      <w:r>
        <w:t xml:space="preserve">, k2387.</w:t>
      </w:r>
    </w:p>
    <w:p>
      <w:pPr>
        <w:pStyle w:val="BodyJ"/>
        <w:keepNext w:val="false"/>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keepNext w:val="false"/>
      </w:pPr>
      <w:r>
        <w:t xml:space="preserve">Osler, W. (1892). </w:t>
      </w:r>
      <w:r>
        <w:rPr>
          <w:i/>
          <w:iCs/>
        </w:rPr>
        <w:t xml:space="preserve">The Principles and Practice of Medicine</w:t>
      </w:r>
      <w:r>
        <w:t xml:space="preserve">. D. Appleton.</w:t>
      </w:r>
    </w:p>
    <w:p>
      <w:pPr>
        <w:pStyle w:val="BodyJ"/>
        <w:keepNext w:val="false"/>
      </w:pPr>
      <w:r>
        <w:t xml:space="preserve">Osler, W. (1905). </w:t>
      </w:r>
      <w:r>
        <w:rPr>
          <w:i/>
          <w:iCs/>
        </w:rPr>
        <w:t xml:space="preserve">Aequanimitas: With Other Addresses to Medical Students, Nurses and Practitioners of Medicine</w:t>
      </w:r>
      <w:r>
        <w:t xml:space="preserve">. P. Blakiston's Son &amp; Co.</w:t>
      </w:r>
    </w:p>
    <w:p>
      <w:pPr>
        <w:pStyle w:val="BodyJ"/>
        <w:keepNext w:val="false"/>
      </w:pPr>
      <w:r>
        <w:t xml:space="preserve">Panicek, D. M., &amp; Hricak, H. (2016). How sure are you, doctor? A standardized lexicon to describe the radiologist's level of certainty. </w:t>
      </w:r>
      <w:r>
        <w:rPr>
          <w:i/>
          <w:iCs/>
        </w:rPr>
        <w:t xml:space="preserve">American Journal of Roentgenology, 207</w:t>
      </w:r>
      <w:r>
        <w:t xml:space="preserve">(1), 2–3.</w:t>
      </w:r>
    </w:p>
    <w:p>
      <w:pPr>
        <w:pStyle w:val="BodyJ"/>
        <w:keepNext w:val="false"/>
      </w:pPr>
      <w:r>
        <w:t xml:space="preserve">Parra, N. (1954). </w:t>
      </w:r>
      <w:r>
        <w:rPr>
          <w:i/>
          <w:iCs/>
        </w:rPr>
        <w:t xml:space="preserve">Poemas y antipoemas</w:t>
      </w:r>
      <w:r>
        <w:t xml:space="preserve">. Nascimento.</w:t>
      </w:r>
    </w:p>
    <w:p>
      <w:pPr>
        <w:pStyle w:val="BodyJ"/>
        <w:keepNext w:val="false"/>
      </w:pPr>
      <w:r>
        <w:t xml:space="preserve">Parra, N. (1969). </w:t>
      </w:r>
      <w:r>
        <w:rPr>
          <w:i/>
          <w:iCs/>
        </w:rPr>
        <w:t xml:space="preserve">Obra gruesa</w:t>
      </w:r>
      <w:r>
        <w:t xml:space="preserve">. Editorial Universitaria.</w:t>
      </w:r>
    </w:p>
    <w:p>
      <w:pPr>
        <w:pStyle w:val="BodyJ"/>
        <w:keepNext w:val="false"/>
      </w:pPr>
      <w:r>
        <w:t xml:space="preserve">Pauker, S. G., &amp; Kassirer, J. P. (1980). The threshold approach to clinical decision making. </w:t>
      </w:r>
      <w:r>
        <w:rPr>
          <w:i/>
          <w:iCs/>
        </w:rPr>
        <w:t xml:space="preserve">New England Journal of Medicine, 302</w:t>
      </w:r>
      <w:r>
        <w:t xml:space="preserve">(20), 1109–1117.</w:t>
      </w:r>
    </w:p>
    <w:p>
      <w:pPr>
        <w:pStyle w:val="BodyJ"/>
        <w:keepNext w:val="false"/>
      </w:pPr>
      <w:r>
        <w:t xml:space="preserve">Pearl, J., &amp; Mackenzie, D. (2018). </w:t>
      </w:r>
      <w:r>
        <w:rPr>
          <w:i/>
          <w:iCs/>
        </w:rPr>
        <w:t xml:space="preserve">The Book of Why: The New Science of Cause and Effect</w:t>
      </w:r>
      <w:r>
        <w:t xml:space="preserve">. Basic Books.</w:t>
      </w:r>
    </w:p>
    <w:p>
      <w:pPr>
        <w:pStyle w:val="BodyJ"/>
        <w:keepNext w:val="false"/>
      </w:pPr>
      <w:r>
        <w:t xml:space="preserve">Peirce, C. S. (1878). Deduction, induction, and hypothesis. </w:t>
      </w:r>
      <w:r>
        <w:rPr>
          <w:i/>
          <w:iCs/>
        </w:rPr>
        <w:t xml:space="preserve">Popular Science Monthly, 13</w:t>
      </w:r>
      <w:r>
        <w:t xml:space="preserve">, 470–482.</w:t>
      </w:r>
    </w:p>
    <w:p>
      <w:pPr>
        <w:pStyle w:val="BodyJ"/>
        <w:keepNext w:val="false"/>
      </w:pPr>
      <w:r>
        <w:t xml:space="preserve">Peirce, C. S. (1934). </w:t>
      </w:r>
      <w:r>
        <w:rPr>
          <w:i/>
          <w:iCs/>
        </w:rPr>
        <w:t xml:space="preserve">Collected Papers of Charles Sanders Peirce: Vol. 5. Pragmatism and Pragmaticism</w:t>
      </w:r>
      <w:r>
        <w:t xml:space="preserve"> (C. Hartshorne &amp; P. Weiss, Eds.). Harvard University Press.</w:t>
      </w:r>
    </w:p>
    <w:p>
      <w:pPr>
        <w:pStyle w:val="BodyJ"/>
        <w:keepNext w:val="false"/>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keepNext w:val="false"/>
      </w:pPr>
      <w:r>
        <w:t xml:space="preserve">Pepys, M. B., &amp; Hirschfield, G. M. (2003). C-reactive protein: A critical update. </w:t>
      </w:r>
      <w:r>
        <w:rPr>
          <w:i/>
          <w:iCs/>
        </w:rPr>
        <w:t xml:space="preserve">Journal of Clinical Investigation, 111</w:t>
      </w:r>
      <w:r>
        <w:t xml:space="preserve">(12), 1805–1812.</w:t>
      </w:r>
    </w:p>
    <w:p>
      <w:pPr>
        <w:pStyle w:val="BodyJ"/>
        <w:keepNext w:val="false"/>
      </w:pPr>
      <w:r>
        <w:t xml:space="preserve">Philibert, I. (2005). Sleep loss and performance in residents and nonphysicians: A meta-analytic examination. </w:t>
      </w:r>
      <w:r>
        <w:rPr>
          <w:i/>
          <w:iCs/>
        </w:rPr>
        <w:t xml:space="preserve">Sleep, 28</w:t>
      </w:r>
      <w:r>
        <w:t xml:space="preserve">(11), 1392–1402.</w:t>
      </w:r>
    </w:p>
    <w:p>
      <w:pPr>
        <w:pStyle w:val="BodyJ"/>
        <w:keepNext w:val="false"/>
      </w:pPr>
      <w:r>
        <w:t xml:space="preserve">Phillips, C. V., &amp; Goodman, K. J. (2004). The missed lessons of Sir Austin Bradford Hill. </w:t>
      </w:r>
      <w:r>
        <w:rPr>
          <w:i/>
          <w:iCs/>
        </w:rPr>
        <w:t xml:space="preserve">Epidemiologic Perspectives &amp; Innovations, 1</w:t>
      </w:r>
      <w:r>
        <w:t xml:space="preserve">(1), 3.</w:t>
      </w:r>
    </w:p>
    <w:p>
      <w:pPr>
        <w:pStyle w:val="BodyJ"/>
        <w:keepNext w:val="false"/>
      </w:pPr>
      <w:r>
        <w:t xml:space="preserve">Polanyi, M. (1966). </w:t>
      </w:r>
      <w:r>
        <w:rPr>
          <w:i/>
          <w:iCs/>
        </w:rPr>
        <w:t xml:space="preserve">The Tacit Dimension</w:t>
      </w:r>
      <w:r>
        <w:t xml:space="preserve">. University of Chicago Press.</w:t>
      </w:r>
    </w:p>
    <w:p>
      <w:pPr>
        <w:pStyle w:val="BodyJ"/>
        <w:keepNext w:val="false"/>
      </w:pPr>
      <w:r>
        <w:t xml:space="preserve">Popper, K. R. (1959). </w:t>
      </w:r>
      <w:r>
        <w:rPr>
          <w:i/>
          <w:iCs/>
        </w:rPr>
        <w:t xml:space="preserve">The Logic of Scientific Discovery</w:t>
      </w:r>
      <w:r>
        <w:t xml:space="preserve">. Hutchinson.</w:t>
      </w:r>
    </w:p>
    <w:p>
      <w:pPr>
        <w:pStyle w:val="BodyJ"/>
        <w:keepNext w:val="false"/>
      </w:pPr>
      <w:r>
        <w:t xml:space="preserve">Pormann, P. E. (2018). Concepts of patient groups in 10th-century Iraq and Persia. </w:t>
      </w:r>
      <w:r>
        <w:rPr>
          <w:i/>
          <w:iCs/>
        </w:rPr>
        <w:t xml:space="preserve">JLL Bulletin: Commentaries on the History of Treatment Evaluation</w:t>
      </w:r>
      <w:r>
        <w:t xml:space="preserve">. James Lind Library.</w:t>
      </w:r>
    </w:p>
    <w:p>
      <w:pPr>
        <w:pStyle w:val="BodyJ"/>
        <w:keepNext w:val="false"/>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keepNext w:val="false"/>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keepNext w:val="false"/>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keepNext w:val="false"/>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keepNext w:val="false"/>
      </w:pPr>
      <w:r>
        <w:t xml:space="preserve">Roguin, A. (2006). Rene Theophile Hyacinthe Laënnec (1781–1826): The man behind the stethoscope. </w:t>
      </w:r>
      <w:r>
        <w:rPr>
          <w:i/>
          <w:iCs/>
        </w:rPr>
        <w:t xml:space="preserve">Clinical Medicine &amp; Research, 4</w:t>
      </w:r>
      <w:r>
        <w:t xml:space="preserve">(3), 230–235.</w:t>
      </w:r>
    </w:p>
    <w:p>
      <w:pPr>
        <w:pStyle w:val="BodyJ"/>
        <w:keepNext w:val="false"/>
      </w:pPr>
      <w:r>
        <w:t xml:space="preserve">Rolfe, A., &amp; Burton, C. (2013). Reassurance after diagnostic testing with a low pretest probability of serious disease: Systematic review and meta-analysis. </w:t>
      </w:r>
      <w:r>
        <w:rPr>
          <w:i/>
          <w:iCs/>
        </w:rPr>
        <w:t xml:space="preserve">JAMA Internal Medicine, 173</w:t>
      </w:r>
      <w:r>
        <w:t xml:space="preserve">(6), 407–416.</w:t>
      </w:r>
    </w:p>
    <w:p>
      <w:pPr>
        <w:pStyle w:val="BodyJ"/>
        <w:keepNext w:val="false"/>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keepNext w:val="false"/>
      </w:pPr>
      <w:r>
        <w:t xml:space="preserve">Rudner, R. (1953). The scientist qua scientist makes value judgments. </w:t>
      </w:r>
      <w:r>
        <w:rPr>
          <w:i/>
          <w:iCs/>
        </w:rPr>
        <w:t xml:space="preserve">Philosophy of Science, 20</w:t>
      </w:r>
      <w:r>
        <w:t xml:space="preserve">(1), 1–6.</w:t>
      </w:r>
    </w:p>
    <w:p>
      <w:pPr>
        <w:pStyle w:val="BodyJ"/>
        <w:keepNext w:val="false"/>
      </w:pPr>
      <w:r>
        <w:t xml:space="preserve">Sackett, D. L., Rosenberg, W. M. C., Gray, J. A. M., Haynes, R. B., &amp; Richardson, W. S. (1996). Evidence based medicine: What it is and what it isn't. </w:t>
      </w:r>
      <w:r>
        <w:rPr>
          <w:i/>
          <w:iCs/>
        </w:rPr>
        <w:t xml:space="preserve">BMJ, 312</w:t>
      </w:r>
      <w:r>
        <w:t xml:space="preserve">, 71–72.</w:t>
      </w:r>
    </w:p>
    <w:p>
      <w:pPr>
        <w:pStyle w:val="BodyJ"/>
        <w:keepNext w:val="false"/>
      </w:pPr>
      <w:r>
        <w:t xml:space="preserve">Sady, W. (2025). Ludwik Fleck. En E. N. Zalta &amp; U. Nodelman (Eds.), </w:t>
      </w:r>
      <w:r>
        <w:rPr>
          <w:i/>
          <w:iCs/>
        </w:rPr>
        <w:t xml:space="preserve">The Stanford Encyclopedia of Philosophy</w:t>
      </w:r>
      <w:r>
        <w:t xml:space="preserve"> (Winter 2025 ed.).</w:t>
      </w:r>
    </w:p>
    <w:p>
      <w:pPr>
        <w:pStyle w:val="BodyJ"/>
        <w:keepNext w:val="false"/>
      </w:pPr>
      <w:r>
        <w:t xml:space="preserve">Salager-Meyer, F. (1994). Hedges and textual communicative function in medical English written discourse. </w:t>
      </w:r>
      <w:r>
        <w:rPr>
          <w:i/>
          <w:iCs/>
        </w:rPr>
        <w:t xml:space="preserve">English for Specific Purposes, 13</w:t>
      </w:r>
      <w:r>
        <w:t xml:space="preserve">(2), 149–170.</w:t>
      </w:r>
    </w:p>
    <w:p>
      <w:pPr>
        <w:pStyle w:val="BodyJ"/>
        <w:keepNext w:val="false"/>
      </w:pPr>
      <w:r>
        <w:t xml:space="preserve">Sandars, J. (2009). The use of reflection in medical education: AMEE Guide No. 44. </w:t>
      </w:r>
      <w:r>
        <w:rPr>
          <w:i/>
          <w:iCs/>
        </w:rPr>
        <w:t xml:space="preserve">Medical Teacher, 31</w:t>
      </w:r>
      <w:r>
        <w:t xml:space="preserve">(8), 685–695.</w:t>
      </w:r>
    </w:p>
    <w:p>
      <w:pPr>
        <w:pStyle w:val="BodyJ"/>
        <w:keepNext w:val="false"/>
      </w:pPr>
      <w:r>
        <w:t xml:space="preserve">Satoh, M., Chan, E. K., Ho, L. A., Rose, K. M., Parks, C. G., Cohn, R. D., et al. (2012). Prevalence and sociodemographic correlates of antinuclear antibodies in the United States. </w:t>
      </w:r>
      <w:r>
        <w:rPr>
          <w:i/>
          <w:iCs/>
        </w:rPr>
        <w:t xml:space="preserve">Arthritis &amp; Rheumatism, 64</w:t>
      </w:r>
      <w:r>
        <w:t xml:space="preserve">(7), 2319–2327.</w:t>
      </w:r>
    </w:p>
    <w:p>
      <w:pPr>
        <w:pStyle w:val="BodyJ"/>
        <w:keepNext w:val="false"/>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keepNext w:val="false"/>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keepNext w:val="false"/>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keepNext w:val="false"/>
      </w:pPr>
      <w:r>
        <w:t xml:space="preserve">Schön, D. A. (1983). </w:t>
      </w:r>
      <w:r>
        <w:rPr>
          <w:i/>
          <w:iCs/>
        </w:rPr>
        <w:t xml:space="preserve">The Reflective Practitioner: How Professionals Think in Action</w:t>
      </w:r>
      <w:r>
        <w:t xml:space="preserve">. Basic Books.</w:t>
      </w:r>
    </w:p>
    <w:p>
      <w:pPr>
        <w:pStyle w:val="BodyJ"/>
        <w:keepNext w:val="false"/>
      </w:pPr>
      <w:r>
        <w:t xml:space="preserve">Schreiner, S. (2020). Ignaz Semmelweis: A victim of harassment? </w:t>
      </w:r>
      <w:r>
        <w:rPr>
          <w:i/>
          <w:iCs/>
        </w:rPr>
        <w:t xml:space="preserve">Wiener Medizinische Wochenschrift, 170</w:t>
      </w:r>
      <w:r>
        <w:t xml:space="preserve">(11–12), 293–302.</w:t>
      </w:r>
    </w:p>
    <w:p>
      <w:pPr>
        <w:pStyle w:val="BodyJ"/>
        <w:keepNext w:val="false"/>
      </w:pPr>
      <w:r>
        <w:t xml:space="preserve">Semmelweis, I. P. (1861). </w:t>
      </w:r>
      <w:r>
        <w:rPr>
          <w:i/>
          <w:iCs/>
        </w:rPr>
        <w:t xml:space="preserve">Die Aetiologie, der Begriff und die Prophylaxis des Kindbettfiebers</w:t>
      </w:r>
      <w:r>
        <w:t xml:space="preserve">. C. A. Hartleben.</w:t>
      </w:r>
    </w:p>
    <w:p>
      <w:pPr>
        <w:pStyle w:val="BodyJ"/>
        <w:keepNext w:val="false"/>
      </w:pPr>
      <w:r>
        <w:t xml:space="preserve">Shinagare, A. B., Lacson, R., Boland, G. W., Wang, A., Silverman, S. G., Mayo-Smith, W. W., et al. (2019). Radiologist preferences, agreement, and variability in phrases used to convey diagnostic certainty in radiology reports. </w:t>
      </w:r>
      <w:r>
        <w:rPr>
          <w:i/>
          <w:iCs/>
        </w:rPr>
        <w:t xml:space="preserve">Journal of the American College of Radiology, 16</w:t>
      </w:r>
      <w:r>
        <w:t xml:space="preserve">(4), 458–464.</w:t>
      </w:r>
    </w:p>
    <w:p>
      <w:pPr>
        <w:pStyle w:val="BodyJ"/>
        <w:keepNext w:val="false"/>
      </w:pPr>
      <w:r>
        <w:t xml:space="preserve">Shinagare, A. B., Alper, D. P., Hashemi, S. R., Chai, J. L., Hammer, M. M., Boland, G. W., et al. (2020). Early adoption of a certainty scale to improve diagnostic certainty communication. </w:t>
      </w:r>
      <w:r>
        <w:rPr>
          <w:i/>
          <w:iCs/>
        </w:rPr>
        <w:t xml:space="preserve">Journal of the American College of Radiology, 17</w:t>
      </w:r>
      <w:r>
        <w:t xml:space="preserve">(10), 1276–1284.</w:t>
      </w:r>
    </w:p>
    <w:p>
      <w:pPr>
        <w:pStyle w:val="BodyJ"/>
        <w:keepNext w:val="false"/>
      </w:pPr>
      <w:r>
        <w:t xml:space="preserve">Simpkin, A. L., &amp; Schwartzstein, R. M. (2016). Tolerating uncertainty — The next medical revolution? </w:t>
      </w:r>
      <w:r>
        <w:rPr>
          <w:i/>
          <w:iCs/>
        </w:rPr>
        <w:t xml:space="preserve">New England Journal of Medicine, 375</w:t>
      </w:r>
      <w:r>
        <w:t xml:space="preserve">, 1713–1715.</w:t>
      </w:r>
    </w:p>
    <w:p>
      <w:pPr>
        <w:pStyle w:val="BodyJ"/>
        <w:keepNext w:val="false"/>
      </w:pPr>
      <w:r>
        <w:t xml:space="preserve">Singer, P. N. (2024). Galen. En E. N. Zalta &amp; U. Nodelman (Eds.), </w:t>
      </w:r>
      <w:r>
        <w:rPr>
          <w:i/>
          <w:iCs/>
        </w:rPr>
        <w:t xml:space="preserve">The Stanford Encyclopedia of Philosophy</w:t>
      </w:r>
      <w:r>
        <w:t xml:space="preserve"> (Fall 2024 ed.).</w:t>
      </w:r>
    </w:p>
    <w:p>
      <w:pPr>
        <w:pStyle w:val="BodyJ"/>
        <w:keepNext w:val="false"/>
      </w:pPr>
      <w:r>
        <w:t xml:space="preserve">Singhal, K., Azizi, S., Tu, T., Mahdavi, S. S., Wei, J., Chung, H. W., et al. (2023). Large language models encode clinical knowledge. </w:t>
      </w:r>
      <w:r>
        <w:rPr>
          <w:i/>
          <w:iCs/>
        </w:rPr>
        <w:t xml:space="preserve">Nature, 620</w:t>
      </w:r>
      <w:r>
        <w:t xml:space="preserve">, 172–180.</w:t>
      </w:r>
    </w:p>
    <w:p>
      <w:pPr>
        <w:pStyle w:val="BodyJ"/>
        <w:keepNext w:val="false"/>
      </w:pPr>
      <w:r>
        <w:t xml:space="preserve">Smith, C. M. (2005). Origin and uses of primum non nocere—above all, do no harm! </w:t>
      </w:r>
      <w:r>
        <w:rPr>
          <w:i/>
          <w:iCs/>
        </w:rPr>
        <w:t xml:space="preserve">Journal of Clinical Pharmacology, 45</w:t>
      </w:r>
      <w:r>
        <w:t xml:space="preserve">(4), 371–377.</w:t>
      </w:r>
    </w:p>
    <w:p>
      <w:pPr>
        <w:pStyle w:val="BodyJ"/>
        <w:keepNext w:val="false"/>
      </w:pPr>
      <w:r>
        <w:t xml:space="preserve">Staal, J., Hooftman, J., Gunput, S. T. G., Mamede, S., Frens, M. A., Van den Broek, W. W., et al. (2022). Effect on diagnostic accuracy of cognitive reasoning tools for the workplace setting: Systematic review and meta-analysis. </w:t>
      </w:r>
      <w:r>
        <w:rPr>
          <w:i/>
          <w:iCs/>
        </w:rPr>
        <w:t xml:space="preserve">BMJ Quality &amp; Safety, 31</w:t>
      </w:r>
      <w:r>
        <w:t xml:space="preserve">(12), 899–910.</w:t>
      </w:r>
    </w:p>
    <w:p>
      <w:pPr>
        <w:pStyle w:val="BodyJ"/>
        <w:keepNext w:val="false"/>
      </w:pPr>
      <w:r>
        <w:t xml:space="preserve">Stang, A., Standl, F., &amp; Poole, C. (2022). A twenty-first century perspective on concepts of modern epidemiology in Ignaz Philipp Semmelweis' work on puerperal sepsis. </w:t>
      </w:r>
      <w:r>
        <w:rPr>
          <w:i/>
          <w:iCs/>
        </w:rPr>
        <w:t xml:space="preserve">European Journal of Epidemiology, 37</w:t>
      </w:r>
      <w:r>
        <w:t xml:space="preserve">(5), 437–445.</w:t>
      </w:r>
    </w:p>
    <w:p>
      <w:pPr>
        <w:pStyle w:val="BodyJ"/>
        <w:keepNext w:val="false"/>
      </w:pPr>
      <w:r>
        <w:t xml:space="preserve">Steinkamp, J., Kantrowitz, J. J., &amp; Airan-Javia, S. (2022). Prevalence and sources of duplicate information in the electronic medical record. </w:t>
      </w:r>
      <w:r>
        <w:rPr>
          <w:i/>
          <w:iCs/>
        </w:rPr>
        <w:t xml:space="preserve">JAMA Network Open, 5</w:t>
      </w:r>
      <w:r>
        <w:t xml:space="preserve">(9), e2233348.</w:t>
      </w:r>
    </w:p>
    <w:p>
      <w:pPr>
        <w:pStyle w:val="BodyJ"/>
        <w:keepNext w:val="false"/>
      </w:pPr>
      <w:r>
        <w:t xml:space="preserve">Stetson, P. D., Bakken, S., Wrenn, J. O., &amp; Siegler, E. L. (2012). Assessing electronic note quality using the Physician Documentation Quality Instrument (PDQI-9). </w:t>
      </w:r>
      <w:r>
        <w:rPr>
          <w:i/>
          <w:iCs/>
        </w:rPr>
        <w:t xml:space="preserve">Applied Clinical Informatics, 3</w:t>
      </w:r>
      <w:r>
        <w:t xml:space="preserve">(2), 164–174.</w:t>
      </w:r>
    </w:p>
    <w:p>
      <w:pPr>
        <w:pStyle w:val="BodyJ"/>
        <w:keepNext w:val="false"/>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keepNext w:val="false"/>
      </w:pPr>
      <w:r>
        <w:t xml:space="preserve">Taboada, P. (2000). El derecho a morir con dignidad. </w:t>
      </w:r>
      <w:r>
        <w:rPr>
          <w:i/>
          <w:iCs/>
        </w:rPr>
        <w:t xml:space="preserve">Acta Bioethica, 6</w:t>
      </w:r>
      <w:r>
        <w:t xml:space="preserve">(1), 89–101.</w:t>
      </w:r>
    </w:p>
    <w:p>
      <w:pPr>
        <w:pStyle w:val="BodyJ"/>
        <w:keepNext w:val="false"/>
      </w:pPr>
      <w:r>
        <w:t xml:space="preserve">Tajer, C. (2008). </w:t>
      </w:r>
      <w:r>
        <w:rPr>
          <w:i/>
          <w:iCs/>
        </w:rPr>
        <w:t xml:space="preserve">El corazón enfermo: Puentes entre las emociones y el infarto</w:t>
      </w:r>
      <w:r>
        <w:t xml:space="preserve">. Libros del Zorzal.</w:t>
      </w:r>
    </w:p>
    <w:p>
      <w:pPr>
        <w:pStyle w:val="BodyJ"/>
        <w:keepNext w:val="false"/>
      </w:pPr>
      <w:r>
        <w:t xml:space="preserve">Tan, E. M., Feltkamp, T. E., Smolen, J. S., Butcher, B., Dawkins, R., Fritzler, M. J., et al. (1997). Range of antinuclear antibodies in «healthy» individuals. </w:t>
      </w:r>
      <w:r>
        <w:rPr>
          <w:i/>
          <w:iCs/>
        </w:rPr>
        <w:t xml:space="preserve">Arthritis &amp; Rheumatism, 40</w:t>
      </w:r>
      <w:r>
        <w:t xml:space="preserve">(9), 1601–1611.</w:t>
      </w:r>
    </w:p>
    <w:p>
      <w:pPr>
        <w:pStyle w:val="BodyJ"/>
        <w:keepNext w:val="false"/>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keepNext w:val="false"/>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keepNext w:val="false"/>
      </w:pPr>
      <w:r>
        <w:t xml:space="preserve">Tonelli, M. R. (1998). The philosophical limits of evidence-based medicine. </w:t>
      </w:r>
      <w:r>
        <w:rPr>
          <w:i/>
          <w:iCs/>
        </w:rPr>
        <w:t xml:space="preserve">Academic Medicine, 73</w:t>
      </w:r>
      <w:r>
        <w:t xml:space="preserve">(12), 1234–1240.</w:t>
      </w:r>
    </w:p>
    <w:p>
      <w:pPr>
        <w:pStyle w:val="BodyJ"/>
        <w:keepNext w:val="false"/>
      </w:pPr>
      <w:r>
        <w:t xml:space="preserve">Toulmin, S. (1958). </w:t>
      </w:r>
      <w:r>
        <w:rPr>
          <w:i/>
          <w:iCs/>
        </w:rPr>
        <w:t xml:space="preserve">The Uses of Argument</w:t>
      </w:r>
      <w:r>
        <w:t xml:space="preserve">. Cambridge University Press.</w:t>
      </w:r>
    </w:p>
    <w:p>
      <w:pPr>
        <w:pStyle w:val="BodyJ"/>
        <w:keepNext w:val="false"/>
      </w:pPr>
      <w:r>
        <w:t xml:space="preserve">Tversky, A., &amp; Kahneman, D. (1974). Judgment under uncertainty: Heuristics and biases. </w:t>
      </w:r>
      <w:r>
        <w:rPr>
          <w:i/>
          <w:iCs/>
        </w:rPr>
        <w:t xml:space="preserve">Science, 185</w:t>
      </w:r>
      <w:r>
        <w:t xml:space="preserve">(4157), 1124–1131.</w:t>
      </w:r>
    </w:p>
    <w:p>
      <w:pPr>
        <w:pStyle w:val="BodyJ"/>
        <w:keepNext w:val="false"/>
      </w:pPr>
      <w:r>
        <w:t xml:space="preserve">US Preventive Services Task Force, Bibbins-Domingo, K., Grossman, D. C., Curry, S. J., Barry, M. J., Davidson, K. W., et al. (2017). Screening for thyroid cancer: US Preventive Services Task Force recommendation statement. </w:t>
      </w:r>
      <w:r>
        <w:rPr>
          <w:i/>
          <w:iCs/>
        </w:rPr>
        <w:t xml:space="preserve">JAMA, 317</w:t>
      </w:r>
      <w:r>
        <w:t xml:space="preserve">(18), 1882–1887.</w:t>
      </w:r>
    </w:p>
    <w:p>
      <w:pPr>
        <w:pStyle w:val="BodyJ"/>
        <w:keepNext w:val="false"/>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keepNext w:val="false"/>
      </w:pPr>
      <w:r>
        <w:t xml:space="preserve">Varela, F. J. (1996). </w:t>
      </w:r>
      <w:r>
        <w:rPr>
          <w:i/>
          <w:iCs/>
        </w:rPr>
        <w:t xml:space="preserve">Ética y acción</w:t>
      </w:r>
      <w:r>
        <w:t xml:space="preserve">. Dolmen.</w:t>
      </w:r>
    </w:p>
    <w:p>
      <w:pPr>
        <w:pStyle w:val="BodyJ"/>
        <w:keepNext w:val="false"/>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keepNext w:val="false"/>
      </w:pPr>
      <w:r>
        <w:t xml:space="preserve">Weed, L. L. (1968a). Medical records that guide and teach. </w:t>
      </w:r>
      <w:r>
        <w:rPr>
          <w:i/>
          <w:iCs/>
        </w:rPr>
        <w:t xml:space="preserve">New England Journal of Medicine, 278</w:t>
      </w:r>
      <w:r>
        <w:t xml:space="preserve">(11), 593–600.</w:t>
      </w:r>
    </w:p>
    <w:p>
      <w:pPr>
        <w:pStyle w:val="BodyJ"/>
        <w:keepNext w:val="false"/>
      </w:pPr>
      <w:r>
        <w:t xml:space="preserve">Weed, L. L. (1968b). Medical records that guide and teach. </w:t>
      </w:r>
      <w:r>
        <w:rPr>
          <w:i/>
          <w:iCs/>
        </w:rPr>
        <w:t xml:space="preserve">New England Journal of Medicine, 278</w:t>
      </w:r>
      <w:r>
        <w:t xml:space="preserve">(12), 652–657.</w:t>
      </w:r>
    </w:p>
    <w:p>
      <w:pPr>
        <w:pStyle w:val="BodyJ"/>
        <w:keepNext w:val="false"/>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keepNext w:val="false"/>
      </w:pPr>
      <w:r>
        <w:t xml:space="preserve">Winograd, T., &amp; Flores, F. (1986). </w:t>
      </w:r>
      <w:r>
        <w:rPr>
          <w:i/>
          <w:iCs/>
        </w:rPr>
        <w:t xml:space="preserve">Understanding Computers and Cognition: A New Foundation for Design</w:t>
      </w:r>
      <w:r>
        <w:t xml:space="preserve">. Ablex.</w:t>
      </w:r>
    </w:p>
    <w:p>
      <w:pPr>
        <w:pStyle w:val="BodyJ"/>
        <w:keepNext w:val="false"/>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keepNext w:val="false"/>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keepNext w:val="false"/>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keepNext w:val="false"/>
      </w:pPr>
      <w:r>
        <w:t xml:space="preserve">Wu, A. W. (2000). Medical error: The second victim. The doctor who makes the mistake needs help too. </w:t>
      </w:r>
      <w:r>
        <w:rPr>
          <w:i/>
          <w:iCs/>
        </w:rPr>
        <w:t xml:space="preserve">BMJ, 320</w:t>
      </w:r>
      <w:r>
        <w:t xml:space="preserve">(7237), 726–727.</w:t>
      </w:r>
    </w:p>
    <w:p>
      <w:pPr>
        <w:pStyle w:val="BodyJ"/>
        <w:keepNext w:val="false"/>
      </w:pPr>
      <w:r>
        <w:t xml:space="preserve">Xiang, J., &amp; Venkatesan, S. (2023). The role of Vesalius and his contemporaries in the transfiguration of human anatomical science. </w:t>
      </w:r>
      <w:r>
        <w:rPr>
          <w:i/>
          <w:iCs/>
        </w:rPr>
        <w:t xml:space="preserve">Journal of Anatomy, 242</w:t>
      </w:r>
      <w:r>
        <w:t xml:space="preserve">(2), 124–131.</w:t>
      </w:r>
    </w:p>
    <w:p>
      <w:pPr>
        <w:pStyle w:val="BodyJ"/>
        <w:keepNext w:val="false"/>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keepNext w:val="false"/>
      </w:pPr>
      <w:r>
        <w:t xml:space="preserve">Yazdany, J., Schmajuk, G., Robbins, M., Daikh, D., Beall, A., Yelin, E., et al. (2013). Choosing wisely: The American College of Rheumatology's Top 5 list of things physicians and patients should question. </w:t>
      </w:r>
      <w:r>
        <w:rPr>
          <w:i/>
          <w:iCs/>
        </w:rPr>
        <w:t xml:space="preserve">Arthritis Care &amp; Research, 65</w:t>
      </w:r>
      <w:r>
        <w:t xml:space="preserve">(3), 329–339.</w:t>
      </w:r>
    </w:p>
    <w:p>
      <w:pPr>
        <w:pStyle w:val="BodyJ"/>
        <w:keepNext w:val="false"/>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BodyJ"/>
        <w:keepNext w:val="false"/>
      </w:pPr>
      <w:r>
        <w:t xml:space="preserve">Zwaan, L., Monteiro, S., Sherbino, J., Ilgen, J., Howey, B., &amp; Norman, G. (2017). Is bias in the eye of the beholder? A vignette study to assess recognition of cognitive biases in clinical case workups. </w:t>
      </w:r>
      <w:r>
        <w:rPr>
          <w:i/>
          <w:iCs/>
        </w:rPr>
        <w:t xml:space="preserve">BMJ Quality &amp; Safety, 26</w:t>
      </w:r>
      <w:r>
        <w:t xml:space="preserve">(2), 104–110.</w:t>
      </w:r>
    </w:p>
    <w:p>
      <w:pPr>
        <w:pStyle w:val="Heading1"/>
        <w:keepNext/>
        <w:keepLines/>
        <w:pageBreakBefore/>
        <w:spacing w:after="320" w:before="720"/>
      </w:pPr>
      <w:r>
        <w:rPr>
          <w:rFonts w:ascii="Gelasio" w:cs="Gelasio" w:eastAsia="Gelasio" w:hAnsi="Gelasio"/>
          <w:b/>
          <w:bCs/>
          <w:color w:val="2B2B2B"/>
          <w:sz w:val="34"/>
          <w:szCs w:val="34"/>
        </w:rPr>
        <w:t xml:space="preserve">Tarjeta: HII-D en sesenta segundos</w:t>
      </w:r>
    </w:p>
    <w:p>
      <w:pPr>
        <w:pStyle w:val="BodyJ"/>
        <w:keepNext w:val="false"/>
      </w:pPr>
      <w:r>
        <w:t xml:space="preserve">Para recortar y llevar en el bolsillo del delantal. Cuatro preguntas y un criterio de reapertura; en voz alta en la visita de sala o por escrito antes de firmar un alta. La versión completa está en el capítulo 17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demostrado.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rPr>
          <w:cantSplit/>
        </w:trP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demostrado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lasio" w:cs="Gelasio" w:eastAsia="Gelasio" w:hAnsi="Gelasio"/>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lasio" w:cs="Gelasio" w:eastAsia="Gelasio" w:hAnsi="Gelasio"/>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abstractNum w:abstractNumId="30"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lasio" w:cs="Gelasio" w:eastAsia="Gelasio" w:hAnsi="Gelasio"/>
        <w:color w:val="2B2B2B"/>
        <w:sz w:val="22"/>
        <w:szCs w:val="22"/>
        <w:lang w:val="es-CL"/>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uppressAutoHyphens/>
    </w:pPr>
    <w:rPr>
      <w:color w:val="2E74B5"/>
      <w:sz w:val="32"/>
      <w:szCs w:val="32"/>
    </w:rPr>
  </w:style>
  <w:style w:type="paragraph" w:styleId="Heading2">
    <w:name w:val="Heading 2"/>
    <w:basedOn w:val="Normal"/>
    <w:next w:val="Normal"/>
    <w:qFormat/>
    <w:pPr>
      <w:suppressAutoHyphens/>
    </w:pPr>
    <w:rPr>
      <w:color w:val="2E74B5"/>
      <w:sz w:val="26"/>
      <w:szCs w:val="26"/>
    </w:rPr>
  </w:style>
  <w:style w:type="paragraph" w:styleId="Heading3">
    <w:name w:val="Heading 3"/>
    <w:basedOn w:val="Normal"/>
    <w:next w:val="Normal"/>
    <w:qFormat/>
    <w:pPr>
      <w:suppressAutoHyphens/>
    </w:pPr>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lasio" w:cs="Gelasio" w:eastAsia="Gelasio" w:hAnsi="Gelasio"/>
      <w:color w:val="2B2B2B"/>
      <w:sz w:val="22"/>
      <w:szCs w:val="22"/>
    </w:rPr>
  </w:style>
  <w:style w:type="paragraph" w:styleId="PartLabel">
    <w:name w:val="PartLabel"/>
    <w:basedOn w:val="Normal"/>
    <w:pPr>
      <w:suppressAutoHyphens/>
      <w:spacing w:after="160" w:before="2600"/>
      <w:jc w:val="center"/>
    </w:pPr>
    <w:rPr>
      <w:rFonts w:ascii="Gelasio" w:cs="Gelasio" w:eastAsia="Gelasio" w:hAnsi="Gelasio"/>
      <w:b/>
      <w:bCs/>
      <w:color w:val="8C2F2F"/>
      <w:spacing w:val="60"/>
      <w:sz w:val="24"/>
      <w:szCs w:val="24"/>
    </w:rPr>
  </w:style>
  <w:style w:type="paragraph" w:styleId="PartTitle">
    <w:name w:val="PartTitle"/>
    <w:basedOn w:val="Normal"/>
    <w:pPr>
      <w:suppressAutoHyphens/>
      <w:spacing w:after="480"/>
      <w:jc w:val="center"/>
    </w:pPr>
    <w:rPr>
      <w:rFonts w:ascii="Gelasio" w:cs="Gelasio" w:eastAsia="Gelasio" w:hAnsi="Gelasio"/>
      <w:b/>
      <w:bCs/>
      <w:color w:val="2B2B2B"/>
      <w:sz w:val="44"/>
      <w:szCs w:val="44"/>
    </w:rPr>
  </w:style>
  <w:style w:type="paragraph" w:styleId="PartIntro">
    <w:name w:val="PartIntro"/>
    <w:basedOn w:val="Normal"/>
    <w:pPr>
      <w:spacing w:after="160" w:line="300" w:lineRule="auto"/>
      <w:ind w:left="850" w:right="850"/>
      <w:jc w:val="both"/>
    </w:pPr>
    <w:rPr>
      <w:rFonts w:ascii="Gelasio" w:cs="Gelasio" w:eastAsia="Gelasio" w:hAnsi="Gelasio"/>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lasio" w:cs="Gelasio" w:eastAsia="Gelasio" w:hAnsi="Gelasio"/>
      <w:i/>
      <w:iCs/>
      <w:color w:val="2B2B2B"/>
      <w:sz w:val="23"/>
      <w:szCs w:val="23"/>
    </w:rPr>
  </w:style>
  <w:style w:type="paragraph" w:styleId="Caption">
    <w:name w:val="Caption"/>
    <w:basedOn w:val="Normal"/>
    <w:pPr>
      <w:suppressAutoHyphens/>
      <w:spacing w:after="280" w:before="60"/>
      <w:ind w:left="400" w:right="400"/>
      <w:jc w:val="center"/>
    </w:pPr>
    <w:rPr>
      <w:rFonts w:ascii="Gelasio" w:cs="Gelasio" w:eastAsia="Gelasio" w:hAnsi="Gelasio"/>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lasio" w:cs="Gelasio" w:eastAsia="Gelasio" w:hAnsi="Gelasio"/>
      <w:color w:val="2B2B2B"/>
      <w:sz w:val="22"/>
      <w:szCs w:val="22"/>
    </w:rPr>
  </w:style>
  <w:style w:type="paragraph" w:styleId="TallerHead">
    <w:name w:val="TallerHead"/>
    <w:basedOn w:val="Normal"/>
    <w:pPr>
      <w:pBdr>
        <w:top w:val="single" w:color="3D5A6C" w:sz="4" w:space="4"/>
        <w:bottom w:val="single" w:color="3D5A6C" w:sz="4" w:space="4"/>
      </w:pBdr>
      <w:shd w:fill="F2F0EC" w:val="clear"/>
      <w:suppressAutoHyphens/>
      <w:spacing w:after="100" w:before="260"/>
    </w:pPr>
    <w:rPr>
      <w:rFonts w:ascii="Gelasio" w:cs="Gelasio" w:eastAsia="Gelasio" w:hAnsi="Gelasio"/>
      <w:b/>
      <w:bCs/>
      <w:color w:val="3D5A6C"/>
      <w:sz w:val="22"/>
      <w:szCs w:val="22"/>
    </w:rPr>
  </w:style>
  <w:style w:type="paragraph" w:styleId="TocPart">
    <w:name w:val="TocPart"/>
    <w:basedOn w:val="Normal"/>
    <w:pPr>
      <w:suppressAutoHyphens/>
      <w:spacing w:after="60" w:before="160"/>
      <w:ind w:right="700"/>
    </w:pPr>
    <w:rPr>
      <w:rFonts w:ascii="Gelasio" w:cs="Gelasio" w:eastAsia="Gelasio" w:hAnsi="Gelasio"/>
      <w:b/>
      <w:bCs/>
      <w:color w:val="2B2B2B"/>
      <w:sz w:val="22"/>
      <w:szCs w:val="22"/>
    </w:rPr>
  </w:style>
  <w:style w:type="paragraph" w:styleId="TocEntry">
    <w:name w:val="TocEntry"/>
    <w:basedOn w:val="Normal"/>
    <w:pPr>
      <w:suppressAutoHyphens/>
      <w:spacing w:after="50"/>
      <w:ind w:left="280" w:right="700"/>
    </w:pPr>
    <w:rPr>
      <w:rFonts w:ascii="Gelasio" w:cs="Gelasio" w:eastAsia="Gelasio" w:hAnsi="Gelasio"/>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2008bd552f24b9868d9b2f9ed66aaee87bc7e3.png"/><Relationship Id="rId10" Type="http://schemas.openxmlformats.org/officeDocument/2006/relationships/image" Target="media/547ffa466193ae8a6831616d9a319329ce124424.png"/><Relationship Id="rId11" Type="http://schemas.openxmlformats.org/officeDocument/2006/relationships/image" Target="media/f2aaa03de533b1b072700caa1aa0306ea3abcc87.png"/><Relationship Id="rId12" Type="http://schemas.openxmlformats.org/officeDocument/2006/relationships/image" Target="media/02d3e74212772fde21e2e90d2ea26962556e4017.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becdb6429d2cf2257707de4197013bff192731df.png"/><Relationship Id="rId16" Type="http://schemas.openxmlformats.org/officeDocument/2006/relationships/image" Target="media/c7fe3f471684b31b72a245150d716400cce73fe3.png"/><Relationship Id="rId17" Type="http://schemas.openxmlformats.org/officeDocument/2006/relationships/image" Target="media/947ac4b7d5c05f35e78de6d587bb6c1766598157.png"/><Relationship Id="rId18" Type="http://schemas.openxmlformats.org/officeDocument/2006/relationships/image" Target="media/057c76dcc7f7edda793f7c812f9586712c4f7cc2.png"/><Relationship Id="rId19" Type="http://schemas.openxmlformats.org/officeDocument/2006/relationships/image" Target="media/7285fa1c83aace177a8dbd4f779e2b99c9f320f3.png"/><Relationship Id="rId20" Type="http://schemas.openxmlformats.org/officeDocument/2006/relationships/image" Target="media/d82a5888acadc2c251f149205e55bb3e3238da5d.png"/><Relationship Id="rId21" Type="http://schemas.openxmlformats.org/officeDocument/2006/relationships/image" Target="media/44322c7b9137694ecb7bb61f90db43f7e1e05a15.png"/><Relationship Id="rId22" Type="http://schemas.openxmlformats.org/officeDocument/2006/relationships/image" Target="media/965d14b6494f78fd5ac98ad458cba42d6f25fa1f.png"/><Relationship Id="rId23" Type="http://schemas.openxmlformats.org/officeDocument/2006/relationships/image" Target="media/33fef2a6f4b22255f576562749445dad81f4d30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2026-10-17T05:25:48.920Z</dcterms:created>
  <dcterms:modified xsi:type="dcterms:W3CDTF">2026-10-17T05:25:48.921Z</dcterms:modified>
</cp:coreProperties>
</file>

<file path=docProps/custom.xml><?xml version="1.0" encoding="utf-8"?>
<Properties xmlns="http://schemas.openxmlformats.org/officeDocument/2006/custom-properties" xmlns:vt="http://schemas.openxmlformats.org/officeDocument/2006/docPropsVTypes"/>
</file>