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son composiciones docentes: recrean conflictos cognitivos y morales frecuentes en la clínica, pero no reproducen episodios reales ni permiten identificar pacientes, familiares, profesionales o instituciones.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145</w:t>
      </w:r>
    </w:p>
    <w:p>
      <w:pPr>
        <w:pStyle w:val="TocPart"/>
        <w:tabs>
          <w:tab w:val="right" w:pos="9026" w:leader="dot"/>
        </w:tabs>
      </w:pPr>
      <w:r>
        <w:t xml:space="preserve">Lista de figuras</w:t>
      </w:r>
      <w:r>
        <w:tab/>
      </w:r>
      <w:r>
        <w:rPr>
          <w:color w:val="8A8A8A"/>
        </w:rPr>
        <w:t xml:space="preserve">149</w:t>
      </w:r>
    </w:p>
    <w:p>
      <w:pPr>
        <w:pStyle w:val="TocPart"/>
        <w:tabs>
          <w:tab w:val="right" w:pos="9026" w:leader="dot"/>
        </w:tabs>
      </w:pPr>
      <w:r>
        <w:t xml:space="preserve">Nota metodológica y estatuto de las afirmaciones</w:t>
      </w:r>
      <w:r>
        <w:tab/>
      </w:r>
      <w:r>
        <w:rPr>
          <w:color w:val="8A8A8A"/>
        </w:rPr>
        <w:t xml:space="preserve">150</w:t>
      </w:r>
    </w:p>
    <w:p>
      <w:pPr>
        <w:pStyle w:val="TocPart"/>
        <w:tabs>
          <w:tab w:val="right" w:pos="9026" w:leader="dot"/>
        </w:tabs>
      </w:pPr>
      <w:r>
        <w:t xml:space="preserve">Referencias</w:t>
      </w:r>
      <w:r>
        <w:tab/>
      </w:r>
      <w:r>
        <w:rPr>
          <w:color w:val="8A8A8A"/>
        </w:rPr>
        <w:t xml:space="preserve">152</w:t>
      </w:r>
    </w:p>
    <w:p>
      <w:pPr>
        <w:pStyle w:val="TocPart"/>
        <w:tabs>
          <w:tab w:val="right" w:pos="9026" w:leader="dot"/>
        </w:tabs>
      </w:pPr>
      <w:r>
        <w:t xml:space="preserve">Tarjeta: HII-D en sesenta segundos</w:t>
      </w:r>
      <w:r>
        <w:tab/>
      </w:r>
      <w:r>
        <w:rPr>
          <w:color w:val="8A8A8A"/>
        </w:rPr>
        <w:t xml:space="preserve">162</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La enfermera de noche había anotado un vómito a las tres de la madrugada. Nadie vio al paciente aspirar; no tuvo fiebre ni disnea nueva, no cambió su requerimiento de oxígeno, y en la radiografía de la mañana aparecieron infiltrados basales que no teníamos con qué comparar, porque no había una placa previa. Yo escribí: «neumonía aspirativa». Dos palabras limpias y verosímiles que saltaban sin escalas desde un vómito referido y una sombra radiológica hasta una infección bacteriana establecida. Si hubo aspiración, y nadie la presenció, pudo causar una neumonitis química, que no se trata con antibióticos, o una neumonía bacteriana, que sí; la radiografía no distingue entre ambas, y sin placa previa ni siquiera sabíamos si esos infiltrados eran nuevos. Mi frase eligió la neumonía sin un solo dato que la separara de las otras posibilidades.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son de los que yo también he cometido; los he escrito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(presión arterial media de 55 mmHg) y taquicárdica (112 por minuto), con las rodillas moteadas y un lactato de 3,9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3,9»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ficha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presión arterial media de 55 mmHg y frecuencia cardiaca de 112 lpm, con requerimiento de noradrenalina pese a 2.000 ml de Ringer lactato en tres horas, lactato de 3,9 mmol/L y llene capilar de 3 a 4 segundos; episodio obstructivo clínico sobre hernia incisional, sin signos tomográficos de perforación ni isquemia; y, a las 12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0325"/>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3,9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(Peirce, 1878)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1934, CP 5.189).</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que respondió a la reanimación con volumen, noradrenalina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A la generación le sigue, de inmediato, la prueba de resistencia: generar con libertad y podar con severidad no son virtudes rivales, sino las dos mitades del mismo juicio.</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propone las explicaciones y la prueba de resistencia retiene la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 La poda, con las cuatro preguntas de la prueba de resistencia: el dato más difícil de explicar con otra exacerbación de EPOC es una disnea que no cede con dos rondas de broncodilatadores y casi sin sibilancias, que es justo el hallazgo que la exacerbación haría esperar y no está. El tromboembolismo pulmonar y el neumotórax explican ambos datos y cambiarían la conducta (anticoagular, drenar), así que encabezan la lista; la neumonía, el edema pulmonar, el síndrome coronario y la anemia quedan a una radiografía, un electrocardiograma con troponina y un hemograma de distancia. También queda escrito qué cambiaría la jerarquía: un neumotórax en la radiografía la resuelve; su ausencia deja arriba al tromboembolismo.</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volumen,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actual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 frases que operan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(presión arterial media 55 mmHg, frecuencia cardiaca 112 lpm, llene capilar de 3 a 4 segundos documentado por enfermería en urgencias, lactato arterial de 3,9 mmol/L a las 04:15 h); recibió 2.000 ml de Ringer lactato en tres horas y, en paralelo, noradrenalina iniciada por vía periférica hasta 0,2 mcg/kg/min, que se mantuvo 36 horas, además de ceftriaxona y metronidazol desde el ingreso. Lactato de control, 2,3 mmol/L. Hemocultivos periféricos 2/2 positivos a las 12 h; luego,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Las National Academies destacaron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 la phronesis</w:t>
      </w:r>
    </w:p>
    <w:p>
      <w:pPr>
        <w:pStyle w:val="BodyJ"/>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spacing w:after="120" w:before="280"/>
      </w:pPr>
      <w:r>
        <w:rPr>
          <w:rFonts w:ascii="Georgia" w:cs="Georgia" w:eastAsia="Georgia" w:hAnsi="Georgia"/>
          <w:b/>
          <w:bCs/>
          <w:color w:val="2B2B2B"/>
          <w:sz w:val="25"/>
          <w:szCs w:val="25"/>
        </w:rPr>
        <w:t xml:space="preserve">El saber hacer y el quiebre</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Del nombre del sesgo a la trayectoria del error</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pPr>
      <w:r>
        <w:t xml:space="preserve">Los estudios de errores diagnósticos muestran combinaciones de fallas en historia, examen, interpretación, seguimiento y comunicación (Graber et al., 2005; Schiff et al., 2009). Las National Academies definieron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confianza</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spacing w:after="120" w:before="280"/>
      </w:pPr>
      <w:r>
        <w:rPr>
          <w:rFonts w:ascii="Georgia" w:cs="Georgia" w:eastAsia="Georgia" w:hAnsi="Georgia"/>
          <w:b/>
          <w:bCs/>
          <w:color w:val="2B2B2B"/>
          <w:sz w:val="25"/>
          <w:szCs w:val="25"/>
        </w:rPr>
        <w:t xml:space="preserve">Reflexionar no es rumiar: cuándo desacelerar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spacing w:after="120" w:before="280"/>
      </w:pPr>
      <w:r>
        <w:rPr>
          <w:rFonts w:ascii="Georgia" w:cs="Georgia" w:eastAsia="Georgia" w:hAnsi="Georgia"/>
          <w:b/>
          <w:bCs/>
          <w:color w:val="2B2B2B"/>
          <w:sz w:val="25"/>
          <w:szCs w:val="25"/>
        </w:rPr>
        <w:t xml:space="preserve">Qué hacer con el estado del que piensa</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En la cama 12 eso cambió el plan: era una bacteriuria asociada a sonda, el antibiótico se suspendió y quedó una vigilancia con criterios de reapertura (capítulo 12). Otras veces el ejercicio no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3,9)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tres a cuatro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mayor, y debe ponderarse frente a un riesgo adverso también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en un desenlace jerárquico que combinaba mortalidad, días de soporte vital y estadía hospitalaria; la ventaja vino de menos días de soporte vital, con la misma mortalidad a 28 días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la pregunta era si había indicación de cirugía de urgencia: isquemia, perforación o un abdomen que no respondiera. La reanimación respondió en pocas horas —con 2.000 ml de Ringer lactato y noradrenalina, el llene capilar mejoró, la taquicardia bajó y el dolor abdominal cedió—, el abdomen no tenía signos peritoneales y la tomografía no mostraba isquemia: el umbral para operar de urgencia no se cruzó, y la decisión quedó vigilada, con el abdomen reexaminado y un lactato de control que bajó a 2,3 mmol/L. Días después, con Carmen recuperada en sala, la matriz de consecuencias se invierte. El error más costoso ya no es operar sin indicación,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sin isquemia ni signos peritoneales y con respuesta a la reanimación, el daño esperado de operar de urgencia supera al de reanimar y vigilar;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Carl Hempel llamó a esto riesgo inductivo (inductive risk; Hempel, 1965). Heather Douglas mostró que ese riesgo no aparece sólo al final, cuando se acepta una conclusión, sino en las etapas internas de la investigación: qué método elegir, cómo caracterizar un dato ambiguo, cómo interpretarlo. En cada una, cuánta evidencia se exige antes de afirmar que un compuesto es tóxico depende de qué error —afirmar de más o afirmar de menos— produce más daño; su caso son las láminas de hígado de rata con que se fijó la toxicidad de la dioxina, leídas por patólogos distintos con resultados distintos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aunque tampoco ahí falta el valor: cuánta evidencia se pide antes de dar algo por hecho depende de lo que cuesta equivocarse, y por eso la capa de hechos declara su fuente y su método.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spacing w:after="120" w:before="280"/>
      </w:pPr>
      <w:r>
        <w:rPr>
          <w:rFonts w:ascii="Georgia" w:cs="Georgia" w:eastAsia="Georgia" w:hAnsi="Georgia"/>
          <w:b/>
          <w:bCs/>
          <w:color w:val="2B2B2B"/>
          <w:sz w:val="25"/>
          <w:szCs w:val="25"/>
        </w:rPr>
        <w:t xml:space="preserve">Cuatro tópicos, proporcionalidad y deliberación</w:t>
      </w:r>
    </w:p>
    <w:p>
      <w:pPr>
        <w:pStyle w:val="BodyJ"/>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11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 la ficha produce lo visible</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caracteres de una evolución típica, entonces, no se escribieron el día en que aparecen firmados; cuántos se volvieron a leer y a pensar antes de firmar, el estudio no lo midió.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 y la frase medular</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y cumple tres días de antibiótico indicado como pielonefritis. Se mantiene afebril, hemodinámicamente estable y sin deterioro respecto de su basal. Parámetros inflamatorios elevados, sin valores anteriores al ingreso,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suspender el antibiótico, porque la bacteriuria asintomática no se trata en pacientes con lesión medular (Nicolle et al., 2019).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volver a prescribir.</w:t>
      </w:r>
    </w:p>
    <w:p>
      <w:pPr>
        <w:pStyle w:val="BodyJ"/>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suspende la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spacing w:after="120" w:before="280"/>
      </w:pPr>
      <w:r>
        <w:rPr>
          <w:rFonts w:ascii="Georgia" w:cs="Georgia" w:eastAsia="Georgia" w:hAnsi="Georgia"/>
          <w:b/>
          <w:bCs/>
          <w:color w:val="2B2B2B"/>
          <w:sz w:val="25"/>
          <w:szCs w:val="25"/>
        </w:rPr>
        <w:t xml:space="preserve">La neumonía escrita como proceso</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 y el diseño para la corrección</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Las National Academies conceptualizaron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presión arterial media de 55 mmHg y 112 latidos por minuto; lactato de 3,9 mmol/L a las 04:15 y de 2,3 en el control; llene capilar de tres a cuatro segundos medido por Marcela; hemocultivos positivos a las 12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 calibración y auditoría</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por escrito la plantilla condensada del Apéndice A.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(presión arterial media de 55 mmHg y 112 lpm), hiperlactatemia (3,9 mmol/L), hipoperfusión periférica (llene capilar de 3 a 4 segundos) y bacteriemia por bacilos gramnegativos (2/2 hemocultivos, positivos a las 12 horas). Recibe 2.000 ml de Ringer lactato en tres horas, noradrenalina por vía periférica hasta 0,2 mcg/kg/min, ceftriaxona con metronidazol, reposo digestivo y descompresión por sonda nasogástrica: el llene capilar mejora, la taquicardia cede, el dolor abdominal se resuelve y el lactato de control baja a 2,3 mmol/L. La tomografía de abdomen no muestra perforación, isquemia mesentérica ni estrangulación actual, y el abdomen no tiene signos peritoneales.</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tomografía sin isquemia, el abdomen sin signos peritoneales y la respuesta a la reanimación hacen improbable una estrangulación y no indican cirugía de urgencia; no mitigan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tercer día de antibiótico indicado como pielonefritis;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suspender el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un tratamiento dirigido probablemente exigiría carbapenémicos, de alto impacto ecológico y toxicidad potencial, el umbral clínico para reiniciar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se suspende el antibiótico, con vigilancia clínica estricta y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pPr>
      <w:r>
        <w:t xml:space="preserve">Las National Academies recomendaron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Los errores nacen tanto del pensamiento rápido como del lento; el vínculo entre los sesgos que se inducen en experimentos y los errores reales no está establecido; enseñar a reconocer sesgos no ha reducido los errores, mientras que reorganizar el conocimiento da beneficios pequeños pero constantes;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Tres palancas: la visita, la revisión de errores y la ficha</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BodyJ"/>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Taller 5 es su versión mínima. El portafolio como instrumento docente tiene además desarrollo propio en la educación médica latinoamericana, incluida la validación en español de instrumentos para evaluar su uso (Riquelme et al., 2011).</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al contenido generado que carece de sentido o es infiel a su fuente, sea un documento o, en las preguntas abiertas, el conocimiento del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médicos de medicina interna, familiar y de urgencias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El ensayo no midió cómo la usaron; la lectura más plausible, que es una inferencia, es que la usaron como oráculo de confirmación —pegarle el caso y mirar si coincide con lo que ya pensaban—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que contradice la fuente o que ésta no permite verificar,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que los modelos expresan con palabras tiende a la sobreconfianza (Xiong et al., 2024), aunque las probabilidades que asignan a sus propias respuestas pueden estar bien calibradas cuando se les pregunta en el formato adecuado (Kadavath et al., 2022):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(automation paradox) —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(ambient scribe)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ocho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demostrado.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la inferencia con su grado,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sesenta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Salvo los que se sostienen en el tiempo (Talleres 5, 15 y 16),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las semanas 1–2 (el lenguaje), Talleres 8 y 11 en las semanas 3–4 (la pausa en la visita de sala), Talleres 12 y 12B en el mes 2 (la ficha) y Taller 7 desde el mes 3, junto a la reunión de morbimortalidad;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 (anchoring).</w:t>
      </w:r>
      <w:r>
        <w:t xml:space="preserve"> Persistencia de una hipótesis inicial que conserva autoridad aun cuando la evidencia acumulada la ha degradado.</w:t>
      </w:r>
    </w:p>
    <w:p>
      <w:pPr>
        <w:pStyle w:val="BodyJ"/>
      </w:pPr>
      <w:r>
        <w:rPr>
          <w:b/>
          <w:bCs/>
        </w:rPr>
        <w:t xml:space="preserve">Calibración (calibration).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 (premature closure).</w:t>
      </w:r>
      <w:r>
        <w:t xml:space="preserve"> Aceptación de un diagnóstico antes de haberlo verificado suficientemente, con suspensión de la búsqueda de alternativas.</w:t>
      </w:r>
    </w:p>
    <w:p>
      <w:pPr>
        <w:pStyle w:val="BodyJ"/>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 (tacit knowledge).</w:t>
      </w:r>
      <w:r>
        <w:t xml:space="preserve"> Capacidad de reconocer o ejecutar más de lo que puede formularse explícitamente (Polanyi).</w:t>
      </w:r>
    </w:p>
    <w:p>
      <w:pPr>
        <w:pStyle w:val="BodyJ"/>
      </w:pPr>
      <w:r>
        <w:rPr>
          <w:b/>
          <w:bCs/>
        </w:rPr>
        <w:t xml:space="preserve">Contrafactual (counterfactual).</w:t>
      </w:r>
      <w:r>
        <w:t xml:space="preserve"> Escenario comparativo implícito en toda afirmación causal: qué habría ocurrido sin la exposición o la intervención.</w:t>
      </w:r>
    </w:p>
    <w:p>
      <w:pPr>
        <w:pStyle w:val="BodyJ"/>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 (aleatory uncertainty).</w:t>
      </w:r>
      <w:r>
        <w:t xml:space="preserve"> La que proviene de variabilidad o contingencia que persiste aun con conocimiento completo del sistema.</w:t>
      </w:r>
    </w:p>
    <w:p>
      <w:pPr>
        <w:pStyle w:val="BodyJ"/>
      </w:pPr>
      <w:r>
        <w:rPr>
          <w:b/>
          <w:bCs/>
        </w:rPr>
        <w:t xml:space="preserve">Incertidumbre epistémica (epistemic uncertainty).</w:t>
      </w:r>
      <w:r>
        <w:t xml:space="preserve"> La que proviene de conocimiento insuficiente y puede, en principio, reducirse con información.</w:t>
      </w:r>
    </w:p>
    <w:p>
      <w:pPr>
        <w:pStyle w:val="BodyJ"/>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 (epistemic modality).</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 (automation paradox).</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Criterio de reapertura — 8, 12, 15, Interludio III, CC (viñeta 6), Ap A, Ap C</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Red de seguridad (safety-netting) — 11, CC (viñetas 3, 4 y 7)</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Segunda víctima — 14</w:t>
      </w:r>
    </w:p>
    <w:p>
      <w:pPr>
        <w:pStyle w:val="BodyJ"/>
        <w:numPr>
          <w:ilvl w:val="0"/>
          <w:numId w:val="6"/>
        </w:numPr>
      </w:pPr>
      <w:r>
        <w:t xml:space="preserve">Segundo lector — 5, 8, 17</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esquemática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Hempel, C. G. (1965). Science and human values. In </w:t>
      </w:r>
      <w:r>
        <w:rPr>
          <w:i/>
          <w:iCs/>
        </w:rPr>
        <w:t xml:space="preserve">Aspects of Scientific Explanation and Other Essays in the Philosophy of Science</w:t>
      </w:r>
      <w:r>
        <w:t xml:space="preserve"> (pp. 81–96). Free Press.</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Ibarra-Estrada, M., Ramasco, F., Orozco, N.,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Peirce, C. S. (1934). </w:t>
      </w:r>
      <w:r>
        <w:rPr>
          <w:i/>
          <w:iCs/>
        </w:rPr>
        <w:t xml:space="preserve">Collected Papers of Charles Sanders Peirce: Vol. 5. Pragmatism and Pragmaticism</w:t>
      </w:r>
      <w:r>
        <w:t xml:space="preserve"> (C. Hartshorne &amp; P. Weiss, Eds.). Harvard University Press.</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547ffa466193ae8a6831616d9a319329ce124424.png"/><Relationship Id="rId11" Type="http://schemas.openxmlformats.org/officeDocument/2006/relationships/image" Target="media/f2aaa03de533b1b072700caa1aa0306ea3abcc87.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17a9ed2fda4921f76faf8097edd6aae5f8795c4e.png"/><Relationship Id="rId17" Type="http://schemas.openxmlformats.org/officeDocument/2006/relationships/image" Target="media/0a061480972a44386bb30c6576b30e20f2fc107c.png"/><Relationship Id="rId18" Type="http://schemas.openxmlformats.org/officeDocument/2006/relationships/image" Target="media/057c76dcc7f7edda793f7c812f9586712c4f7cc2.png"/><Relationship Id="rId19" Type="http://schemas.openxmlformats.org/officeDocument/2006/relationships/image" Target="media/7285fa1c83aace177a8dbd4f779e2b99c9f320f3.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55b815c8354d43b8fafab23d68b781c9a466c19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2026-10-17T00:48:20.255Z</dcterms:created>
  <dcterms:modified xsi:type="dcterms:W3CDTF">2026-10-17T00:48:20.255Z</dcterms:modified>
</cp:coreProperties>
</file>

<file path=docProps/custom.xml><?xml version="1.0" encoding="utf-8"?>
<Properties xmlns="http://schemas.openxmlformats.org/officeDocument/2006/custom-properties" xmlns:vt="http://schemas.openxmlformats.org/officeDocument/2006/docPropsVTypes"/>
</file>