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uppressAutoHyphens/>
        <w:spacing w:after="200" w:before="3600"/>
        <w:jc w:val="center"/>
      </w:pPr>
      <w:r>
        <w:rPr>
          <w:rFonts w:ascii="Gelasio" w:cs="Gelasio" w:eastAsia="Gelasio" w:hAnsi="Gelasio"/>
          <w:b/>
          <w:bCs/>
          <w:color w:val="2B2B2B"/>
          <w:sz w:val="56"/>
          <w:szCs w:val="56"/>
        </w:rPr>
        <w:t xml:space="preserve">HECHOS, INFERENCIAS</w:t>
      </w:r>
    </w:p>
    <w:p>
      <w:pPr>
        <w:suppressAutoHyphens/>
        <w:spacing w:after="340"/>
        <w:jc w:val="center"/>
      </w:pPr>
      <w:r>
        <w:rPr>
          <w:rFonts w:ascii="Gelasio" w:cs="Gelasio" w:eastAsia="Gelasio" w:hAnsi="Gelasio"/>
          <w:b/>
          <w:bCs/>
          <w:color w:val="2B2B2B"/>
          <w:sz w:val="56"/>
          <w:szCs w:val="56"/>
        </w:rPr>
        <w:t xml:space="preserve">E INCERTIDUMBRE</w:t>
      </w:r>
    </w:p>
    <w:p>
      <w:pPr>
        <w:suppressAutoHyphens/>
        <w:spacing w:after="120"/>
        <w:jc w:val="center"/>
      </w:pPr>
      <w:r>
        <w:rPr>
          <w:rFonts w:ascii="Gelasio" w:cs="Gelasio" w:eastAsia="Gelasio" w:hAnsi="Gelasio"/>
          <w:i/>
          <w:iCs/>
          <w:color w:val="3D5A6C"/>
          <w:sz w:val="28"/>
          <w:szCs w:val="28"/>
        </w:rPr>
        <w:t xml:space="preserve">Metacognición, lenguaje y decisión clínica</w:t>
      </w:r>
    </w:p>
    <w:p>
      <w:pPr>
        <w:suppressAutoHyphens/>
        <w:spacing w:after="2400"/>
        <w:jc w:val="center"/>
      </w:pPr>
      <w:r>
        <w:rPr>
          <w:rFonts w:ascii="Gelasio" w:cs="Gelasio" w:eastAsia="Gelasio" w:hAnsi="Gelasio"/>
          <w:color w:val="8A8A8A"/>
          <w:sz w:val="24"/>
          <w:szCs w:val="24"/>
        </w:rPr>
        <w:t xml:space="preserve">Una epistemología operativa para médicos</w:t>
      </w:r>
    </w:p>
    <w:p>
      <w:pPr>
        <w:suppressAutoHyphens/>
        <w:spacing w:after="100"/>
        <w:jc w:val="center"/>
      </w:pPr>
      <w:r>
        <w:rPr>
          <w:rFonts w:ascii="Gelasio" w:cs="Gelasio" w:eastAsia="Gelasio" w:hAnsi="Gelasio"/>
          <w:b/>
          <w:bCs/>
          <w:color w:val="2B2B2B"/>
          <w:spacing w:val="40"/>
          <w:sz w:val="30"/>
          <w:szCs w:val="30"/>
        </w:rPr>
        <w:t xml:space="preserve">DANIEL OPAZO</w:t>
      </w:r>
    </w:p>
    <w:p>
      <w:pPr>
        <w:suppressAutoHyphens/>
        <w:jc w:val="center"/>
      </w:pPr>
      <w:r>
        <w:rPr>
          <w:rFonts w:ascii="Gelasio" w:cs="Gelasio" w:eastAsia="Gelasio" w:hAnsi="Gelasio"/>
          <w:color w:val="8A8A8A"/>
          <w:sz w:val="22"/>
          <w:szCs w:val="22"/>
        </w:rPr>
        <w:t xml:space="preserve">2026 · Edición de trabajo revisada</w:t>
      </w:r>
    </w:p>
    <w:p>
      <w:pPr>
        <w:suppressAutoHyphens/>
      </w:pPr>
      <w:r>
        <w:br w:type="page"/>
      </w:r>
    </w:p>
    <w:p>
      <w:pPr>
        <w:suppressAutoHyphens/>
        <w:spacing w:after="120" w:before="7000"/>
      </w:pPr>
      <w:r>
        <w:rPr>
          <w:rFonts w:ascii="Gelasio" w:cs="Gelasio" w:eastAsia="Gelasio" w:hAnsi="Gelasio"/>
          <w:b/>
          <w:bCs/>
          <w:color w:val="2B2B2B"/>
          <w:sz w:val="20"/>
          <w:szCs w:val="20"/>
        </w:rPr>
        <w:t xml:space="preserve">Hechos, inferencias e incertidumbre. Metacognición, lenguaje y decisión clínica.</w:t>
      </w:r>
    </w:p>
    <w:p>
      <w:pPr>
        <w:suppressAutoHyphens/>
        <w:spacing w:after="200"/>
      </w:pPr>
      <w:r>
        <w:rPr>
          <w:rFonts w:ascii="Gelasio" w:cs="Gelasio" w:eastAsia="Gelasio" w:hAnsi="Gelasio"/>
          <w:color w:val="2B2B2B"/>
          <w:sz w:val="20"/>
          <w:szCs w:val="20"/>
        </w:rPr>
        <w:t xml:space="preserve">Daniel Opazo</w:t>
      </w:r>
    </w:p>
    <w:p>
      <w:pPr>
        <w:suppressAutoHyphens/>
        <w:spacing w:after="120"/>
        <w:jc w:val="both"/>
      </w:pPr>
      <w:r>
        <w:rPr>
          <w:color w:val="5A5A5A"/>
          <w:sz w:val="18"/>
          <w:szCs w:val="18"/>
        </w:rPr>
        <w:t xml:space="preserve">Edición de trabajo, 2026. Ensayo académico dirigido a profesionales de la salud. Las escenas narradas en primera persona son composiciones docentes: recrean conflictos cognitivos y morales frecuentes en la clínica, pero no reproducen episodios reales ni permiten identificar pacientes, familiares, profesionales o instituciones. Lo mismo vale para todas las viñetas clínicas del libro. Carmen es un personaje clínico compuesto, construido para acompañar el argumento; no corresponde a una paciente identificable.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pPr>
        <w:suppressAutoHyphens/>
      </w:pPr>
      <w:r>
        <w:br w:type="page"/>
      </w:r>
    </w:p>
    <w:p>
      <w:pPr>
        <w:suppressAutoHyphens/>
        <w:spacing w:after="360" w:before="500"/>
      </w:pPr>
      <w:r>
        <w:rPr>
          <w:rFonts w:ascii="Gelasio" w:cs="Gelasio" w:eastAsia="Gelasio" w:hAnsi="Gelasio"/>
          <w:b/>
          <w:bCs/>
          <w:color w:val="2B2B2B"/>
          <w:sz w:val="34"/>
          <w:szCs w:val="34"/>
        </w:rPr>
        <w:t xml:space="preserve">Contenido</w:t>
      </w:r>
    </w:p>
    <w:p>
      <w:pPr>
        <w:pStyle w:val="TocPart"/>
        <w:tabs>
          <w:tab w:val="right" w:pos="9026" w:leader="dot"/>
        </w:tabs>
        <w:suppressAutoHyphens/>
      </w:pPr>
      <w:r>
        <w:t xml:space="preserve">Prefacio</w:t>
      </w:r>
      <w:r>
        <w:tab/>
      </w:r>
      <w:r>
        <w:rPr>
          <w:color w:val="8A8A8A"/>
        </w:rPr>
        <w:t xml:space="preserve">1</w:t>
      </w:r>
    </w:p>
    <w:p>
      <w:pPr>
        <w:pStyle w:val="TocPart"/>
        <w:tabs>
          <w:tab w:val="right" w:pos="9026" w:leader="dot"/>
        </w:tabs>
        <w:suppressAutoHyphens/>
      </w:pPr>
      <w:r>
        <w:t xml:space="preserve">Cómo leer este libro</w:t>
      </w:r>
      <w:r>
        <w:tab/>
      </w:r>
      <w:r>
        <w:rPr>
          <w:color w:val="8A8A8A"/>
        </w:rPr>
        <w:t xml:space="preserve">3</w:t>
      </w:r>
    </w:p>
    <w:p>
      <w:pPr>
        <w:pStyle w:val="TocPart"/>
        <w:tabs>
          <w:tab w:val="right" w:pos="9026" w:leader="dot"/>
        </w:tabs>
        <w:suppressAutoHyphens/>
      </w:pPr>
      <w:r>
        <w:t xml:space="preserve">Introducción. La medicina como práctica de conocimiento incompleto</w:t>
      </w:r>
      <w:r>
        <w:tab/>
      </w:r>
      <w:r>
        <w:rPr>
          <w:color w:val="8A8A8A"/>
        </w:rPr>
        <w:t xml:space="preserve">5</w:t>
      </w:r>
    </w:p>
    <w:p>
      <w:pPr>
        <w:pStyle w:val="TocPart"/>
        <w:tabs>
          <w:tab w:val="right" w:pos="9026" w:leader="dot"/>
        </w:tabs>
        <w:suppressAutoHyphens/>
      </w:pPr>
      <w:r>
        <w:t xml:space="preserve">PARTE I. Las capas del conocimiento clínico</w:t>
      </w:r>
      <w:r>
        <w:tab/>
      </w:r>
      <w:r>
        <w:rPr>
          <w:color w:val="8A8A8A"/>
        </w:rPr>
        <w:t xml:space="preserve">8</w:t>
      </w:r>
    </w:p>
    <w:p>
      <w:pPr>
        <w:pStyle w:val="TocEntry"/>
        <w:tabs>
          <w:tab w:val="right" w:pos="9026" w:leader="dot"/>
        </w:tabs>
        <w:suppressAutoHyphens/>
      </w:pPr>
      <w:r>
        <w:t xml:space="preserve">Capítulo 1. El hecho clínico: observación, medición y procedencia</w:t>
      </w:r>
      <w:r>
        <w:tab/>
      </w:r>
      <w:r>
        <w:rPr>
          <w:color w:val="8A8A8A"/>
        </w:rPr>
        <w:t xml:space="preserve">9</w:t>
      </w:r>
    </w:p>
    <w:p>
      <w:pPr>
        <w:pStyle w:val="TocEntry"/>
        <w:tabs>
          <w:tab w:val="right" w:pos="9026" w:leader="dot"/>
        </w:tabs>
        <w:suppressAutoHyphens/>
      </w:pPr>
      <w:r>
        <w:t xml:space="preserve">Capítulo 2. Inferir: del signo a la explicación</w:t>
      </w:r>
      <w:r>
        <w:tab/>
      </w:r>
      <w:r>
        <w:rPr>
          <w:color w:val="8A8A8A"/>
        </w:rPr>
        <w:t xml:space="preserve">14</w:t>
      </w:r>
    </w:p>
    <w:p>
      <w:pPr>
        <w:pStyle w:val="TocEntry"/>
        <w:tabs>
          <w:tab w:val="right" w:pos="9026" w:leader="dot"/>
        </w:tabs>
        <w:suppressAutoHyphens/>
      </w:pPr>
      <w:r>
        <w:t xml:space="preserve">Capítulo 3. Incertidumbre: una condición estructural</w:t>
      </w:r>
      <w:r>
        <w:tab/>
      </w:r>
      <w:r>
        <w:rPr>
          <w:color w:val="8A8A8A"/>
        </w:rPr>
        <w:t xml:space="preserve">18</w:t>
      </w:r>
    </w:p>
    <w:p>
      <w:pPr>
        <w:pStyle w:val="TocEntry"/>
        <w:tabs>
          <w:tab w:val="right" w:pos="9026" w:leader="dot"/>
        </w:tabs>
        <w:suppressAutoHyphens/>
      </w:pPr>
      <w:r>
        <w:t xml:space="preserve">Capítulo 4. Lenguaje clínico y densidad epistémica</w:t>
      </w:r>
      <w:r>
        <w:tab/>
      </w:r>
      <w:r>
        <w:rPr>
          <w:color w:val="8A8A8A"/>
        </w:rPr>
        <w:t xml:space="preserve">22</w:t>
      </w:r>
    </w:p>
    <w:p>
      <w:pPr>
        <w:pStyle w:val="TocEntry"/>
        <w:tabs>
          <w:tab w:val="right" w:pos="9026" w:leader="dot"/>
        </w:tabs>
        <w:suppressAutoHyphens/>
      </w:pPr>
      <w:r>
        <w:t xml:space="preserve">Interludio I. La ficha de Carmen</w:t>
      </w:r>
      <w:r>
        <w:tab/>
      </w:r>
      <w:r>
        <w:rPr>
          <w:color w:val="8A8A8A"/>
        </w:rPr>
        <w:t xml:space="preserve">27</w:t>
      </w:r>
    </w:p>
    <w:p>
      <w:pPr>
        <w:pStyle w:val="TocPart"/>
        <w:tabs>
          <w:tab w:val="right" w:pos="9026" w:leader="dot"/>
        </w:tabs>
        <w:suppressAutoHyphens/>
      </w:pPr>
      <w:r>
        <w:t xml:space="preserve">PARTE II. La mente que se observa</w:t>
      </w:r>
      <w:r>
        <w:tab/>
      </w:r>
      <w:r>
        <w:rPr>
          <w:color w:val="8A8A8A"/>
        </w:rPr>
        <w:t xml:space="preserve">29</w:t>
      </w:r>
    </w:p>
    <w:p>
      <w:pPr>
        <w:pStyle w:val="TocEntry"/>
        <w:tabs>
          <w:tab w:val="right" w:pos="9026" w:leader="dot"/>
        </w:tabs>
        <w:suppressAutoHyphens/>
      </w:pPr>
      <w:r>
        <w:t xml:space="preserve">Capítulo 5. Metacognición: monitorear y regular el propio juicio</w:t>
      </w:r>
      <w:r>
        <w:tab/>
      </w:r>
      <w:r>
        <w:rPr>
          <w:color w:val="8A8A8A"/>
        </w:rPr>
        <w:t xml:space="preserve">30</w:t>
      </w:r>
    </w:p>
    <w:p>
      <w:pPr>
        <w:pStyle w:val="TocEntry"/>
        <w:tabs>
          <w:tab w:val="right" w:pos="9026" w:leader="dot"/>
        </w:tabs>
        <w:suppressAutoHyphens/>
      </w:pPr>
      <w:r>
        <w:t xml:space="preserve">Capítulo 6. Pericia, intuición y conocimiento tácito</w:t>
      </w:r>
      <w:r>
        <w:tab/>
      </w:r>
      <w:r>
        <w:rPr>
          <w:color w:val="8A8A8A"/>
        </w:rPr>
        <w:t xml:space="preserve">36</w:t>
      </w:r>
    </w:p>
    <w:p>
      <w:pPr>
        <w:pStyle w:val="TocEntry"/>
        <w:tabs>
          <w:tab w:val="right" w:pos="9026" w:leader="dot"/>
        </w:tabs>
        <w:suppressAutoHyphens/>
      </w:pPr>
      <w:r>
        <w:t xml:space="preserve">Capítulo 7. Error, sesgo y ecología del diagnóstico</w:t>
      </w:r>
      <w:r>
        <w:tab/>
      </w:r>
      <w:r>
        <w:rPr>
          <w:color w:val="8A8A8A"/>
        </w:rPr>
        <w:t xml:space="preserve">40</w:t>
      </w:r>
    </w:p>
    <w:p>
      <w:pPr>
        <w:pStyle w:val="TocEntry"/>
        <w:tabs>
          <w:tab w:val="right" w:pos="9026" w:leader="dot"/>
        </w:tabs>
        <w:suppressAutoHyphens/>
      </w:pPr>
      <w:r>
        <w:t xml:space="preserve">Capítulo 8. Desacelerar: cuándo, en qué estado y con qué mente</w:t>
      </w:r>
      <w:r>
        <w:tab/>
      </w:r>
      <w:r>
        <w:rPr>
          <w:color w:val="8A8A8A"/>
        </w:rPr>
        <w:t xml:space="preserve">44</w:t>
      </w:r>
    </w:p>
    <w:p>
      <w:pPr>
        <w:pStyle w:val="TocEntry"/>
        <w:tabs>
          <w:tab w:val="right" w:pos="9026" w:leader="dot"/>
        </w:tabs>
        <w:suppressAutoHyphens/>
      </w:pPr>
      <w:r>
        <w:t xml:space="preserve">Interludio II. Lo que el equipo pensó</w:t>
      </w:r>
      <w:r>
        <w:tab/>
      </w:r>
      <w:r>
        <w:rPr>
          <w:color w:val="8A8A8A"/>
        </w:rPr>
        <w:t xml:space="preserve">49</w:t>
      </w:r>
    </w:p>
    <w:p>
      <w:pPr>
        <w:pStyle w:val="TocPart"/>
        <w:tabs>
          <w:tab w:val="right" w:pos="9026" w:leader="dot"/>
        </w:tabs>
        <w:suppressAutoHyphens/>
      </w:pPr>
      <w:r>
        <w:t xml:space="preserve">PARTE III. Decidir en el tiempo y con otros</w:t>
      </w:r>
      <w:r>
        <w:tab/>
      </w:r>
      <w:r>
        <w:rPr>
          <w:color w:val="8A8A8A"/>
        </w:rPr>
        <w:t xml:space="preserve">51</w:t>
      </w:r>
    </w:p>
    <w:p>
      <w:pPr>
        <w:pStyle w:val="TocEntry"/>
        <w:tabs>
          <w:tab w:val="right" w:pos="9026" w:leader="dot"/>
        </w:tabs>
        <w:suppressAutoHyphens/>
      </w:pPr>
      <w:r>
        <w:t xml:space="preserve">Capítulo 9. La evidencia y el caso singular</w:t>
      </w:r>
      <w:r>
        <w:tab/>
      </w:r>
      <w:r>
        <w:rPr>
          <w:color w:val="8A8A8A"/>
        </w:rPr>
        <w:t xml:space="preserve">52</w:t>
      </w:r>
    </w:p>
    <w:p>
      <w:pPr>
        <w:pStyle w:val="TocEntry"/>
        <w:tabs>
          <w:tab w:val="right" w:pos="9026" w:leader="dot"/>
        </w:tabs>
        <w:suppressAutoHyphens/>
      </w:pPr>
      <w:r>
        <w:t xml:space="preserve">Capítulo 10. Decidir sin certeza: umbrales, valores y bioética</w:t>
      </w:r>
      <w:r>
        <w:tab/>
      </w:r>
      <w:r>
        <w:rPr>
          <w:color w:val="8A8A8A"/>
        </w:rPr>
        <w:t xml:space="preserve">56</w:t>
      </w:r>
    </w:p>
    <w:p>
      <w:pPr>
        <w:pStyle w:val="TocEntry"/>
        <w:tabs>
          <w:tab w:val="right" w:pos="9026" w:leader="dot"/>
        </w:tabs>
        <w:suppressAutoHyphens/>
      </w:pPr>
      <w:r>
        <w:t xml:space="preserve">Capítulo 11. Temporalidad, trayectoria y razonamiento contrafactual</w:t>
      </w:r>
      <w:r>
        <w:tab/>
      </w:r>
      <w:r>
        <w:rPr>
          <w:color w:val="8A8A8A"/>
        </w:rPr>
        <w:t xml:space="preserve">62</w:t>
      </w:r>
    </w:p>
    <w:p>
      <w:pPr>
        <w:pStyle w:val="TocEntry"/>
        <w:tabs>
          <w:tab w:val="right" w:pos="9026" w:leader="dot"/>
        </w:tabs>
        <w:suppressAutoHyphens/>
      </w:pPr>
      <w:r>
        <w:t xml:space="preserve">Capítulo 12. La ficha clínica como instrumento de pensamiento</w:t>
      </w:r>
      <w:r>
        <w:tab/>
      </w:r>
      <w:r>
        <w:rPr>
          <w:color w:val="8A8A8A"/>
        </w:rPr>
        <w:t xml:space="preserve">66</w:t>
      </w:r>
    </w:p>
    <w:p>
      <w:pPr>
        <w:pStyle w:val="TocEntry"/>
        <w:tabs>
          <w:tab w:val="right" w:pos="9026" w:leader="dot"/>
        </w:tabs>
        <w:suppressAutoHyphens/>
      </w:pPr>
      <w:r>
        <w:t xml:space="preserve">Capítulo 13. Pensar con otros: equipos, desacuerdo y comunicación de la incertidumbre</w:t>
      </w:r>
      <w:r>
        <w:tab/>
      </w:r>
      <w:r>
        <w:rPr>
          <w:color w:val="8A8A8A"/>
        </w:rPr>
        <w:t xml:space="preserve">72</w:t>
      </w:r>
    </w:p>
    <w:p>
      <w:pPr>
        <w:pStyle w:val="TocEntry"/>
        <w:tabs>
          <w:tab w:val="right" w:pos="9026" w:leader="dot"/>
        </w:tabs>
        <w:suppressAutoHyphens/>
      </w:pPr>
      <w:r>
        <w:t xml:space="preserve">Interludio III. La decisión de Carmen</w:t>
      </w:r>
      <w:r>
        <w:tab/>
      </w:r>
      <w:r>
        <w:rPr>
          <w:color w:val="8A8A8A"/>
        </w:rPr>
        <w:t xml:space="preserve">76</w:t>
      </w:r>
    </w:p>
    <w:p>
      <w:pPr>
        <w:pStyle w:val="TocPart"/>
        <w:tabs>
          <w:tab w:val="right" w:pos="9026" w:leader="dot"/>
        </w:tabs>
        <w:suppressAutoHyphens/>
      </w:pPr>
      <w:r>
        <w:t xml:space="preserve">PARTE IV. Una epistemología operativa</w:t>
      </w:r>
      <w:r>
        <w:tab/>
      </w:r>
      <w:r>
        <w:rPr>
          <w:color w:val="8A8A8A"/>
        </w:rPr>
        <w:t xml:space="preserve">78</w:t>
      </w:r>
    </w:p>
    <w:p>
      <w:pPr>
        <w:pStyle w:val="TocEntry"/>
        <w:tabs>
          <w:tab w:val="right" w:pos="9026" w:leader="dot"/>
        </w:tabs>
        <w:suppressAutoHyphens/>
      </w:pPr>
      <w:r>
        <w:t xml:space="preserve">Capítulo 14. Humildad epistémica y responsabilidad clínica</w:t>
      </w:r>
      <w:r>
        <w:tab/>
      </w:r>
      <w:r>
        <w:rPr>
          <w:color w:val="8A8A8A"/>
        </w:rPr>
        <w:t xml:space="preserve">79</w:t>
      </w:r>
    </w:p>
    <w:p>
      <w:pPr>
        <w:pStyle w:val="TocEntry"/>
        <w:tabs>
          <w:tab w:val="right" w:pos="9026" w:leader="dot"/>
        </w:tabs>
        <w:suppressAutoHyphens/>
      </w:pPr>
      <w:r>
        <w:t xml:space="preserve">Capítulo 15. El método HII-D: una epistemología operativa</w:t>
      </w:r>
      <w:r>
        <w:tab/>
      </w:r>
      <w:r>
        <w:rPr>
          <w:color w:val="8A8A8A"/>
        </w:rPr>
        <w:t xml:space="preserve">85</w:t>
      </w:r>
    </w:p>
    <w:p>
      <w:pPr>
        <w:pStyle w:val="TocEntry"/>
        <w:tabs>
          <w:tab w:val="right" w:pos="9026" w:leader="dot"/>
        </w:tabs>
        <w:suppressAutoHyphens/>
      </w:pPr>
      <w:r>
        <w:t xml:space="preserve">Cuaderno de casos. Ocho viñetas para una lectura metacognitiva</w:t>
      </w:r>
      <w:r>
        <w:tab/>
      </w:r>
      <w:r>
        <w:rPr>
          <w:color w:val="8A8A8A"/>
        </w:rPr>
        <w:t xml:space="preserve">92</w:t>
      </w:r>
    </w:p>
    <w:p>
      <w:pPr>
        <w:pStyle w:val="TocEntry"/>
        <w:tabs>
          <w:tab w:val="right" w:pos="9026" w:leader="dot"/>
        </w:tabs>
        <w:suppressAutoHyphens/>
      </w:pPr>
      <w:r>
        <w:t xml:space="preserve">Capítulo 16. Enseñar y organizar la metacognición clínica</w:t>
      </w:r>
      <w:r>
        <w:tab/>
      </w:r>
      <w:r>
        <w:rPr>
          <w:color w:val="8A8A8A"/>
        </w:rPr>
        <w:t xml:space="preserve">101</w:t>
      </w:r>
    </w:p>
    <w:p>
      <w:pPr>
        <w:pStyle w:val="TocEntry"/>
        <w:tabs>
          <w:tab w:val="right" w:pos="9026" w:leader="dot"/>
        </w:tabs>
        <w:suppressAutoHyphens/>
      </w:pPr>
      <w:r>
        <w:t xml:space="preserve">Capítulo 17. La inteligencia artificial en el proceso clínico: roles, riesgos y defensas</w:t>
      </w:r>
      <w:r>
        <w:tab/>
      </w:r>
      <w:r>
        <w:rPr>
          <w:color w:val="8A8A8A"/>
        </w:rPr>
        <w:t xml:space="preserve">105</w:t>
      </w:r>
    </w:p>
    <w:p>
      <w:pPr>
        <w:pStyle w:val="TocEntry"/>
        <w:tabs>
          <w:tab w:val="right" w:pos="9026" w:leader="dot"/>
        </w:tabs>
        <w:suppressAutoHyphens/>
      </w:pPr>
      <w:r>
        <w:t xml:space="preserve">Capítulo 18. La palabra exacta: lo que la poesía sabe del juicio clínico</w:t>
      </w:r>
      <w:r>
        <w:tab/>
      </w:r>
      <w:r>
        <w:rPr>
          <w:color w:val="8A8A8A"/>
        </w:rPr>
        <w:t xml:space="preserve">113</w:t>
      </w:r>
    </w:p>
    <w:p>
      <w:pPr>
        <w:pStyle w:val="TocPart"/>
        <w:tabs>
          <w:tab w:val="right" w:pos="9026" w:leader="dot"/>
        </w:tabs>
        <w:suppressAutoHyphens/>
      </w:pPr>
      <w:r>
        <w:t xml:space="preserve">Conclusión. Una medicina lúcida</w:t>
      </w:r>
      <w:r>
        <w:tab/>
      </w:r>
      <w:r>
        <w:rPr>
          <w:color w:val="8A8A8A"/>
        </w:rPr>
        <w:t xml:space="preserve">116</w:t>
      </w:r>
    </w:p>
    <w:p>
      <w:pPr>
        <w:pStyle w:val="TocPart"/>
        <w:tabs>
          <w:tab w:val="right" w:pos="9026" w:leader="dot"/>
        </w:tabs>
        <w:suppressAutoHyphens/>
      </w:pPr>
      <w:r>
        <w:t xml:space="preserve">Apéndice A. Hoja HII-D para discusión de casos</w:t>
      </w:r>
      <w:r>
        <w:tab/>
      </w:r>
      <w:r>
        <w:rPr>
          <w:color w:val="8A8A8A"/>
        </w:rPr>
        <w:t xml:space="preserve">118</w:t>
      </w:r>
    </w:p>
    <w:p>
      <w:pPr>
        <w:pStyle w:val="TocPart"/>
        <w:tabs>
          <w:tab w:val="right" w:pos="9026" w:leader="dot"/>
        </w:tabs>
        <w:suppressAutoHyphens/>
      </w:pPr>
      <w:r>
        <w:t xml:space="preserve">Apéndice B. Léxico de certeza y pausa diagnóstica</w:t>
      </w:r>
      <w:r>
        <w:tab/>
      </w:r>
      <w:r>
        <w:rPr>
          <w:color w:val="8A8A8A"/>
        </w:rPr>
        <w:t xml:space="preserve">120</w:t>
      </w:r>
    </w:p>
    <w:p>
      <w:pPr>
        <w:pStyle w:val="TocPart"/>
        <w:tabs>
          <w:tab w:val="right" w:pos="9026" w:leader="dot"/>
        </w:tabs>
        <w:suppressAutoHyphens/>
      </w:pPr>
      <w:r>
        <w:t xml:space="preserve">Apéndice C. Guía de implementación en un servicio clínico</w:t>
      </w:r>
      <w:r>
        <w:tab/>
      </w:r>
      <w:r>
        <w:rPr>
          <w:color w:val="8A8A8A"/>
        </w:rPr>
        <w:t xml:space="preserve">122</w:t>
      </w:r>
    </w:p>
    <w:p>
      <w:pPr>
        <w:pStyle w:val="TocPart"/>
        <w:tabs>
          <w:tab w:val="right" w:pos="9026" w:leader="dot"/>
        </w:tabs>
        <w:suppressAutoHyphens/>
      </w:pPr>
      <w:r>
        <w:t xml:space="preserve">Apéndice D. Talleres</w:t>
      </w:r>
      <w:r>
        <w:tab/>
      </w:r>
      <w:r>
        <w:rPr>
          <w:color w:val="8A8A8A"/>
        </w:rPr>
        <w:t xml:space="preserve">125</w:t>
      </w:r>
    </w:p>
    <w:p>
      <w:pPr>
        <w:pStyle w:val="TocPart"/>
        <w:tabs>
          <w:tab w:val="right" w:pos="9026" w:leader="dot"/>
        </w:tabs>
        <w:suppressAutoHyphens/>
      </w:pPr>
      <w:r>
        <w:t xml:space="preserve">Apéndice E. Las preguntas para la próxima visita</w:t>
      </w:r>
      <w:r>
        <w:tab/>
      </w:r>
      <w:r>
        <w:rPr>
          <w:color w:val="8A8A8A"/>
        </w:rPr>
        <w:t xml:space="preserve">135</w:t>
      </w:r>
    </w:p>
    <w:p>
      <w:pPr>
        <w:pStyle w:val="TocPart"/>
        <w:tabs>
          <w:tab w:val="right" w:pos="9026" w:leader="dot"/>
        </w:tabs>
        <w:suppressAutoHyphens/>
      </w:pPr>
      <w:r>
        <w:t xml:space="preserve">Glosario</w:t>
      </w:r>
      <w:r>
        <w:tab/>
      </w:r>
      <w:r>
        <w:rPr>
          <w:color w:val="8A8A8A"/>
        </w:rPr>
        <w:t xml:space="preserve">139</w:t>
      </w:r>
    </w:p>
    <w:p>
      <w:pPr>
        <w:pStyle w:val="TocPart"/>
        <w:tabs>
          <w:tab w:val="right" w:pos="9026" w:leader="dot"/>
        </w:tabs>
        <w:suppressAutoHyphens/>
      </w:pPr>
      <w:r>
        <w:t xml:space="preserve">Índice analítico</w:t>
      </w:r>
      <w:r>
        <w:tab/>
      </w:r>
      <w:r>
        <w:rPr>
          <w:color w:val="8A8A8A"/>
        </w:rPr>
        <w:t xml:space="preserve">145</w:t>
      </w:r>
    </w:p>
    <w:p>
      <w:pPr>
        <w:pStyle w:val="TocPart"/>
        <w:tabs>
          <w:tab w:val="right" w:pos="9026" w:leader="dot"/>
        </w:tabs>
        <w:suppressAutoHyphens/>
      </w:pPr>
      <w:r>
        <w:t xml:space="preserve">Lista de figuras</w:t>
      </w:r>
      <w:r>
        <w:tab/>
      </w:r>
      <w:r>
        <w:rPr>
          <w:color w:val="8A8A8A"/>
        </w:rPr>
        <w:t xml:space="preserve">149</w:t>
      </w:r>
    </w:p>
    <w:p>
      <w:pPr>
        <w:pStyle w:val="TocPart"/>
        <w:tabs>
          <w:tab w:val="right" w:pos="9026" w:leader="dot"/>
        </w:tabs>
        <w:suppressAutoHyphens/>
      </w:pPr>
      <w:r>
        <w:t xml:space="preserve">Nota metodológica y estatuto de las afirmaciones</w:t>
      </w:r>
      <w:r>
        <w:tab/>
      </w:r>
      <w:r>
        <w:rPr>
          <w:color w:val="8A8A8A"/>
        </w:rPr>
        <w:t xml:space="preserve">150</w:t>
      </w:r>
    </w:p>
    <w:p>
      <w:pPr>
        <w:pStyle w:val="TocPart"/>
        <w:tabs>
          <w:tab w:val="right" w:pos="9026" w:leader="dot"/>
        </w:tabs>
        <w:suppressAutoHyphens/>
      </w:pPr>
      <w:r>
        <w:t xml:space="preserve">Referencias</w:t>
      </w:r>
      <w:r>
        <w:tab/>
      </w:r>
      <w:r>
        <w:rPr>
          <w:color w:val="8A8A8A"/>
        </w:rPr>
        <w:t xml:space="preserve">152</w:t>
      </w:r>
    </w:p>
    <w:p>
      <w:pPr>
        <w:pStyle w:val="TocPart"/>
        <w:tabs>
          <w:tab w:val="right" w:pos="9026" w:leader="dot"/>
        </w:tabs>
        <w:suppressAutoHyphens/>
      </w:pPr>
      <w:r>
        <w:t xml:space="preserve">Tarjeta: HII-D en sesenta segundos</w:t>
      </w:r>
      <w:r>
        <w:tab/>
      </w:r>
      <w:r>
        <w:rPr>
          <w:color w:val="8A8A8A"/>
        </w:rPr>
        <w:t xml:space="preserve">163</w:t>
      </w:r>
    </w:p>
    <w:p>
      <w:pPr>
        <w:sectPr>
          <w:pgSz w:w="11906" w:h="16838" w:orient="portrait"/>
          <w:pgMar w:top="1440" w:right="1440" w:bottom="1440" w:left="1440" w:header="708" w:footer="708" w:gutter="0"/>
          <w:pgNumType/>
          <w:docGrid w:linePitch="360"/>
        </w:sectPr>
      </w:pPr>
    </w:p>
    <w:p>
      <w:pPr>
        <w:pStyle w:val="Heading1"/>
        <w:keepNext/>
        <w:keepLines/>
        <w:pageBreakBefore/>
        <w:spacing w:after="320" w:before="720"/>
      </w:pPr>
      <w:r>
        <w:rPr>
          <w:rFonts w:ascii="Gelasio" w:cs="Gelasio" w:eastAsia="Gelasio" w:hAnsi="Gelasio"/>
          <w:b/>
          <w:bCs/>
          <w:color w:val="2B2B2B"/>
          <w:sz w:val="34"/>
          <w:szCs w:val="34"/>
        </w:rPr>
        <w:t xml:space="preserve">Prefacio</w:t>
      </w:r>
    </w:p>
    <w:p>
      <w:pPr>
        <w:pStyle w:val="BodyJ"/>
        <w:keepNext w:val="false"/>
      </w:pPr>
      <w:r>
        <w:t xml:space="preserve">Durante mi residencia escribí una frase que tardé años en devolver a su tamaño real. La enfermera de noche había anotado un vómito a las tres de la madrugada. Nadie vio al paciente aspirar; no tuvo fiebre ni disnea nueva, no cambió su requerimiento de oxígeno, y en la radiografía de la mañana aparecieron infiltrados basales que no teníamos con qué comparar, porque no había una placa previa. Yo escribí: «neumonía aspirativa». Dos palabras limpias y verosímiles que saltaban sin escalas desde un vómito referido y una sombra radiológica hasta una infección bacteriana establecida. Si hubo aspiración, y nadie la presenció, pudo causar una neumonitis química, que no se trata con antibióticos, o una neumonía bacteriana, que sí; la radiografía no distingue entre ambas, y sin placa previa ni siquiera sabíamos si esos infiltrados eran nuevos. Mi frase eligió la neumonía sin un solo dato que la separara de las otras posibilidades. La frase viajó conmigo a la entrega de turno, de la entrega a la visita médica, de la visita a la epicrisis y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 turno.</w:t>
      </w:r>
    </w:p>
    <w:p>
      <w:pPr>
        <w:pStyle w:val="BodyJ"/>
        <w:keepNext w:val="false"/>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es epistemológica antes que estilística y, por sus consecuencias, también clínica.</w:t>
      </w:r>
    </w:p>
    <w:p>
      <w:pPr>
        <w:pStyle w:val="BodyJ"/>
        <w:keepNext w:val="false"/>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keepNext/>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keepNext w:val="false"/>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keepNext w:val="false"/>
      </w:pPr>
      <w:r>
        <w:t xml:space="preserve">Hay que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sostuvo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Que las palabras de certeza deban tener un peso fijo no es una idea nueva —la inteligencia estadounidense y la radiología lo intentaron antes, y el capítulo 15 lo reconoce—; lo que falta es llevar esa disciplina a la nota entera, capa por capa. No va de la teoría hacia la clínica, sino de la ficha, la entrega de turno, la visita médica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keepNext w:val="false"/>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keepNext w:val="false"/>
      </w:pPr>
      <w:r>
        <w:t xml:space="preserve">Escribo desde la práctica y no desde la tribuna. Los errores que analizo en estas páginas son de los que yo también he cometido; los he escrito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keepNext w:val="false"/>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keepNext w:val="false"/>
      </w:pPr>
      <w:r>
        <w:t xml:space="preserve">La aspiración del libro es modesta y exigente a la vez: favorecer una medicina capaz de afirmar con claridad, dudar con precisión y actuar con responsabilidad.</w:t>
      </w:r>
    </w:p>
    <w:p>
      <w:pPr>
        <w:pStyle w:val="Heading1"/>
        <w:keepNext/>
        <w:keepLines/>
        <w:pageBreakBefore/>
        <w:spacing w:after="320" w:before="720"/>
      </w:pPr>
      <w:r>
        <w:rPr>
          <w:rFonts w:ascii="Gelasio" w:cs="Gelasio" w:eastAsia="Gelasio" w:hAnsi="Gelasio"/>
          <w:b/>
          <w:bCs/>
          <w:color w:val="2B2B2B"/>
          <w:sz w:val="34"/>
          <w:szCs w:val="34"/>
        </w:rPr>
        <w:t xml:space="preserve">Cómo leer este libro</w:t>
      </w:r>
    </w:p>
    <w:p>
      <w:pPr>
        <w:pStyle w:val="BodyJ"/>
        <w:keepNext w:val="false"/>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la pausa —cuándo desacelerar, en qué estado y con qué mente—. La </w:t>
      </w:r>
      <w:r>
        <w:rPr>
          <w:b/>
          <w:bCs/>
        </w:rPr>
        <w:t xml:space="preserve">Parte III</w:t>
      </w:r>
      <w:r>
        <w:t xml:space="preserve"> amplía el foco hacia la decisión en el tiempo y con otros. La evidencia poblacional y su traducción al caso singular; las decisiones por umbral, donde el precio del error decide cuánta evidencia basta, y su cruce con la bioética; la trayectoria temporal; la ficha clínica; los equipos y la comunicación de la incertidumbre. La </w:t>
      </w:r>
      <w:r>
        <w:rPr>
          <w:b/>
          <w:bCs/>
        </w:rPr>
        <w:t xml:space="preserve">Parte IV</w:t>
      </w:r>
      <w:r>
        <w:t xml:space="preserve"> propone una epistemología operativa. La responsabilidad, incluido el miedo que también escribe; el método HII-D; un cuaderno de ocho casos; la enseñanza de la metacognición clínica; la inteligencia artificial en el proceso diagnóstico y terapéutico, con sus roles, sus riesgos y las defensas frente a ellos. Y un cierre desde la poesía chilena: Huidobro y Parra como los dos polos de lo que la palabra clínica puede y no puede permitirse.</w:t>
      </w:r>
    </w:p>
    <w:p>
      <w:pPr>
        <w:pStyle w:val="BodyJ"/>
        <w:keepNext w:val="false"/>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observar cómo las capas del conocimiento se mezclan, se separan y producen consecuencias clínicas reales en una persona concreta dentro del relato docente.</w:t>
      </w:r>
    </w:p>
    <w:p>
      <w:pPr>
        <w:pStyle w:val="BodyJ"/>
        <w:keepNext w:val="false"/>
      </w:pPr>
      <w:r>
        <w:t xml:space="preserve">Cada capítulo cierra con dos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Para quien quiera practicar, los </w:t>
      </w:r>
      <w:r>
        <w:rPr>
          <w:b/>
          <w:bCs/>
        </w:rPr>
        <w:t xml:space="preserve">talleres</w:t>
      </w:r>
      <w:r>
        <w:t xml:space="preserve"> del Apéndice D proponen ejercicios concretos, nombrados por su capítulo; muchos piden reescribir una frase clínica real. No tienen respuestas únicas: la versión posible o el comentario que los acompaña muestra un camino, no el camino.</w:t>
      </w:r>
    </w:p>
    <w:p>
      <w:pPr>
        <w:pStyle w:val="BodyJ"/>
        <w:keepNext w:val="false"/>
      </w:pPr>
      <w:r>
        <w:t xml:space="preserve">Lea con un caso propio en mente. Las preguntas de cierre de cada capítulo están reunidas en el Apéndice E, y la versión de sesenta segundos del método, en la tarjeta de la última página.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keepNext w:val="false"/>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BodyJ"/>
        <w:keepNext w:val="false"/>
      </w:pPr>
      <w:r>
        <w:t xml:space="preserve">La Figura 1 resume la arquitectura: tres hilos que atraviesan las cuatro partes, y un caso que los atraviesa a todos.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181350"/>
                          </a:xfrm>
                          <a:prstGeom prst="rect">
                            <a:avLst/>
                          </a:prstGeom>
                        </pic:spPr>
                      </pic:pic>
                    </a:graphicData>
                  </a:graphic>
                </wp:inline>
              </w:drawing>
            </w:r>
          </w:p>
          <w:p>
            <w:pPr>
              <w:pStyle w:val="Caption"/>
            </w:pPr>
            <w:r>
              <w:t xml:space="preserve">Figura 1. Mapa del libro. Tres hilos —las capas del conocimiento, el arco que va de la abducción a la humildad y el lenguaje que conserva o borra las capas— recorren las cuatro partes; los números remiten a capítulos. Carmen los atraviesa todos.</w:t>
            </w:r>
          </w:p>
        </w:tc>
      </w:tr>
    </w:tbl>
    <w:p>
      <w:pPr>
        <w:spacing w:after="60"/>
      </w:pPr>
    </w:p>
    <w:p>
      <w:pPr>
        <w:pStyle w:val="Heading1"/>
        <w:keepNext/>
        <w:keepLines/>
        <w:pageBreakBefore/>
        <w:spacing w:after="320" w:before="720"/>
      </w:pPr>
      <w:r>
        <w:rPr>
          <w:rFonts w:ascii="Gelasio" w:cs="Gelasio" w:eastAsia="Gelasio" w:hAnsi="Gelasio"/>
          <w:b/>
          <w:bCs/>
          <w:color w:val="2B2B2B"/>
          <w:sz w:val="34"/>
          <w:szCs w:val="34"/>
        </w:rPr>
        <w:t xml:space="preserve">Introducción. La medicina como práctica de conocimiento incompleto</w:t>
      </w:r>
    </w:p>
    <w:p>
      <w:pPr>
        <w:pStyle w:val="BodyJ"/>
        <w:keepNext w:val="false"/>
      </w:pPr>
      <w:r>
        <w:t xml:space="preserve">Carmen tiene sesenta y un años, treinta de cigarrillo y una cicatriz en la línea media que le cruza el abdomen desde una cirugía de hace una década. Sobre la cicatriz, una hernia incisional que ella conoce mejor que nadie: sabe qué comidas la distienden, sabe dormir de lado cuando «se le aprieta», sabe distinguir la molestia habitual del dolor que la obliga a ir a urgencias. Ha ingresado tres veces en el último año por episodios de suboclusión intestinal que cedieron con reposo digestivo y sonda nasogástrica. Esta madrugada llegó por cuarta vez, y algo es radicalmente distinto: está hipotensa (presión arterial media de 55 mmHg) y taquicárdica (112 por minuto), con las rodillas moteadas y un lactato de 3,9 mmol/L. En la nota de ingreso, alguien escribió: «Paciente con hernia complicada conocida, cuadro habitual, se maneja de forma habitual».</w:t>
      </w:r>
    </w:p>
    <w:p>
      <w:pPr>
        <w:pStyle w:val="BodyJ"/>
        <w:keepNext w:val="false"/>
      </w:pPr>
      <w:r>
        <w:t xml:space="preserve">Casi todo en esa frase suena razonable, y casi todo oculta el problema real. ¿Qué significa «conocida» cuando el comportamiento biológico acaba de cambiar? ¿Qué tiene de «habitual» una paciente que por primera vez ingresa en shock? ¿«Complicada» describe el atascamiento mecánico de los ingresos previos o la amenaza de isquemia y sepsis que enfrenta hoy? La frase no es falsa: es prematura. Comprime cuatro operaciones distintas —observar los signos de hipoperfusión, inferir la causa del deterioro, reconocer lo que la clínica aún no permite descartar y decidir una conducta proporcional al riesgo— en un gesto único que ya no deja ver sus partes. Este libro trata de esas cuatro operaciones, de cómo se confunden en el registro diario y de cómo volver a separarlas cuando importa. El libro vuelve a la cama de Carmen al final de cada parte.</w:t>
      </w:r>
    </w:p>
    <w:p>
      <w:pPr>
        <w:pStyle w:val="BodyJ"/>
        <w:keepNext w:val="false"/>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keepNext w:val="false"/>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keepNext w:val="false"/>
      </w:pPr>
      <w:r>
        <w:t xml:space="preserve">Ese trabajo se ordena aquí en cuatro capas —lo observado, lo inferido, lo incierto y lo decidido— que la Figura 2 anticipa y que la Parte I desarrolla una por una.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562225"/>
                          </a:xfrm>
                          <a:prstGeom prst="rect">
                            <a:avLst/>
                          </a:prstGeom>
                        </pic:spPr>
                      </pic:pic>
                    </a:graphicData>
                  </a:graphic>
                </wp:inline>
              </w:drawing>
            </w:r>
          </w:p>
          <w:p>
            <w:pPr>
              <w:pStyle w:val="Caption"/>
            </w:pPr>
            <w:r>
              <w:t xml:space="preserve">Figura 2. Las cuatro capas del conocimiento clínico, la franja de incertidumbre que las atraviesa y el circuito de reevaluación que vuelve a la pregunta y a los hechos. La separación es funcional y gradual; no representa compartimentos ontológicos puros.</w:t>
            </w:r>
          </w:p>
        </w:tc>
      </w:tr>
    </w:tbl>
    <w:p>
      <w:pPr>
        <w:spacing w:after="60"/>
      </w:pPr>
    </w:p>
    <w:p>
      <w:pPr>
        <w:pStyle w:val="BodyJ"/>
        <w:keepNext w:val="false"/>
      </w:pPr>
      <w:r>
        <w:t xml:space="preserve">Estas capas se mezclan con facilidad. Una nota puede declarar «infección urinaria» ante bacteriuria en un paciente sondado sin evidencia clínica de infección, o «descompensación cardiaca» donde sólo hay edema y una radiografía congestiva.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keepNext w:val="false"/>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keepNext w:val="false"/>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keepNext w:val="false"/>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keepNext w:val="false"/>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keepNext w:val="false"/>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keepNext w:val="false"/>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Una nota clínica comprime cuatro operaciones —observar, inferir, reconocer lo incierto, decidir— en un solo gesto; este libro enseña a separarlas cuando importa y a dejarlas juntas cuando no.</w:t>
      </w:r>
    </w:p>
    <w:p>
      <w:pPr>
        <w:pStyle w:val="BodyJ"/>
        <w:keepNext/>
        <w:spacing w:after="80" w:before="160"/>
      </w:pPr>
      <w:r>
        <w:rPr>
          <w:b/>
          <w:bCs/>
        </w:rPr>
        <w:t xml:space="preserve">Tres preguntas para la próxima visita.</w:t>
      </w:r>
    </w:p>
    <w:p>
      <w:pPr>
        <w:pStyle w:val="BodyJ"/>
        <w:keepNext/>
        <w:numPr>
          <w:ilvl w:val="0"/>
          <w:numId w:val="2"/>
        </w:numPr>
      </w:pPr>
      <w:r>
        <w:t xml:space="preserve">En la última nota que escribí, ¿qué afirmación era un dato y cuál era mi interpretación del dato?</w:t>
      </w:r>
    </w:p>
    <w:p>
      <w:pPr>
        <w:pStyle w:val="BodyJ"/>
        <w:keepNext/>
        <w:numPr>
          <w:ilvl w:val="0"/>
          <w:numId w:val="2"/>
        </w:numPr>
      </w:pPr>
      <w:r>
        <w:t xml:space="preserve">¿Qué frase de la ficha de mi paciente actual heredé de otra nota sin verificar su origen?</w:t>
      </w:r>
    </w:p>
    <w:p>
      <w:pPr>
        <w:pStyle w:val="BodyJ"/>
        <w:keepNext w:val="false"/>
        <w:numPr>
          <w:ilvl w:val="0"/>
          <w:numId w:val="2"/>
        </w:numPr>
      </w:pPr>
      <w:r>
        <w:t xml:space="preserve">¿Cuál es la decisión concreta que este caso me exige hoy, y qué me haría cambiarla?</w:t>
      </w:r>
    </w:p>
    <w:p>
      <w:pPr>
        <w:pStyle w:val="PartLabel"/>
        <w:keepNext/>
        <w:pageBreakBefore/>
      </w:pPr>
      <w:r>
        <w:t xml:space="preserve">PARTE I</w:t>
      </w:r>
    </w:p>
    <w:p>
      <w:pPr>
        <w:pStyle w:val="PartTitle"/>
        <w:keepNext/>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keepNext/>
        <w:keepLines/>
        <w:pageBreakBefore/>
        <w:spacing w:after="300" w:before="600"/>
      </w:pPr>
      <w:r>
        <w:rPr>
          <w:rFonts w:ascii="Gelasio" w:cs="Gelasio" w:eastAsia="Gelasio" w:hAnsi="Gelasio"/>
          <w:b/>
          <w:bCs/>
          <w:color w:val="8C2F2F"/>
          <w:sz w:val="22"/>
          <w:szCs w:val="22"/>
        </w:rPr>
        <w:t xml:space="preserve">Capítulo 1</w:t>
      </w:r>
      <w:r>
        <w:rPr>
          <w:rFonts w:ascii="Gelasio" w:cs="Gelasio" w:eastAsia="Gelasio" w:hAnsi="Gelasio"/>
          <w:b/>
          <w:bCs/>
          <w:color w:val="3D5A6C"/>
          <w:sz w:val="32"/>
          <w:szCs w:val="32"/>
        </w:rPr>
        <w:br/>
        <w:t xml:space="preserve">El hecho clínico: observación, medición y procedencia</w:t>
      </w:r>
    </w:p>
    <w:p>
      <w:pPr>
        <w:pStyle w:val="BodyJ"/>
        <w:keepNext w:val="false"/>
      </w:pPr>
      <w:r>
        <w:t xml:space="preserve">Son las 7:40 de la mañana y, en la entrega de turno, el residente presenta a Carmen: «Paciente séptica de foco abdominal, con hernia complicada». El jefe de servicio mira la hoja de enfermería de urgencias y hace una sola pregunta: «¿Qué parte de esa frase la observó alguien directamente y qué parte la estamos suponiendo?». El silencio que sigue es el tema de este capítulo.</w:t>
      </w:r>
    </w:p>
    <w:p>
      <w:pPr>
        <w:pStyle w:val="Heading3"/>
        <w:keepNext/>
        <w:keepLines/>
        <w:spacing w:after="120" w:before="280"/>
      </w:pPr>
      <w:r>
        <w:rPr>
          <w:rFonts w:ascii="Gelasio" w:cs="Gelasio" w:eastAsia="Gelasio" w:hAnsi="Gelasio"/>
          <w:b/>
          <w:bCs/>
          <w:color w:val="2B2B2B"/>
          <w:sz w:val="25"/>
          <w:szCs w:val="25"/>
        </w:rPr>
        <w:t xml:space="preserve">Los datos no llegan desnudos</w:t>
      </w:r>
    </w:p>
    <w:p>
      <w:pPr>
        <w:pStyle w:val="BodyJ"/>
        <w:keepNext w:val="false"/>
      </w:pPr>
      <w:r>
        <w:t xml:space="preserve">En la conversación cotidiana se llama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keepNext w:val="false"/>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keepNext w:val="false"/>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BodyJ"/>
        <w:keepNext w:val="false"/>
      </w:pPr>
      <w:r>
        <w:t xml:space="preserve">Antes de seguir, hay que precisar qué estatuto tiene entonces aquí la palabra «hecho», porque la carga teórica de la observación parece amenazar la distinción que organiza todo lo demás: si toda observación ya contiene conceptos, ¿dónde termina el hecho y empieza la inferencia? La respuesta es pragmática, no ontológica. «Hecho» es el estatus provisional que un equipo concede a una afirmación cuando acuerda no cuestionarla para la decisión en curso. «Lactato 3,9» es un hecho mientras nadie discuta el método ni la hora; deja de serlo en el instante en que la decisión dependa de si la muestra era venosa o estaba hemolizada, y entonces hay que bajar un nivel y volver a mirar. La frontera entre capas no es una línea en la naturaleza, sino una línea que el equipo traza, puede volver a trazar y debe poder mostrar dónde la trazó. Eso —y no compartimentos puros— es lo que la Figura 2 llama separación funcional y gradual.</w:t>
      </w:r>
    </w:p>
    <w:p>
      <w:pPr>
        <w:pStyle w:val="BodyJ"/>
        <w:keepNext w:val="false"/>
      </w:pPr>
      <w:r>
        <w:t xml:space="preserve">Esta posición tiene un antecedente chileno que pide reconocerse con la precisión que su propio autor exigía. Maturana formuló en 1970 la frase que cualquier ficha debería llevar como advertencia: todo lo dicho es dicho por un observador (Maturana, 1970; Maturana &amp; Varela, 1984). Y propuso después distinguir dos objetividades. La «objetividad sin paréntesis» es la del que cree hablar de la realidad sin mediación y usa esa creencia como argumento para obligar al otro; la «objetividad entre paréntesis» admite que toda afirmación válida lo es dentro de un dominio de condiciones que el observador puede declarar (Maturana, 1990). El «quién lo observó, cómo y cuándo» y el léxico de certeza del capítulo 4 son objetividad entre paréntesis vuelta hábito de escritura. Dos aclaraciones, para que el préstamo no se convierta en coartada. El paréntesis no le quita realidad al lactato: la paciente está hipoperfundida la mida quien la mida, y donde el constructivismo de Maturana da el paso de disolver esa diferencia, aquí no se lo acompaña. Y declarar al observador no vuelve relativa la observación: la vuelve auditable, que es lo contrario. La trazabilidad es el paréntesis puesto por escrito.</w:t>
      </w:r>
    </w:p>
    <w:p>
      <w:pPr>
        <w:pStyle w:val="Heading3"/>
        <w:keepNext/>
        <w:keepLines/>
        <w:spacing w:after="120" w:before="280"/>
      </w:pPr>
      <w:r>
        <w:rPr>
          <w:rFonts w:ascii="Gelasio" w:cs="Gelasio" w:eastAsia="Gelasio" w:hAnsi="Gelasio"/>
          <w:b/>
          <w:bCs/>
          <w:color w:val="2B2B2B"/>
          <w:sz w:val="25"/>
          <w:szCs w:val="25"/>
        </w:rPr>
        <w:t xml:space="preserve">Hechos incompletos</w:t>
      </w:r>
    </w:p>
    <w:p>
      <w:pPr>
        <w:pStyle w:val="BodyJ"/>
        <w:keepNext w:val="false"/>
      </w:pPr>
      <w:r>
        <w:t xml:space="preserve">Los hechos clínicos son incompletos por diseño. Ninguna anamnesis recoge toda la experiencia del paciente, ningún examen físico agota el cuerpo y ningún panel de laboratorio representa la totalidad del proceso biológico. La ficha clínica es una muestra orientada por preguntas. Lo que no se pregunta puede quedar inexistente en el registro, aunque haya estado presente en la realidad.</w:t>
      </w:r>
    </w:p>
    <w:p>
      <w:pPr>
        <w:pStyle w:val="BodyJ"/>
        <w:keepNext w:val="false"/>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los capítulos siguientes vuelven a ella cada vez que un hallazgo negativo amenace con decidir demasiado.</w:t>
      </w:r>
    </w:p>
    <w:p>
      <w:pPr>
        <w:pStyle w:val="BodyJ"/>
        <w:keepNext w:val="false"/>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keepNext w:val="false"/>
      </w:pPr>
      <w:r>
        <w:t xml:space="preserve">La distinción no es académica. El ensayo ANDROMEDA-SHOCK comparó dos maneras de leer al mismo paciente en shock séptico: guiar la reanimación por la normalización del lactato o por la del llene capilar.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la brecha entre el dato y su interpretación: el lactato era un hecho; «el paciente sigue hipoperfundido» era una inferencia que convenía someter a examen.</w:t>
      </w:r>
    </w:p>
    <w:p>
      <w:pPr>
        <w:pStyle w:val="BodyJ"/>
        <w:keepNext w:val="false"/>
      </w:pPr>
      <w:r>
        <w:t xml:space="preserve">El mismo grupo había advertido antes contra el uso ingenuo de la «depuración de lactato» como blanco terapéutico (Hernández, Bellomo &amp; Bakker, 2019). La hiperlactatemia que persiste no siempre es hipoperfusión que persiste —puede ser estrés adrenérgico, menor aclaramiento u otra cosa—, y perseguir el número puede inducir más reanimación de la que el paciente tolera. Es la misma lección en versión de cuidados intensivos: tratar el marcador como si fuera el mecanismo no es un refinamiento; es una inferencia disfrazada de hecho, con volumen y vasopresores de por medio.</w:t>
      </w:r>
    </w:p>
    <w:p>
      <w:pPr>
        <w:pStyle w:val="Heading3"/>
        <w:keepNext/>
        <w:keepLines/>
        <w:spacing w:after="120" w:before="280"/>
      </w:pPr>
      <w:r>
        <w:rPr>
          <w:rFonts w:ascii="Gelasio" w:cs="Gelasio" w:eastAsia="Gelasio" w:hAnsi="Gelasio"/>
          <w:b/>
          <w:bCs/>
          <w:color w:val="2B2B2B"/>
          <w:sz w:val="25"/>
          <w:szCs w:val="25"/>
        </w:rPr>
        <w:t xml:space="preserve">El testimonio como evidencia</w:t>
      </w:r>
    </w:p>
    <w:p>
      <w:pPr>
        <w:pStyle w:val="BodyJ"/>
        <w:keepNext w:val="false"/>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keepNext w:val="false"/>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keepNext w:val="false"/>
      </w:pPr>
      <w:r>
        <w:t xml:space="preserve">Carmen, por ejemplo, no dijo «dolor abdominal difuso»: dijo que esta vez «la hernia no se dejó acomodar», que el dolor «era otro» y que por primera vez le dio miedo. No es folclor narrativo; son tres hallazgos semiológicos de alto valor: pérdida de reductibilidad aguda, cambio en el carácter del dolor —que sugiere sufrimiento parietal o vascular más allá de la distensión luminal— y percepción de amenaza vital. La nota que los aplana en «dolor abdominal en paciente con hernia conocida» no ha mentido: ha destruido evidencia diagnóstica primaria.</w:t>
      </w:r>
    </w:p>
    <w:p>
      <w:pPr>
        <w:pStyle w:val="Heading3"/>
        <w:keepNext/>
        <w:keepLines/>
        <w:spacing w:after="120" w:before="280"/>
      </w:pPr>
      <w:r>
        <w:rPr>
          <w:rFonts w:ascii="Gelasio" w:cs="Gelasio" w:eastAsia="Gelasio" w:hAnsi="Gelasio"/>
          <w:b/>
          <w:bCs/>
          <w:color w:val="2B2B2B"/>
          <w:sz w:val="25"/>
          <w:szCs w:val="25"/>
        </w:rPr>
        <w:t xml:space="preserve">Trazabilidad epistemológica</w:t>
      </w:r>
    </w:p>
    <w:p>
      <w:pPr>
        <w:pStyle w:val="BodyJ"/>
        <w:keepNext w:val="false"/>
      </w:pPr>
      <w:r>
        <w:t xml:space="preserve">Conservar el dato bajo la interpretación no es un escrúpulo de archivista: es lo que permite auditar la interpretación después, y la filosofía de la medicina lo dijo antes que la seguridad clínica. Canguilhem sostuvo que la medicina no describe simplemente desviaciones estadísticas: juzga relaciones entre el organismo, sus normas y su capacidad de habitar un medio (Canguilhem, 1971).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keepNext w:val="false"/>
      </w:pPr>
      <w:r>
        <w:t xml:space="preserve">Por ello, los hechos se registran de modo trazable en el tiempo. Una etiqueta como «shock séptico abdominal» fusiona estado fisiológico, etiología microbiológica y foco anatómico en un solo bloque. Una formulación limpia separa las capas y sus momentos: al ingreso, presión arterial media de 55 mmHg y frecuencia cardiaca de 112 lpm, con requerimiento de noradrenalina pese a 2.000 ml de Ringer lactato en tres horas, lactato de 3,9 mmol/L y llene capilar de 3 a 4 segundos; episodio obstructivo clínico sobre hernia incisional, sin signos tomográficos de perforación ni isquemia; y, a las 12 horas de incubación, hemocultivos periféricos positivos para bacilos gramnegativos. Recién sobre esa arquitectura de datos puede sostenerse el foco abdominal por translocación como hipótesis probable.</w:t>
      </w:r>
    </w:p>
    <w:p>
      <w:pPr>
        <w:pStyle w:val="Quote1"/>
      </w:pPr>
      <w:r>
        <w:t xml:space="preserve">Un hecho clínico no es una verdad sin historia: es una observación con procedencia, oportunidad, método y límites.</w:t>
      </w:r>
    </w:p>
    <w:p>
      <w:pPr>
        <w:pStyle w:val="BodyJ"/>
        <w:keepNext w:val="false"/>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keepNext/>
        <w:keepLines/>
        <w:spacing w:after="120" w:before="280"/>
      </w:pPr>
      <w:r>
        <w:rPr>
          <w:rFonts w:ascii="Gelasio" w:cs="Gelasio" w:eastAsia="Gelasio" w:hAnsi="Gelasio"/>
          <w:b/>
          <w:bCs/>
          <w:color w:val="2B2B2B"/>
          <w:sz w:val="25"/>
          <w:szCs w:val="25"/>
        </w:rPr>
        <w:t xml:space="preserve">Grados de facticidad</w:t>
      </w:r>
    </w:p>
    <w:p>
      <w:pPr>
        <w:pStyle w:val="BodyJ"/>
        <w:keepNext w:val="false"/>
      </w:pPr>
      <w:r>
        <w:t xml:space="preserve">No todos los hechos clínicos ofrecen la misma verificabilidad externa. Puede distinguirse un ordenamiento: dato directamente medido y verificable; observación profesional reproducible; relato consistente del paciente o tercero; dato heredado de una nota anterior; y ausencia inferida porque algo no fue registrado. Este ordenamiento no jerarquiza el valor de las fuentes ni desacredita el relato —para el dolor, el cambio respecto del basal y las preferencias del paciente, el testimonio es la fuente primaria y la más pertinente (el capítulo 14 vuelve sobre esto)—.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2600325"/>
                          </a:xfrm>
                          <a:prstGeom prst="rect">
                            <a:avLst/>
                          </a:prstGeom>
                        </pic:spPr>
                      </pic:pic>
                    </a:graphicData>
                  </a:graphic>
                </wp:inline>
              </w:drawing>
            </w:r>
          </w:p>
          <w:p>
            <w:pPr>
              <w:pStyle w:val="Caption"/>
            </w:pPr>
            <w:r>
              <w:t xml:space="preserve">Figura 3. Fuentes del hecho clínico: el eje ordena por verificabilidad externa directa, no por valor. Ninguna categoría es despreciable; cada una ofrece un acceso privilegiado distinto y exige un lenguaje distinto.</w:t>
            </w:r>
          </w:p>
        </w:tc>
      </w:tr>
    </w:tbl>
    <w:p>
      <w:pPr>
        <w:spacing w:after="60"/>
      </w:pPr>
    </w:p>
    <w:p>
      <w:pPr>
        <w:pStyle w:val="BodyJ"/>
        <w:keepNext/>
      </w:pPr>
      <w:r>
        <w:t xml:space="preserve">Cada fuente se lee por lo que sólo ella ofrece y por dónde suele fallar: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Fuente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Acceso privilegiado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Vulnerabilidad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Escritura recomendada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Medición instrumental</w:t>
            </w:r>
          </w:p>
        </w:tc>
        <w:tc>
          <w:tcPr>
            <w:tcW w:type="dxa" w:w="2150"/>
            <w:tcMar>
              <w:top w:type="dxa" w:w="60"/>
              <w:left w:type="dxa" w:w="100"/>
              <w:bottom w:type="dxa" w:w="60"/>
              <w:right w:type="dxa" w:w="100"/>
            </w:tcMar>
            <w:vAlign w:val="top"/>
          </w:tcPr>
          <w:p>
            <w:pPr>
              <w:spacing w:after="0"/>
            </w:pPr>
            <w:r>
              <w:rPr>
                <w:sz w:val="17"/>
                <w:szCs w:val="17"/>
              </w:rPr>
              <w:t xml:space="preserve">Cuantificación y tendencias</w:t>
            </w:r>
          </w:p>
        </w:tc>
        <w:tc>
          <w:tcPr>
            <w:tcW w:type="dxa" w:w="2560"/>
            <w:tcMar>
              <w:top w:type="dxa" w:w="60"/>
              <w:left w:type="dxa" w:w="100"/>
              <w:bottom w:type="dxa" w:w="60"/>
              <w:right w:type="dxa" w:w="100"/>
            </w:tcMar>
            <w:vAlign w:val="top"/>
          </w:tcPr>
          <w:p>
            <w:pPr>
              <w:spacing w:after="0"/>
            </w:pPr>
            <w:r>
              <w:rPr>
                <w:sz w:val="17"/>
                <w:szCs w:val="17"/>
              </w:rPr>
              <w:t xml:space="preserve">Error analítico, calibración, oportunidad</w:t>
            </w:r>
          </w:p>
        </w:tc>
        <w:tc>
          <w:tcPr>
            <w:tcW w:type="dxa" w:w="2560"/>
            <w:tcMar>
              <w:top w:type="dxa" w:w="60"/>
              <w:left w:type="dxa" w:w="100"/>
              <w:bottom w:type="dxa" w:w="60"/>
              <w:right w:type="dxa" w:w="100"/>
            </w:tcMar>
            <w:vAlign w:val="top"/>
          </w:tcPr>
          <w:p>
            <w:pPr>
              <w:spacing w:after="0"/>
            </w:pPr>
            <w:r>
              <w:rPr>
                <w:sz w:val="17"/>
                <w:szCs w:val="17"/>
              </w:rPr>
              <w:t xml:space="preserve">Método, fecha, unidad y tendencia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Observación profesional</w:t>
            </w:r>
          </w:p>
        </w:tc>
        <w:tc>
          <w:tcPr>
            <w:tcW w:type="dxa" w:w="2150"/>
            <w:tcMar>
              <w:top w:type="dxa" w:w="60"/>
              <w:left w:type="dxa" w:w="100"/>
              <w:bottom w:type="dxa" w:w="60"/>
              <w:right w:type="dxa" w:w="100"/>
            </w:tcMar>
            <w:vAlign w:val="top"/>
          </w:tcPr>
          <w:p>
            <w:pPr>
              <w:spacing w:after="0"/>
            </w:pPr>
            <w:r>
              <w:rPr>
                <w:sz w:val="17"/>
                <w:szCs w:val="17"/>
              </w:rPr>
              <w:t xml:space="preserve">Signos y patrones en contexto</w:t>
            </w:r>
          </w:p>
        </w:tc>
        <w:tc>
          <w:tcPr>
            <w:tcW w:type="dxa" w:w="2560"/>
            <w:tcMar>
              <w:top w:type="dxa" w:w="60"/>
              <w:left w:type="dxa" w:w="100"/>
              <w:bottom w:type="dxa" w:w="60"/>
              <w:right w:type="dxa" w:w="100"/>
            </w:tcMar>
            <w:vAlign w:val="top"/>
          </w:tcPr>
          <w:p>
            <w:pPr>
              <w:spacing w:after="0"/>
            </w:pPr>
            <w:r>
              <w:rPr>
                <w:sz w:val="17"/>
                <w:szCs w:val="17"/>
              </w:rPr>
              <w:t xml:space="preserve">Variabilidad interobservador</w:t>
            </w:r>
          </w:p>
        </w:tc>
        <w:tc>
          <w:tcPr>
            <w:tcW w:type="dxa" w:w="2560"/>
            <w:tcMar>
              <w:top w:type="dxa" w:w="60"/>
              <w:left w:type="dxa" w:w="100"/>
              <w:bottom w:type="dxa" w:w="60"/>
              <w:right w:type="dxa" w:w="100"/>
            </w:tcMar>
            <w:vAlign w:val="top"/>
          </w:tcPr>
          <w:p>
            <w:pPr>
              <w:spacing w:after="0"/>
            </w:pPr>
            <w:r>
              <w:rPr>
                <w:sz w:val="17"/>
                <w:szCs w:val="17"/>
              </w:rPr>
              <w:t xml:space="preserve">Quién observó, cuándo y en qué condiciones</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Testimonio del paciente o del cuidador</w:t>
            </w:r>
          </w:p>
        </w:tc>
        <w:tc>
          <w:tcPr>
            <w:tcW w:type="dxa" w:w="2150"/>
            <w:tcMar>
              <w:top w:type="dxa" w:w="60"/>
              <w:left w:type="dxa" w:w="100"/>
              <w:bottom w:type="dxa" w:w="60"/>
              <w:right w:type="dxa" w:w="100"/>
            </w:tcMar>
            <w:vAlign w:val="top"/>
          </w:tcPr>
          <w:p>
            <w:pPr>
              <w:spacing w:after="0"/>
            </w:pPr>
            <w:r>
              <w:rPr>
                <w:sz w:val="17"/>
                <w:szCs w:val="17"/>
              </w:rPr>
              <w:t xml:space="preserve">Experiencia corporal, síntomas, basal</w:t>
            </w:r>
          </w:p>
        </w:tc>
        <w:tc>
          <w:tcPr>
            <w:tcW w:type="dxa" w:w="2560"/>
            <w:tcMar>
              <w:top w:type="dxa" w:w="60"/>
              <w:left w:type="dxa" w:w="100"/>
              <w:bottom w:type="dxa" w:w="60"/>
              <w:right w:type="dxa" w:w="100"/>
            </w:tcMar>
            <w:vAlign w:val="top"/>
          </w:tcPr>
          <w:p>
            <w:pPr>
              <w:spacing w:after="0"/>
            </w:pPr>
            <w:r>
              <w:rPr>
                <w:sz w:val="17"/>
                <w:szCs w:val="17"/>
              </w:rPr>
              <w:t xml:space="preserve">Memoria, lenguaje, interpretación</w:t>
            </w:r>
          </w:p>
        </w:tc>
        <w:tc>
          <w:tcPr>
            <w:tcW w:type="dxa" w:w="2560"/>
            <w:tcMar>
              <w:top w:type="dxa" w:w="60"/>
              <w:left w:type="dxa" w:w="100"/>
              <w:bottom w:type="dxa" w:w="60"/>
              <w:right w:type="dxa" w:w="100"/>
            </w:tcMar>
            <w:vAlign w:val="top"/>
          </w:tcPr>
          <w:p>
            <w:pPr>
              <w:spacing w:after="0"/>
            </w:pPr>
            <w:r>
              <w:rPr>
                <w:sz w:val="17"/>
                <w:szCs w:val="17"/>
              </w:rPr>
              <w:t xml:space="preserve">Conservar la fuente y, cuando importa, la expresión textual</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Registro heredado</w:t>
            </w:r>
          </w:p>
        </w:tc>
        <w:tc>
          <w:tcPr>
            <w:tcW w:type="dxa" w:w="2150"/>
            <w:tcMar>
              <w:top w:type="dxa" w:w="60"/>
              <w:left w:type="dxa" w:w="100"/>
              <w:bottom w:type="dxa" w:w="60"/>
              <w:right w:type="dxa" w:w="100"/>
            </w:tcMar>
            <w:vAlign w:val="top"/>
          </w:tcPr>
          <w:p>
            <w:pPr>
              <w:spacing w:after="0"/>
            </w:pPr>
            <w:r>
              <w:rPr>
                <w:sz w:val="17"/>
                <w:szCs w:val="17"/>
              </w:rPr>
              <w:t xml:space="preserve">Trayectoria longitudinal</w:t>
            </w:r>
          </w:p>
        </w:tc>
        <w:tc>
          <w:tcPr>
            <w:tcW w:type="dxa" w:w="2560"/>
            <w:tcMar>
              <w:top w:type="dxa" w:w="60"/>
              <w:left w:type="dxa" w:w="100"/>
              <w:bottom w:type="dxa" w:w="60"/>
              <w:right w:type="dxa" w:w="100"/>
            </w:tcMar>
            <w:vAlign w:val="top"/>
          </w:tcPr>
          <w:p>
            <w:pPr>
              <w:spacing w:after="0"/>
            </w:pPr>
            <w:r>
              <w:rPr>
                <w:sz w:val="17"/>
                <w:szCs w:val="17"/>
              </w:rPr>
              <w:t xml:space="preserve">Pérdida de procedencia y copia</w:t>
            </w:r>
          </w:p>
        </w:tc>
        <w:tc>
          <w:tcPr>
            <w:tcW w:type="dxa" w:w="2560"/>
            <w:tcMar>
              <w:top w:type="dxa" w:w="60"/>
              <w:left w:type="dxa" w:w="100"/>
              <w:bottom w:type="dxa" w:w="60"/>
              <w:right w:type="dxa" w:w="100"/>
            </w:tcMar>
            <w:vAlign w:val="top"/>
          </w:tcPr>
          <w:p>
            <w:pPr>
              <w:spacing w:after="0"/>
            </w:pPr>
            <w:r>
              <w:rPr>
                <w:sz w:val="17"/>
                <w:szCs w:val="17"/>
              </w:rPr>
              <w:t xml:space="preserve">Autor, fecha y grado de verificación</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Silencio documental</w:t>
            </w:r>
          </w:p>
        </w:tc>
        <w:tc>
          <w:tcPr>
            <w:tcW w:type="dxa" w:w="2150"/>
            <w:tcMar>
              <w:top w:type="dxa" w:w="60"/>
              <w:left w:type="dxa" w:w="100"/>
              <w:bottom w:type="dxa" w:w="60"/>
              <w:right w:type="dxa" w:w="100"/>
            </w:tcMar>
            <w:vAlign w:val="top"/>
          </w:tcPr>
          <w:p>
            <w:pPr>
              <w:spacing w:after="0"/>
            </w:pPr>
            <w:r>
              <w:rPr>
                <w:sz w:val="17"/>
                <w:szCs w:val="17"/>
              </w:rPr>
              <w:t xml:space="preserve">Ningún acceso positivo</w:t>
            </w:r>
          </w:p>
        </w:tc>
        <w:tc>
          <w:tcPr>
            <w:tcW w:type="dxa" w:w="2560"/>
            <w:tcMar>
              <w:top w:type="dxa" w:w="60"/>
              <w:left w:type="dxa" w:w="100"/>
              <w:bottom w:type="dxa" w:w="60"/>
              <w:right w:type="dxa" w:w="100"/>
            </w:tcMar>
            <w:vAlign w:val="top"/>
          </w:tcPr>
          <w:p>
            <w:pPr>
              <w:spacing w:after="0"/>
            </w:pPr>
            <w:r>
              <w:rPr>
                <w:sz w:val="17"/>
                <w:szCs w:val="17"/>
              </w:rPr>
              <w:t xml:space="preserve">Confundir «no consignado» con «ausente»</w:t>
            </w:r>
          </w:p>
        </w:tc>
        <w:tc>
          <w:tcPr>
            <w:tcW w:type="dxa" w:w="2560"/>
            <w:tcMar>
              <w:top w:type="dxa" w:w="60"/>
              <w:left w:type="dxa" w:w="100"/>
              <w:bottom w:type="dxa" w:w="60"/>
              <w:right w:type="dxa" w:w="100"/>
            </w:tcMar>
            <w:vAlign w:val="top"/>
          </w:tcPr>
          <w:p>
            <w:pPr>
              <w:spacing w:after="0"/>
            </w:pPr>
            <w:r>
              <w:rPr>
                <w:sz w:val="17"/>
                <w:szCs w:val="17"/>
              </w:rPr>
              <w:t xml:space="preserve">«No consignado» o «no evaluado»</w:t>
            </w:r>
          </w:p>
        </w:tc>
      </w:tr>
    </w:tbl>
    <w:p>
      <w:pPr>
        <w:spacing w:after="120"/>
      </w:pPr>
    </w:p>
    <w:p>
      <w:pPr>
        <w:pStyle w:val="BodyJ"/>
        <w:keepNext w:val="false"/>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w:t>
      </w:r>
    </w:p>
    <w:p>
      <w:pPr>
        <w:pStyle w:val="TallerHead"/>
        <w:keepNext/>
        <w:keepLines/>
      </w:pPr>
      <w:r>
        <w:t xml:space="preserve">Caja de herramientas. Tres metadatos por hecho decisivo</w:t>
      </w:r>
    </w:p>
    <w:p>
      <w:pPr>
        <w:pStyle w:val="BodyJ"/>
        <w:keepNext w:val="false"/>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EnUnaFrase"/>
      </w:pPr>
      <w:r>
        <w:rPr>
          <w:b/>
          <w:bCs/>
        </w:rPr>
        <w:t xml:space="preserve">En una frase.</w:t>
      </w:r>
      <w:r>
        <w:t xml:space="preserve"> Un hecho clínico vale lo que vale su procedencia: fuente, momento, método y límites deben viajar con la afirmación.</w:t>
      </w:r>
    </w:p>
    <w:p>
      <w:pPr>
        <w:pStyle w:val="BodyJ"/>
        <w:keepNext/>
        <w:spacing w:after="80" w:before="160"/>
      </w:pPr>
      <w:r>
        <w:rPr>
          <w:b/>
          <w:bCs/>
        </w:rPr>
        <w:t xml:space="preserve">Tres preguntas para la próxima visita.</w:t>
      </w:r>
    </w:p>
    <w:p>
      <w:pPr>
        <w:pStyle w:val="BodyJ"/>
        <w:keepNext/>
        <w:numPr>
          <w:ilvl w:val="0"/>
          <w:numId w:val="3"/>
        </w:numPr>
      </w:pPr>
      <w:r>
        <w:t xml:space="preserve">¿Cuál es el dato más decisivo de mi evaluación de hoy y quién lo produjo realmente?</w:t>
      </w:r>
    </w:p>
    <w:p>
      <w:pPr>
        <w:pStyle w:val="BodyJ"/>
        <w:keepNext/>
        <w:numPr>
          <w:ilvl w:val="0"/>
          <w:numId w:val="3"/>
        </w:numPr>
      </w:pPr>
      <w:r>
        <w:t xml:space="preserve">¿Qué «hallazgo negativo» estoy tratando como evidencia de ausencia sin preguntarme por la sensibilidad de la búsqueda?</w:t>
      </w:r>
    </w:p>
    <w:p>
      <w:pPr>
        <w:pStyle w:val="BodyJ"/>
        <w:keepNext w:val="false"/>
        <w:numPr>
          <w:ilvl w:val="0"/>
          <w:numId w:val="3"/>
        </w:numPr>
      </w:pPr>
      <w:r>
        <w:t xml:space="preserve">¿Qué dijo mi paciente con sus propias palabras que yo ya traduje a jerga?</w:t>
      </w:r>
    </w:p>
    <w:p>
      <w:pPr>
        <w:pStyle w:val="Heading2"/>
        <w:keepNext/>
        <w:keepLines/>
        <w:pageBreakBefore/>
        <w:spacing w:after="300" w:before="600"/>
      </w:pPr>
      <w:r>
        <w:rPr>
          <w:rFonts w:ascii="Gelasio" w:cs="Gelasio" w:eastAsia="Gelasio" w:hAnsi="Gelasio"/>
          <w:b/>
          <w:bCs/>
          <w:color w:val="8C2F2F"/>
          <w:sz w:val="22"/>
          <w:szCs w:val="22"/>
        </w:rPr>
        <w:t xml:space="preserve">Capítulo 2</w:t>
      </w:r>
      <w:r>
        <w:rPr>
          <w:rFonts w:ascii="Gelasio" w:cs="Gelasio" w:eastAsia="Gelasio" w:hAnsi="Gelasio"/>
          <w:b/>
          <w:bCs/>
          <w:color w:val="3D5A6C"/>
          <w:sz w:val="32"/>
          <w:szCs w:val="32"/>
        </w:rPr>
        <w:br/>
        <w:t xml:space="preserve">Inferir: del signo a la explicación</w:t>
      </w:r>
    </w:p>
    <w:p>
      <w:pPr>
        <w:pStyle w:val="BodyJ"/>
        <w:keepNext w:val="false"/>
      </w:pPr>
      <w:r>
        <w:t xml:space="preserve">En el registro de Carmen, el informe tomográfico concluye: «hernia incisional con asas de intestino delgado dilatadas, sin signos de isquemia ni perforación». En la evolución de ingreso, el residente transcribe: «TAC descarta complicación». Son tres palabras que transforman una descripción radiológica acotada en una sentencia clínica absoluta. Este capítulo trata del salto —inevitable, necesario y riesgoso— entre los signos que observamos y las explicaciones que conjeturamos.</w:t>
      </w:r>
    </w:p>
    <w:p>
      <w:pPr>
        <w:pStyle w:val="Heading3"/>
        <w:keepNext/>
        <w:keepLines/>
        <w:spacing w:after="120" w:before="280"/>
      </w:pPr>
      <w:r>
        <w:rPr>
          <w:rFonts w:ascii="Gelasio" w:cs="Gelasio" w:eastAsia="Gelasio" w:hAnsi="Gelasio"/>
          <w:b/>
          <w:bCs/>
          <w:color w:val="2B2B2B"/>
          <w:sz w:val="25"/>
          <w:szCs w:val="25"/>
        </w:rPr>
        <w:t xml:space="preserve">La medicina como razonamiento abductivo</w:t>
      </w:r>
    </w:p>
    <w:p>
      <w:pPr>
        <w:pStyle w:val="BodyJ"/>
        <w:keepNext w:val="false"/>
      </w:pPr>
      <w:r>
        <w:t xml:space="preserve">El diagnóstico no aparece contenido dentro del dato. Se propone como la explicación que mejor organiza un conjunto de hallazgos. Peirce describió este movimiento —que en 1878 llamó «hipótesis» (Peirce, 1878)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1934, CP 5.189).</w:t>
      </w:r>
    </w:p>
    <w:p>
      <w:pPr>
        <w:pStyle w:val="BodyJ"/>
        <w:keepNext w:val="false"/>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keepNext/>
        <w:keepLines/>
        <w:spacing w:after="120" w:before="280"/>
      </w:pPr>
      <w:r>
        <w:rPr>
          <w:rFonts w:ascii="Gelasio" w:cs="Gelasio" w:eastAsia="Gelasio" w:hAnsi="Gelasio"/>
          <w:b/>
          <w:bCs/>
          <w:color w:val="2B2B2B"/>
          <w:sz w:val="25"/>
          <w:szCs w:val="25"/>
        </w:rPr>
        <w:t xml:space="preserve">Representar el problema</w:t>
      </w:r>
    </w:p>
    <w:p>
      <w:pPr>
        <w:pStyle w:val="BodyJ"/>
        <w:keepNext w:val="false"/>
      </w:pPr>
      <w:r>
        <w:t xml:space="preserve">Esa organización del conocimiento tiene una unidad de trabajo visible. 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keepNext w:val="false"/>
      </w:pPr>
      <w:r>
        <w:t xml:space="preserve">La compresión semántica no debe confundirse con la amputación de datos críticos. «Mujer de 61 años con dolor abdominal» carece de poder discriminativo para activar un illness script específico. En cambio, «mujer de 61 años con hernia incisional y suboclusiones recurrentes autolimitadas, que cursa con un cuarto episodio obstructivo agudo, esta vez complicado con shock séptico por bacilos gramnegativos que respondió a la reanimación con volumen, noradrenalina y antibióticos, sin signos tomográficos actuales de estrangulación ni perforación» conserva los calificadores que guían el razonamiento: temporalidad, cambio de patrón, gravedad fisiológica, microbiología y límites anatómicos.</w:t>
      </w:r>
    </w:p>
    <w:p>
      <w:pPr>
        <w:pStyle w:val="BodyJ"/>
        <w:keepNext w:val="false"/>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keepNext/>
        <w:keepLines/>
        <w:spacing w:after="120" w:before="280"/>
      </w:pPr>
      <w:r>
        <w:rPr>
          <w:rFonts w:ascii="Gelasio" w:cs="Gelasio" w:eastAsia="Gelasio" w:hAnsi="Gelasio"/>
          <w:b/>
          <w:bCs/>
          <w:color w:val="2B2B2B"/>
          <w:sz w:val="25"/>
          <w:szCs w:val="25"/>
        </w:rPr>
        <w:t xml:space="preserve">Inferencias con distinta fuerza</w:t>
      </w:r>
    </w:p>
    <w:p>
      <w:pPr>
        <w:pStyle w:val="BodyJ"/>
        <w:keepNext w:val="false"/>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keepNext w:val="false"/>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keepNext w:val="false"/>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keepNext/>
        <w:keepLines/>
        <w:spacing w:after="120" w:before="280"/>
      </w:pPr>
      <w:r>
        <w:rPr>
          <w:rFonts w:ascii="Gelasio" w:cs="Gelasio" w:eastAsia="Gelasio" w:hAnsi="Gelasio"/>
          <w:b/>
          <w:bCs/>
          <w:color w:val="2B2B2B"/>
          <w:sz w:val="25"/>
          <w:szCs w:val="25"/>
        </w:rPr>
        <w:t xml:space="preserve">La creatividad del diagnóstico: generar antes de podar</w:t>
      </w:r>
    </w:p>
    <w:p>
      <w:pPr>
        <w:pStyle w:val="BodyJ"/>
        <w:keepNext w:val="false"/>
      </w:pPr>
      <w:r>
        <w:t xml:space="preserve">Hay una palabra que la epistemología clínica suele evitar, como si amenazara su seriedad: creatividad. Aquí se la devuelve al centro. Peirce, al bautizar la abducción en sus lecciones de 1903, la describió como la única operación lógica que introduce ideas nuevas. La deducción prueba lo que ya estaba contenido en las premisas y la inducción generaliza lo ya observado; la hipótesis que organiza un caso, en cambio, no se extrae de los datos: se conjetura hacia ellos. Todo diagnóstico contiene, en ese sentido estricto, un momento creativo. La pregunta no es si el clínico crea; es qué tan bien lo hace.</w:t>
      </w:r>
    </w:p>
    <w:p>
      <w:pPr>
        <w:pStyle w:val="BodyJ"/>
        <w:keepNext w:val="false"/>
      </w:pPr>
      <w:r>
        <w:t xml:space="preserve">La investigación sobre creatividad permite precisar qué significa «bien» aquí. Boden distinguió la creatividad histórica —ideas nuevas para la humanidad— de la creatividad psicológica —ideas nuevas para quien las tiene—, y separó tres formas: combinatoria (asociar lo que no solía asociarse), exploratoria (recorrer a fondo un espacio conceptual existente) y transformacional (cambiar las reglas del espacio mismo) (Boden, 2004). La creatividad diagnóstica es casi siempre psicológica y exploratoria: no exige inventar enfermedades; exige recorrer el espacio de hipótesis más allá del primer patrón que se encendió —considerar la colecistitis cuando la etiqueta heredada dice «ITU», el aneurisma cuando el patrón grita cólico renal—. Visto así, el cierre prematuro no es sólo un fallo de verificación, sino también un fracaso de imaginación. Nadie puede descartar la hipótesis que nunca generó.</w:t>
      </w:r>
    </w:p>
    <w:p>
      <w:pPr>
        <w:pStyle w:val="BodyJ"/>
        <w:keepNext w:val="false"/>
      </w:pPr>
      <w:r>
        <w:t xml:space="preserve">Bohm, físico y filósofo, agregó el diagnóstico del bloqueo. La creatividad es ante todo percepción de un orden nuevo en lo que ya está a la vista, y su obstáculo habitual no es la falta de inteligencia sino el apego a la infraestructura tácita de ideas con la que se trabaja sin verla (Bohm, 1996; Bohm &amp; Peat, 1987). Es el peligro de la fluidez que examinará el capítulo 6: el patrón conocido no sólo responde rápido —también impide percibir—. De ahí que varias de las herramientas que siguen, y que parecen puramente disciplinarias, sean además técnicas de creatividad: reformular el caso sin usar la etiqueta (capítulo 8) es un procedimiento para forzar la percepción de otro orden posible en los mismos hechos.</w:t>
      </w:r>
    </w:p>
    <w:p>
      <w:pPr>
        <w:pStyle w:val="BodyJ"/>
        <w:keepNext w:val="false"/>
      </w:pPr>
      <w:r>
        <w:t xml:space="preserve">Schön señaló, por último, dónde vive la creatividad profesional más frecuente: no en resolver el problema dado, sino en plantearlo de nuevo —el problem setting precede al problem solving (Schön, 1983)—. «¿Qué antibiótico damos?» y «¿hay una infección que tratar?» son dos problemas distintos armados con los mismos datos, y elegir cuál se resuelve es el acto creativo que decide todo lo demás. Lo mismo vale para el manejo: cuando las dos conductas sobre la mesa son malas, la salida rara vez es elegir mejor entre ellas; es crear una tercera opción: la prueba terapéutica acotada en el tiempo, el puente reversible que compra información, la redefinición de la meta. Solucionar no siempre es responder; a veces es rehacer la pregunta.</w:t>
      </w:r>
    </w:p>
    <w:p>
      <w:pPr>
        <w:pStyle w:val="Quote1"/>
      </w:pPr>
      <w:r>
        <w:t xml:space="preserve">La creatividad clínica vive en la generación —de hipótesis, de reformulaciones, de opciones—; la disciplina vive en la selección. Sin la segunda, la ocurrencia se vuelve tratamiento; sin la primera, el diferencial nace muerto.</w:t>
      </w:r>
    </w:p>
    <w:p>
      <w:pPr>
        <w:pStyle w:val="BodyJ"/>
        <w:keepNext w:val="false"/>
      </w:pPr>
      <w:r>
        <w:t xml:space="preserve">A la generación le sigue, de inmediato, la prueba de resistencia: generar con libertad y podar con severidad no son virtudes rivales, sino las dos mitades del mismo juicio.</w:t>
      </w:r>
    </w:p>
    <w:p>
      <w:pPr>
        <w:pStyle w:val="Heading3"/>
        <w:keepNext/>
        <w:keepLines/>
        <w:spacing w:after="120" w:before="280"/>
      </w:pPr>
      <w:r>
        <w:rPr>
          <w:rFonts w:ascii="Gelasio" w:cs="Gelasio" w:eastAsia="Gelasio" w:hAnsi="Gelasio"/>
          <w:b/>
          <w:bCs/>
          <w:color w:val="2B2B2B"/>
          <w:sz w:val="25"/>
          <w:szCs w:val="25"/>
        </w:rPr>
        <w:t xml:space="preserve">Explicaciones rivales y prueba de resistencia</w:t>
      </w:r>
    </w:p>
    <w:p>
      <w:pPr>
        <w:pStyle w:val="BodyJ"/>
        <w:keepNext w:val="false"/>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keepNext w:val="false"/>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keepNext w:val="false"/>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—aquellas que tenían una probabilidad real de desmentirla (Popper, 1959)—. En clínica, esto distingue dos maneras de pedir exámenes: el que confirma lo que ya se cree —otro marcador inflamatorio en quien ya fue etiquetado de infección— y el que somete la hipótesis a riesgo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keepNext w:val="false"/>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keepNext/>
        <w:keepLines/>
        <w:spacing w:after="120" w:before="280"/>
      </w:pPr>
      <w:r>
        <w:rPr>
          <w:rFonts w:ascii="Gelasio" w:cs="Gelasio" w:eastAsia="Gelasio" w:hAnsi="Gelasio"/>
          <w:b/>
          <w:bCs/>
          <w:color w:val="2B2B2B"/>
          <w:sz w:val="25"/>
          <w:szCs w:val="25"/>
        </w:rPr>
        <w:t xml:space="preserve">Explicar, predecir y actuar</w:t>
      </w:r>
    </w:p>
    <w:p>
      <w:pPr>
        <w:pStyle w:val="BodyJ"/>
        <w:keepNext w:val="false"/>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keepNext w:val="false"/>
      </w:pPr>
      <w:r>
        <w:t xml:space="preserve">La abducción propone las explicaciones y la prueba de resistencia retiene la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El diagnóstico diferencial debe organizarse, entonces, según discriminación clínica y no sólo semejanza nominal.</w:t>
      </w:r>
    </w:p>
    <w:p>
      <w:pPr>
        <w:pStyle w:val="BodyJ"/>
        <w:keepNext w:val="false"/>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keepNext/>
        <w:spacing w:after="80" w:before="160"/>
      </w:pPr>
      <w:r>
        <w:rPr>
          <w:b/>
          <w:bCs/>
        </w:rPr>
        <w:t xml:space="preserve">Tres preguntas para la próxima visita.</w:t>
      </w:r>
    </w:p>
    <w:p>
      <w:pPr>
        <w:pStyle w:val="BodyJ"/>
        <w:keepNext/>
        <w:numPr>
          <w:ilvl w:val="0"/>
          <w:numId w:val="4"/>
        </w:numPr>
      </w:pPr>
      <w:r>
        <w:t xml:space="preserve">¿Cuál es el dato más difícil de explicar con mi hipótesis principal?</w:t>
      </w:r>
    </w:p>
    <w:p>
      <w:pPr>
        <w:pStyle w:val="BodyJ"/>
        <w:keepNext/>
        <w:numPr>
          <w:ilvl w:val="0"/>
          <w:numId w:val="4"/>
        </w:numPr>
      </w:pPr>
      <w:r>
        <w:t xml:space="preserve">¿Qué explicación rival cambiaría mi conducta hoy, y qué me costaría buscarla?</w:t>
      </w:r>
    </w:p>
    <w:p>
      <w:pPr>
        <w:pStyle w:val="BodyJ"/>
        <w:keepNext w:val="false"/>
        <w:numPr>
          <w:ilvl w:val="0"/>
          <w:numId w:val="4"/>
        </w:numPr>
      </w:pPr>
      <w:r>
        <w:t xml:space="preserve">¿Qué predicción concreta hace mi diagnóstico para las próximas 24 horas?</w:t>
      </w:r>
    </w:p>
    <w:p>
      <w:pPr>
        <w:pStyle w:val="Heading2"/>
        <w:keepNext/>
        <w:keepLines/>
        <w:pageBreakBefore/>
        <w:spacing w:after="300" w:before="600"/>
      </w:pPr>
      <w:r>
        <w:rPr>
          <w:rFonts w:ascii="Gelasio" w:cs="Gelasio" w:eastAsia="Gelasio" w:hAnsi="Gelasio"/>
          <w:b/>
          <w:bCs/>
          <w:color w:val="8C2F2F"/>
          <w:sz w:val="22"/>
          <w:szCs w:val="22"/>
        </w:rPr>
        <w:t xml:space="preserve">Capítulo 3</w:t>
      </w:r>
      <w:r>
        <w:rPr>
          <w:rFonts w:ascii="Gelasio" w:cs="Gelasio" w:eastAsia="Gelasio" w:hAnsi="Gelasio"/>
          <w:b/>
          <w:bCs/>
          <w:color w:val="3D5A6C"/>
          <w:sz w:val="32"/>
          <w:szCs w:val="32"/>
        </w:rPr>
        <w:br/>
        <w:t xml:space="preserve">Incertidumbre: una condición estructural</w:t>
      </w:r>
    </w:p>
    <w:p>
      <w:pPr>
        <w:pStyle w:val="BodyJ"/>
        <w:keepNext w:val="false"/>
      </w:pPr>
      <w:r>
        <w:t xml:space="preserve">A las 48 horas del ingreso, Carmen está hemodinámicamente estable, afebril y con la sonda nasogástrica aún a caída libre. En la visita, la familia hace la pregunta inevitable: «Doctor, ¿ya saben qué tuvo?». El equipo conoce varios hechos: que hubo una obstrucción intestinal mecánica, que desencadenó un shock grave, que en la sangre crecieron bacilos gramnegativos y que el escáner inicial no mostró intestino necrótico. Pero desconoce otras capas del mismo fenómeno: por qué este cuarto episodio escaló hasta el shock (incertidumbre fisiopatológica), si las bacterias cruzaron desde la pared intestinal inflamada (incertidumbre causal) y cuándo volverá a atascarse la hernia (incertidumbre pronóstica). «¿Ya saben qué tuvo?» exige, en rigor, varias respuestas simultáneas. Este capítulo trata de cómo cartografiarlas y nombrarlas sin mentir en ninguna dirección.</w:t>
      </w:r>
    </w:p>
    <w:p>
      <w:pPr>
        <w:pStyle w:val="Heading3"/>
        <w:keepNext/>
        <w:keepLines/>
        <w:spacing w:after="120" w:before="280"/>
      </w:pPr>
      <w:r>
        <w:rPr>
          <w:rFonts w:ascii="Gelasio" w:cs="Gelasio" w:eastAsia="Gelasio" w:hAnsi="Gelasio"/>
          <w:b/>
          <w:bCs/>
          <w:color w:val="2B2B2B"/>
          <w:sz w:val="25"/>
          <w:szCs w:val="25"/>
        </w:rPr>
        <w:t xml:space="preserve">Más que falta de información</w:t>
      </w:r>
    </w:p>
    <w:p>
      <w:pPr>
        <w:pStyle w:val="BodyJ"/>
        <w:keepNext w:val="false"/>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3133725"/>
                          </a:xfrm>
                          <a:prstGeom prst="rect">
                            <a:avLst/>
                          </a:prstGeom>
                        </pic:spPr>
                      </pic:pic>
                    </a:graphicData>
                  </a:graphic>
                </wp:inline>
              </w:drawing>
            </w:r>
          </w:p>
          <w:p>
            <w:pPr>
              <w:pStyle w:val="Caption"/>
            </w:pPr>
            <w:r>
              <w:t xml:space="preserve">Figura 4. Un mapa de la incertidumbre clínica (adaptado de la taxonomía de Han et al.): fuentes y objetos se combinan, y cada combinación pide una respuesta distinta.</w:t>
            </w:r>
          </w:p>
        </w:tc>
      </w:tr>
    </w:tbl>
    <w:p>
      <w:pPr>
        <w:spacing w:after="60"/>
      </w:pPr>
    </w:p>
    <w:p>
      <w:pPr>
        <w:pStyle w:val="BodyJ"/>
        <w:keepNext w:val="false"/>
      </w:pPr>
      <w:r>
        <w:t xml:space="preserve">También importa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keepNext w:val="false"/>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keepNext/>
        <w:keepLines/>
        <w:spacing w:after="120" w:before="280"/>
      </w:pPr>
      <w:r>
        <w:rPr>
          <w:rFonts w:ascii="Gelasio" w:cs="Gelasio" w:eastAsia="Gelasio" w:hAnsi="Gelasio"/>
          <w:b/>
          <w:bCs/>
          <w:color w:val="2B2B2B"/>
          <w:sz w:val="25"/>
          <w:szCs w:val="25"/>
        </w:rPr>
        <w:t xml:space="preserve">La formación médica y la fantasía de certeza</w:t>
      </w:r>
    </w:p>
    <w:p>
      <w:pPr>
        <w:pStyle w:val="BodyJ"/>
        <w:keepNext w:val="false"/>
      </w:pPr>
      <w:r>
        <w:t xml:space="preserve">Nada de esto se enseña como tal; la formación médica transmite la incertidumbre de otra manera. 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keepNext w:val="false"/>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keepNext w:val="false"/>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 el clínico, emocional y cognitivamente, con ella.</w:t>
      </w:r>
    </w:p>
    <w:p>
      <w:pPr>
        <w:pStyle w:val="Heading3"/>
        <w:keepNext/>
        <w:keepLines/>
        <w:spacing w:after="120" w:before="280"/>
      </w:pPr>
      <w:r>
        <w:rPr>
          <w:rFonts w:ascii="Gelasio" w:cs="Gelasio" w:eastAsia="Gelasio" w:hAnsi="Gelasio"/>
          <w:b/>
          <w:bCs/>
          <w:color w:val="2B2B2B"/>
          <w:sz w:val="25"/>
          <w:szCs w:val="25"/>
        </w:rPr>
        <w:t xml:space="preserve">Incertidumbre precisa</w:t>
      </w:r>
    </w:p>
    <w:p>
      <w:pPr>
        <w:pStyle w:val="BodyJ"/>
        <w:keepNext w:val="false"/>
      </w:pPr>
      <w:r>
        <w:t xml:space="preserve">Declarar que «en medicina todo es incierto» es una coartada retórica que no guía ninguna conducta. La incertidumbre clínicamente útil es localizada y específica. En lugar de una duda global, desglosa el límite de cada afirmación. El foco abdominal de la sepsis es altamente probable por secuencia clínica, pero el mecanismo exacto de translocación no es demostrable directamente. La tomografía excluye perforación actual, pero su normalidad vascular no garantiza que el asa no sufra en un próximo atascamiento. Y, en otro dominio, en un paciente con vejiga neurogénica febril una infección urinaria no puede descartarse sólo por la ausencia de disuria. Nombrar qué parte exacta del modelo está abierta es lo que permite decidir qué se estudia con un examen y qué se gobierna con vigilancia.</w:t>
      </w:r>
    </w:p>
    <w:p>
      <w:pPr>
        <w:pStyle w:val="BodyJ"/>
        <w:keepNext/>
      </w:pPr>
      <w:r>
        <w:t xml:space="preserve">Una cartografía clínica de la incertidumbre puede distinguir:</w:t>
      </w:r>
    </w:p>
    <w:p>
      <w:pPr>
        <w:pStyle w:val="BodyJ"/>
        <w:keepNext/>
        <w:numPr>
          <w:ilvl w:val="0"/>
          <w:numId w:val="5"/>
        </w:numPr>
      </w:pPr>
      <w:r>
        <w:t xml:space="preserve">lo desconocido que puede resolverse con un examen;</w:t>
      </w:r>
    </w:p>
    <w:p>
      <w:pPr>
        <w:pStyle w:val="BodyJ"/>
        <w:keepNext/>
        <w:numPr>
          <w:ilvl w:val="0"/>
          <w:numId w:val="5"/>
        </w:numPr>
      </w:pPr>
      <w:r>
        <w:t xml:space="preserve">lo que sólo puede aclararse con evolución temporal;</w:t>
      </w:r>
    </w:p>
    <w:p>
      <w:pPr>
        <w:pStyle w:val="BodyJ"/>
        <w:keepNext/>
        <w:numPr>
          <w:ilvl w:val="0"/>
          <w:numId w:val="5"/>
        </w:numPr>
      </w:pPr>
      <w:r>
        <w:t xml:space="preserve">lo que no cambiaría la conducta inmediata;</w:t>
      </w:r>
    </w:p>
    <w:p>
      <w:pPr>
        <w:pStyle w:val="BodyJ"/>
        <w:keepNext/>
        <w:numPr>
          <w:ilvl w:val="0"/>
          <w:numId w:val="5"/>
        </w:numPr>
      </w:pPr>
      <w:r>
        <w:t xml:space="preserve">lo que, si estuviera equivocado, produciría daño grave;</w:t>
      </w:r>
    </w:p>
    <w:p>
      <w:pPr>
        <w:pStyle w:val="BodyJ"/>
        <w:keepNext w:val="false"/>
        <w:numPr>
          <w:ilvl w:val="0"/>
          <w:numId w:val="5"/>
        </w:numPr>
      </w:pPr>
      <w:r>
        <w:t xml:space="preserve">lo que depende de valores y preferencias más que de información adicional.</w:t>
      </w:r>
    </w:p>
    <w:p>
      <w:pPr>
        <w:pStyle w:val="BodyJ"/>
        <w:keepNext w:val="false"/>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keepNext/>
        <w:keepLines/>
        <w:spacing w:after="120" w:before="280"/>
      </w:pPr>
      <w:r>
        <w:rPr>
          <w:rFonts w:ascii="Gelasio" w:cs="Gelasio" w:eastAsia="Gelasio" w:hAnsi="Gelasio"/>
          <w:b/>
          <w:bCs/>
          <w:color w:val="2B2B2B"/>
          <w:sz w:val="25"/>
          <w:szCs w:val="25"/>
        </w:rPr>
        <w:t xml:space="preserve">La certeza práctica</w:t>
      </w:r>
    </w:p>
    <w:p>
      <w:pPr>
        <w:pStyle w:val="BodyJ"/>
        <w:keepNext w:val="false"/>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keepNext w:val="false"/>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BodyJ"/>
        <w:keepNext w:val="false"/>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BodyJ"/>
        <w:keepNext w:val="false"/>
      </w:pPr>
      <w:r>
        <w:t xml:space="preserve">Reconocer incertidumbre no disminuye la responsabilidad; la hace más precisa. El médico responde por buscar la información razonablemente accesible, interpretar con competencia, comunicar límites y establecer una estrategia de reevaluación —no por volver determinista un mundo que no lo es—.</w:t>
      </w:r>
    </w:p>
    <w:p>
      <w:pPr>
        <w:pStyle w:val="Quote1"/>
      </w:pPr>
      <w:r>
        <w:t xml:space="preserve">La incertidumbre no es el espacio vacío entre los hechos y la decisión; es una dimensión positiva del caso que debe describirse y gobernarse.</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keepNext/>
        <w:spacing w:after="80" w:before="160"/>
      </w:pPr>
      <w:r>
        <w:rPr>
          <w:b/>
          <w:bCs/>
        </w:rPr>
        <w:t xml:space="preserve">Tres preguntas para la próxima visita.</w:t>
      </w:r>
    </w:p>
    <w:p>
      <w:pPr>
        <w:pStyle w:val="BodyJ"/>
        <w:keepNext/>
        <w:numPr>
          <w:ilvl w:val="0"/>
          <w:numId w:val="6"/>
        </w:numPr>
      </w:pPr>
      <w:r>
        <w:t xml:space="preserve">De todo lo que no sé de este paciente, ¿qué duda cambiaría mi conducta si se resolviera?</w:t>
      </w:r>
    </w:p>
    <w:p>
      <w:pPr>
        <w:pStyle w:val="BodyJ"/>
        <w:keepNext/>
        <w:numPr>
          <w:ilvl w:val="0"/>
          <w:numId w:val="6"/>
        </w:numPr>
      </w:pPr>
      <w:r>
        <w:t xml:space="preserve">¿Cuál es la duda pequeña con consecuencia catastrófica que exige vigilancia explícita?</w:t>
      </w:r>
    </w:p>
    <w:p>
      <w:pPr>
        <w:pStyle w:val="BodyJ"/>
        <w:keepNext w:val="false"/>
        <w:numPr>
          <w:ilvl w:val="0"/>
          <w:numId w:val="6"/>
        </w:numPr>
      </w:pPr>
      <w:r>
        <w:t xml:space="preserve">¿Qué parte de mi plan depende de valores del paciente que aún no he preguntado?</w:t>
      </w:r>
    </w:p>
    <w:p>
      <w:pPr>
        <w:pStyle w:val="Heading2"/>
        <w:keepNext/>
        <w:keepLines/>
        <w:pageBreakBefore/>
        <w:spacing w:after="300" w:before="600"/>
      </w:pPr>
      <w:r>
        <w:rPr>
          <w:rFonts w:ascii="Gelasio" w:cs="Gelasio" w:eastAsia="Gelasio" w:hAnsi="Gelasio"/>
          <w:b/>
          <w:bCs/>
          <w:color w:val="8C2F2F"/>
          <w:sz w:val="22"/>
          <w:szCs w:val="22"/>
        </w:rPr>
        <w:t xml:space="preserve">Capítulo 4</w:t>
      </w:r>
      <w:r>
        <w:rPr>
          <w:rFonts w:ascii="Gelasio" w:cs="Gelasio" w:eastAsia="Gelasio" w:hAnsi="Gelasio"/>
          <w:b/>
          <w:bCs/>
          <w:color w:val="3D5A6C"/>
          <w:sz w:val="32"/>
          <w:szCs w:val="32"/>
        </w:rPr>
        <w:br/>
        <w:t xml:space="preserve">Lenguaje clínico y densidad epistémica</w:t>
      </w:r>
    </w:p>
    <w:p>
      <w:pPr>
        <w:pStyle w:val="BodyJ"/>
        <w:keepNext w:val="false"/>
      </w:pPr>
      <w:r>
        <w:t xml:space="preserve">En la visita médica de la mañana, dos residentes resumen el caso de Carmen con los mismos datos sobre la mesa. El primero dice: «Paciente con hernia complicada y sepsis, actualmente mejor». La segunda presenta: «Cuarto episodio obstructivo en el año por hernia incisional, esta vez debutando con shock séptico y bacteriemia por bacilos gramnegativos, revertido con volumen, vasopresores y antibióticos, sin signos tomográficos de isquemia aguda; el salto cualitativo de gravedad modifica el riesgo de mantener una conducta expectante». Ambos dicen la verdad. Sólo una de las dos frases piensa.</w:t>
      </w:r>
    </w:p>
    <w:p>
      <w:pPr>
        <w:pStyle w:val="Heading3"/>
        <w:keepNext/>
        <w:keepLines/>
        <w:spacing w:after="120" w:before="280"/>
      </w:pPr>
      <w:r>
        <w:rPr>
          <w:rFonts w:ascii="Gelasio" w:cs="Gelasio" w:eastAsia="Gelasio" w:hAnsi="Gelasio"/>
          <w:b/>
          <w:bCs/>
          <w:color w:val="2B2B2B"/>
          <w:sz w:val="25"/>
          <w:szCs w:val="25"/>
        </w:rPr>
        <w:t xml:space="preserve">Nombrar es organizar</w:t>
      </w:r>
    </w:p>
    <w:p>
      <w:pPr>
        <w:pStyle w:val="BodyJ"/>
        <w:keepNext w:val="false"/>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keepNext w:val="false"/>
      </w:pPr>
      <w:r>
        <w:t xml:space="preserve">La filosofía hermenéutica recuerda que comprendemos desde un horizonte lingüístico e histórico. Gadamer sostuvo que el lenguaje es el medio en el que algo llega a ser comprendido; Foucault sostuvo que la mirada clínica moderna se organizó mediante formas específicas de describir, localizar y correlacionar signos (Foucault, 1966; Gadamer, 1996). Estas perspectivas no obligan a pensar que toda descripción sea relativa. Obligan a reconocer que las categorías hacen visible una parte de la realidad y pueden ocultar otra.</w:t>
      </w:r>
    </w:p>
    <w:p>
      <w:pPr>
        <w:pStyle w:val="Heading3"/>
        <w:keepNext/>
        <w:keepLines/>
        <w:spacing w:after="120" w:before="280"/>
      </w:pPr>
      <w:r>
        <w:rPr>
          <w:rFonts w:ascii="Gelasio" w:cs="Gelasio" w:eastAsia="Gelasio" w:hAnsi="Gelasio"/>
          <w:b/>
          <w:bCs/>
          <w:color w:val="2B2B2B"/>
          <w:sz w:val="25"/>
          <w:szCs w:val="25"/>
        </w:rPr>
        <w:t xml:space="preserve">Compresión y pérdida</w:t>
      </w:r>
    </w:p>
    <w:p>
      <w:pPr>
        <w:pStyle w:val="BodyJ"/>
        <w:keepNext w:val="false"/>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keepNext w:val="false"/>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BodyJ"/>
        <w:keepNext/>
      </w:pPr>
      <w:r>
        <w:t xml:space="preserve">La densidad epistémica puede auditarse. Seis dimensiones concentran lo que una frase clínica pierde con más frecuencia: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Dimensión</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Pregunta de auditoría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Pérdida frecuente</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Procedencia</w:t>
            </w:r>
          </w:p>
        </w:tc>
        <w:tc>
          <w:tcPr>
            <w:tcW w:type="dxa" w:w="2150"/>
            <w:tcMar>
              <w:top w:type="dxa" w:w="60"/>
              <w:left w:type="dxa" w:w="100"/>
              <w:bottom w:type="dxa" w:w="60"/>
              <w:right w:type="dxa" w:w="100"/>
            </w:tcMar>
            <w:vAlign w:val="top"/>
          </w:tcPr>
          <w:p>
            <w:pPr>
              <w:spacing w:after="0"/>
            </w:pPr>
            <w:r>
              <w:rPr>
                <w:sz w:val="17"/>
                <w:szCs w:val="17"/>
              </w:rPr>
              <w:t xml:space="preserve">¿De dónde proviene el dato?</w:t>
            </w:r>
          </w:p>
        </w:tc>
        <w:tc>
          <w:tcPr>
            <w:tcW w:type="dxa" w:w="2560"/>
            <w:tcMar>
              <w:top w:type="dxa" w:w="60"/>
              <w:left w:type="dxa" w:w="100"/>
              <w:bottom w:type="dxa" w:w="60"/>
              <w:right w:type="dxa" w:w="100"/>
            </w:tcMar>
            <w:vAlign w:val="top"/>
          </w:tcPr>
          <w:p>
            <w:pPr>
              <w:spacing w:after="0"/>
            </w:pPr>
            <w:r>
              <w:rPr>
                <w:sz w:val="17"/>
                <w:szCs w:val="17"/>
              </w:rPr>
              <w:t xml:space="preserve">Información heredada presentada como observada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Temporalidad</w:t>
            </w:r>
          </w:p>
        </w:tc>
        <w:tc>
          <w:tcPr>
            <w:tcW w:type="dxa" w:w="2150"/>
            <w:tcMar>
              <w:top w:type="dxa" w:w="60"/>
              <w:left w:type="dxa" w:w="100"/>
              <w:bottom w:type="dxa" w:w="60"/>
              <w:right w:type="dxa" w:w="100"/>
            </w:tcMar>
            <w:vAlign w:val="top"/>
          </w:tcPr>
          <w:p>
            <w:pPr>
              <w:spacing w:after="0"/>
            </w:pPr>
            <w:r>
              <w:rPr>
                <w:sz w:val="17"/>
                <w:szCs w:val="17"/>
              </w:rPr>
              <w:t xml:space="preserve">¿Cuándo ocurrió y cómo cambió?</w:t>
            </w:r>
          </w:p>
        </w:tc>
        <w:tc>
          <w:tcPr>
            <w:tcW w:type="dxa" w:w="2560"/>
            <w:tcMar>
              <w:top w:type="dxa" w:w="60"/>
              <w:left w:type="dxa" w:w="100"/>
              <w:bottom w:type="dxa" w:w="60"/>
              <w:right w:type="dxa" w:w="100"/>
            </w:tcMar>
            <w:vAlign w:val="top"/>
          </w:tcPr>
          <w:p>
            <w:pPr>
              <w:spacing w:after="0"/>
            </w:pPr>
            <w:r>
              <w:rPr>
                <w:sz w:val="17"/>
                <w:szCs w:val="17"/>
              </w:rPr>
              <w:t xml:space="preserve">«Estable», «resuelto» o «recurrente» sin referente</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Transparencia inferencial</w:t>
            </w:r>
          </w:p>
        </w:tc>
        <w:tc>
          <w:tcPr>
            <w:tcW w:type="dxa" w:w="2150"/>
            <w:tcMar>
              <w:top w:type="dxa" w:w="60"/>
              <w:left w:type="dxa" w:w="100"/>
              <w:bottom w:type="dxa" w:w="60"/>
              <w:right w:type="dxa" w:w="100"/>
            </w:tcMar>
            <w:vAlign w:val="top"/>
          </w:tcPr>
          <w:p>
            <w:pPr>
              <w:spacing w:after="0"/>
            </w:pPr>
            <w:r>
              <w:rPr>
                <w:sz w:val="17"/>
                <w:szCs w:val="17"/>
              </w:rPr>
              <w:t xml:space="preserve">¿Dónde comienza la interpretación?</w:t>
            </w:r>
          </w:p>
        </w:tc>
        <w:tc>
          <w:tcPr>
            <w:tcW w:type="dxa" w:w="2560"/>
            <w:tcMar>
              <w:top w:type="dxa" w:w="60"/>
              <w:left w:type="dxa" w:w="100"/>
              <w:bottom w:type="dxa" w:w="60"/>
              <w:right w:type="dxa" w:w="100"/>
            </w:tcMar>
            <w:vAlign w:val="top"/>
          </w:tcPr>
          <w:p>
            <w:pPr>
              <w:spacing w:after="0"/>
            </w:pPr>
            <w:r>
              <w:rPr>
                <w:sz w:val="17"/>
                <w:szCs w:val="17"/>
              </w:rPr>
              <w:t xml:space="preserve">Diagnóstico o mecanismo escrito como hecho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Calibración modal</w:t>
            </w:r>
          </w:p>
        </w:tc>
        <w:tc>
          <w:tcPr>
            <w:tcW w:type="dxa" w:w="2150"/>
            <w:tcMar>
              <w:top w:type="dxa" w:w="60"/>
              <w:left w:type="dxa" w:w="100"/>
              <w:bottom w:type="dxa" w:w="60"/>
              <w:right w:type="dxa" w:w="100"/>
            </w:tcMar>
            <w:vAlign w:val="top"/>
          </w:tcPr>
          <w:p>
            <w:pPr>
              <w:spacing w:after="0"/>
            </w:pPr>
            <w:r>
              <w:rPr>
                <w:sz w:val="17"/>
                <w:szCs w:val="17"/>
              </w:rPr>
              <w:t xml:space="preserve">¿La fuerza verbal corresponde al respaldo?</w:t>
            </w:r>
          </w:p>
        </w:tc>
        <w:tc>
          <w:tcPr>
            <w:tcW w:type="dxa" w:w="2560"/>
            <w:tcMar>
              <w:top w:type="dxa" w:w="60"/>
              <w:left w:type="dxa" w:w="100"/>
              <w:bottom w:type="dxa" w:w="60"/>
              <w:right w:type="dxa" w:w="100"/>
            </w:tcMar>
            <w:vAlign w:val="top"/>
          </w:tcPr>
          <w:p>
            <w:pPr>
              <w:spacing w:after="0"/>
            </w:pPr>
            <w:r>
              <w:rPr>
                <w:sz w:val="17"/>
                <w:szCs w:val="17"/>
              </w:rPr>
              <w:t xml:space="preserve">«Demostrado», «descartado», «secundario 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Relevancia decisional</w:t>
            </w:r>
          </w:p>
        </w:tc>
        <w:tc>
          <w:tcPr>
            <w:tcW w:type="dxa" w:w="2150"/>
            <w:tcMar>
              <w:top w:type="dxa" w:w="60"/>
              <w:left w:type="dxa" w:w="100"/>
              <w:bottom w:type="dxa" w:w="60"/>
              <w:right w:type="dxa" w:w="100"/>
            </w:tcMar>
            <w:vAlign w:val="top"/>
          </w:tcPr>
          <w:p>
            <w:pPr>
              <w:spacing w:after="0"/>
            </w:pPr>
            <w:r>
              <w:rPr>
                <w:sz w:val="17"/>
                <w:szCs w:val="17"/>
              </w:rPr>
              <w:t xml:space="preserve">¿Por qué importa ahora?</w:t>
            </w:r>
          </w:p>
        </w:tc>
        <w:tc>
          <w:tcPr>
            <w:tcW w:type="dxa" w:w="2560"/>
            <w:tcMar>
              <w:top w:type="dxa" w:w="60"/>
              <w:left w:type="dxa" w:w="100"/>
              <w:bottom w:type="dxa" w:w="60"/>
              <w:right w:type="dxa" w:w="100"/>
            </w:tcMar>
            <w:vAlign w:val="top"/>
          </w:tcPr>
          <w:p>
            <w:pPr>
              <w:spacing w:after="0"/>
            </w:pPr>
            <w:r>
              <w:rPr>
                <w:sz w:val="17"/>
                <w:szCs w:val="17"/>
              </w:rPr>
              <w:t xml:space="preserve">Inventario correcto sin consecuencia práctica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Revisabilidad</w:t>
            </w:r>
          </w:p>
        </w:tc>
        <w:tc>
          <w:tcPr>
            <w:tcW w:type="dxa" w:w="2150"/>
            <w:tcMar>
              <w:top w:type="dxa" w:w="60"/>
              <w:left w:type="dxa" w:w="100"/>
              <w:bottom w:type="dxa" w:w="60"/>
              <w:right w:type="dxa" w:w="100"/>
            </w:tcMar>
            <w:vAlign w:val="top"/>
          </w:tcPr>
          <w:p>
            <w:pPr>
              <w:spacing w:after="0"/>
            </w:pPr>
            <w:r>
              <w:rPr>
                <w:sz w:val="17"/>
                <w:szCs w:val="17"/>
              </w:rPr>
              <w:t xml:space="preserve">¿Qué haría cambiar la formulación o la conducta?</w:t>
            </w:r>
          </w:p>
        </w:tc>
        <w:tc>
          <w:tcPr>
            <w:tcW w:type="dxa" w:w="2560"/>
            <w:tcMar>
              <w:top w:type="dxa" w:w="60"/>
              <w:left w:type="dxa" w:w="100"/>
              <w:bottom w:type="dxa" w:w="60"/>
              <w:right w:type="dxa" w:w="100"/>
            </w:tcMar>
            <w:vAlign w:val="top"/>
          </w:tcPr>
          <w:p>
            <w:pPr>
              <w:spacing w:after="0"/>
            </w:pPr>
            <w:r>
              <w:rPr>
                <w:sz w:val="17"/>
                <w:szCs w:val="17"/>
              </w:rPr>
              <w:t xml:space="preserve">Plan sin plazo, responsable ni criterio de reapertura</w:t>
            </w:r>
          </w:p>
        </w:tc>
      </w:tr>
    </w:tbl>
    <w:p>
      <w:pPr>
        <w:spacing w:after="120"/>
      </w:pPr>
    </w:p>
    <w:p>
      <w:pPr>
        <w:pStyle w:val="BodyJ"/>
        <w:keepNext w:val="false"/>
      </w:pPr>
      <w:r>
        <w:t xml:space="preserve">La lista funciona como pauta de lectura, no como puntaje: la densidad epistémica es un ideal regulativo de escritura y razonamiento, no una escala validada ni una propiedad cuantificada de manera reproducible. Las doce preguntas del Apéndice B son su versión aplicada al caso en curso.</w:t>
      </w:r>
    </w:p>
    <w:p>
      <w:pPr>
        <w:pStyle w:val="Heading3"/>
        <w:keepNext/>
        <w:keepLines/>
        <w:spacing w:after="120" w:before="280"/>
      </w:pPr>
      <w:r>
        <w:rPr>
          <w:rFonts w:ascii="Gelasio" w:cs="Gelasio" w:eastAsia="Gelasio" w:hAnsi="Gelasio"/>
          <w:b/>
          <w:bCs/>
          <w:color w:val="2B2B2B"/>
          <w:sz w:val="25"/>
          <w:szCs w:val="25"/>
        </w:rPr>
        <w:t xml:space="preserve">Modalidad epistémica</w:t>
      </w:r>
    </w:p>
    <w:p>
      <w:pPr>
        <w:pStyle w:val="BodyJ"/>
        <w:keepNext w:val="false"/>
      </w:pPr>
      <w:r>
        <w:t xml:space="preserve">El lenguaje científico dispone de recursos para calibrar afirmaciones. La investigación sobre hedging en textos médicos encontró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keepNext/>
      </w:pPr>
      <w:r>
        <w:t xml:space="preserve">Puede distinguirse una escala práctica:</w:t>
      </w:r>
    </w:p>
    <w:p>
      <w:pPr>
        <w:pStyle w:val="BodyJ"/>
        <w:keepNext w:val="false"/>
        <w:numPr>
          <w:ilvl w:val="0"/>
          <w:numId w:val="5"/>
        </w:numPr>
      </w:pPr>
      <w:r>
        <w:rPr>
          <w:b/>
          <w:bCs/>
        </w:rPr>
        <w:t xml:space="preserve">Documentado o demostrado</w:t>
      </w:r>
      <w:r>
        <w:t xml:space="preserve">: existe evidencia directa suficiente bajo un método pertinente.</w:t>
      </w:r>
    </w:p>
    <w:p>
      <w:pPr>
        <w:pStyle w:val="BodyJ"/>
        <w:keepNext w:val="false"/>
        <w:numPr>
          <w:ilvl w:val="0"/>
          <w:numId w:val="5"/>
        </w:numPr>
      </w:pPr>
      <w:r>
        <w:rPr>
          <w:b/>
          <w:bCs/>
        </w:rPr>
        <w:t xml:space="preserve">Altamente probable</w:t>
      </w:r>
      <w:r>
        <w:t xml:space="preserve">: múltiples líneas convergentes, con alternativas importantes poco plausibles.</w:t>
      </w:r>
    </w:p>
    <w:p>
      <w:pPr>
        <w:pStyle w:val="BodyJ"/>
        <w:keepNext w:val="false"/>
        <w:numPr>
          <w:ilvl w:val="0"/>
          <w:numId w:val="5"/>
        </w:numPr>
      </w:pPr>
      <w:r>
        <w:rPr>
          <w:b/>
          <w:bCs/>
        </w:rPr>
        <w:t xml:space="preserve">Probable o compatible con</w:t>
      </w:r>
      <w:r>
        <w:t xml:space="preserve">: la explicación organiza bien los hechos, pero persisten rivales o faltan elementos.</w:t>
      </w:r>
    </w:p>
    <w:p>
      <w:pPr>
        <w:pStyle w:val="BodyJ"/>
        <w:keepNext w:val="false"/>
        <w:numPr>
          <w:ilvl w:val="0"/>
          <w:numId w:val="5"/>
        </w:numPr>
      </w:pPr>
      <w:r>
        <w:rPr>
          <w:b/>
          <w:bCs/>
        </w:rPr>
        <w:t xml:space="preserve">Posible</w:t>
      </w:r>
      <w:r>
        <w:t xml:space="preserve">: no contradice los datos y merece consideración, aunque el soporte es limitado.</w:t>
      </w:r>
    </w:p>
    <w:p>
      <w:pPr>
        <w:pStyle w:val="BodyJ"/>
        <w:keepNext w:val="false"/>
        <w:numPr>
          <w:ilvl w:val="0"/>
          <w:numId w:val="5"/>
        </w:numPr>
      </w:pPr>
      <w:r>
        <w:rPr>
          <w:b/>
          <w:bCs/>
        </w:rPr>
        <w:t xml:space="preserve">No demostrado</w:t>
      </w:r>
      <w:r>
        <w:t xml:space="preserve">: la hipótesis puede ser razonable, pero el caso no aporta evidencia suficiente para afirmarla.</w:t>
      </w:r>
    </w:p>
    <w:p>
      <w:pPr>
        <w:pStyle w:val="BodyJ"/>
        <w:keepNext w:val="false"/>
        <w:numPr>
          <w:ilvl w:val="0"/>
          <w:numId w:val="5"/>
        </w:numPr>
      </w:pPr>
      <w:r>
        <w:rPr>
          <w:b/>
          <w:bCs/>
        </w:rPr>
        <w:t xml:space="preserve">Sin evidencia actual de</w:t>
      </w:r>
      <w:r>
        <w:t xml:space="preserve">: el método empleado no mostró el fenómeno; la fuerza depende de su sensibilidad y oportunidad.</w:t>
      </w:r>
    </w:p>
    <w:p>
      <w:pPr>
        <w:pStyle w:val="BodyJ"/>
        <w:keepNext w:val="false"/>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TallerHead"/>
        <w:keepNext/>
        <w:keepLines/>
      </w:pPr>
      <w:r>
        <w:t xml:space="preserve">Caja de herramientas. Dos filósofos para la frase clínica</w:t>
      </w:r>
    </w:p>
    <w:p>
      <w:pPr>
        <w:pStyle w:val="BodyJ"/>
        <w:keepNext w:val="false"/>
      </w:pPr>
      <w:r>
        <w:t xml:space="preserve">Dos aportes del siglo XX describen con precisión lo que aquí se pide. El primero es de J. L. Austin: hay enunciados que no describen el mundo sino que hacen cosas en él —prometer, sentenciar, declarar (Austin, 1962)—. Buena parte del lenguaje clínico es performativo en ese sentido exacto: «se decide alta», «se descarta abdomen agudo» o «paciente no reanimable» no informan un estado de cosas; dan de alta, suspenden una vigilancia, fijan un límite de tratamiento. Por eso la exigencia no es estilística: una frase que hace cosas debe responder por lo que hace, no sólo por lo que dice. La pregunta de Austin, trasladada a la ficha: ¿qué acaba de hacer esta oración —y con qué derecho—?</w:t>
      </w:r>
    </w:p>
    <w:p>
      <w:pPr>
        <w:pStyle w:val="BodyJ"/>
        <w:keepNext w:val="false"/>
      </w:pPr>
      <w:r>
        <w:t xml:space="preserve">El segundo es de Stephen Toulmin, que propuso la anatomía mínima de toda afirmación práctica: un dato, una conclusión, la garantía que autoriza pasar del uno a la otra y el respaldo de esa garantía. A eso agregó un calificador modal que gradúa la fuerza («probablemente», «salvo que…») y las condiciones de refutación (Toulmin, 1958). La frase medular es, sin habérselo propuesto, un argumento de Toulmin comprimido: hechos (dato), inferencia graduada (conclusión con calificador), incertidumbre crítica (refutación posible) y decisión (lo que la garantía autoriza a hacer). Escribir «bacteriemia por gramnegativos en contexto de obstrucción: foco abdominal altamente probable, salvo hallazgo alternativo en imagen» es exhibir la anatomía completa; escribir «sepsis abdominal» es esconderla. Toulmin, que décadas después defendió junto a Jonsen la casuística clínica como forma legítima de razonamiento moral (Jonsen &amp; Toulmin, 1988), habría reconocido en la ficha bien escrita a su silogismo práctico favorito. La Figura 5 despliega esa anatomía sobre una frase de Carmen.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572125"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72125" cy="3705225"/>
                          </a:xfrm>
                          <a:prstGeom prst="rect">
                            <a:avLst/>
                          </a:prstGeom>
                        </pic:spPr>
                      </pic:pic>
                    </a:graphicData>
                  </a:graphic>
                </wp:inline>
              </w:drawing>
            </w:r>
          </w:p>
          <w:p>
            <w:pPr>
              <w:pStyle w:val="Caption"/>
            </w:pPr>
            <w:r>
              <w:t xml:space="preserve">Figura 5. La frase medular como argumento de Toulmin: dato, garantía, respaldo, calificador modal, conclusión y refutación, sobre una frase real de Carmen. Cada pieza corresponde a una capa del libro; la decisión es lo que la garantía autoriza.</w:t>
            </w:r>
          </w:p>
        </w:tc>
      </w:tr>
    </w:tbl>
    <w:p>
      <w:pPr>
        <w:spacing w:after="60"/>
      </w:pPr>
    </w:p>
    <w:p>
      <w:pPr>
        <w:pStyle w:val="Heading3"/>
        <w:keepNext/>
        <w:keepLines/>
        <w:spacing w:after="120" w:before="280"/>
      </w:pPr>
      <w:r>
        <w:rPr>
          <w:rFonts w:ascii="Gelasio" w:cs="Gelasio" w:eastAsia="Gelasio" w:hAnsi="Gelasio"/>
          <w:b/>
          <w:bCs/>
          <w:color w:val="2B2B2B"/>
          <w:sz w:val="25"/>
          <w:szCs w:val="25"/>
        </w:rPr>
        <w:t xml:space="preserve">Verbos que ocultan, frases que operan</w:t>
      </w:r>
    </w:p>
    <w:p>
      <w:pPr>
        <w:pStyle w:val="BodyJ"/>
        <w:keepNext w:val="false"/>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keepNext w:val="false"/>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BodyJ"/>
        <w:keepNext w:val="false"/>
      </w:pPr>
      <w:r>
        <w:t xml:space="preserve">Lo contrario del verbo que oculta es la frase que opera. Una frase operativa actúa como un argumento de Toulmin comprimido: enlaza el dato observado con la acción a través de una garantía clínica explícita. No prescribe necesariamente una conducta única, pero transparenta por qué se desplaza el umbral terapéutico. «Cuarto episodio de suboclusión en doce meses» documenta aceleración de la frecuencia; «primer ingreso complicado con shock y bacteriemia» establece un cambio cualitativo en la severidad biológica. «Sin evidencia tomográfica de isquemia actual» acota la urgencia quirúrgica inmediata, y «alto riesgo de recurrencia grave fuera del hospital» fundamenta la indicación de reparación electiva pronta.</w:t>
      </w:r>
    </w:p>
    <w:p>
      <w:pPr>
        <w:pStyle w:val="Quote1"/>
      </w:pPr>
      <w:r>
        <w:t xml:space="preserve">La precisión clínica consiste en decir qué creemos, por qué lo creemos y cuánto derecho tenemos a creerlo.</w:t>
      </w:r>
    </w:p>
    <w:p>
      <w:pPr>
        <w:pStyle w:val="BodyJ"/>
        <w:keepNext w:val="false"/>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keepNext/>
        <w:keepLines/>
        <w:spacing w:after="120" w:before="280"/>
      </w:pPr>
      <w:r>
        <w:rPr>
          <w:rFonts w:ascii="Gelasio" w:cs="Gelasio" w:eastAsia="Gelasio" w:hAnsi="Gelasio"/>
          <w:b/>
          <w:bCs/>
          <w:color w:val="2B2B2B"/>
          <w:sz w:val="25"/>
          <w:szCs w:val="25"/>
        </w:rPr>
        <w:t xml:space="preserve">La sintaxis como registro de auditoría</w:t>
      </w:r>
    </w:p>
    <w:p>
      <w:pPr>
        <w:pStyle w:val="BodyJ"/>
        <w:keepNext w:val="false"/>
      </w:pPr>
      <w:r>
        <w:t xml:space="preserve">La sintaxis misma funciona como un registro de auditoría causal. Escribir «shock séptico por hernia incisional» esconde una cadena fisiopatológica incierta detrás de una preposición. En cambio, «shock séptico con bacteriemia por gramnegativos, temporalmente asociado a obstrucción mecánica en hernia incisional; foco abdominal altamente probable por translocación, mecanismo exacto no demostrado» separa el fenómeno medido, la asociación temporal y el calificador modal de la inferencia. La segunda versión ocupa dos líneas más, pero permite que cualquier miembro del equipo audite dónde termina el hecho y dónde empieza la hipótesis.</w:t>
      </w:r>
    </w:p>
    <w:p>
      <w:pPr>
        <w:pStyle w:val="BodyJ"/>
        <w:keepNext w:val="false"/>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keepNext w:val="false"/>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keepNext/>
        <w:spacing w:after="80" w:before="160"/>
      </w:pPr>
      <w:r>
        <w:rPr>
          <w:b/>
          <w:bCs/>
        </w:rPr>
        <w:t xml:space="preserve">Tres preguntas para la próxima visita.</w:t>
      </w:r>
    </w:p>
    <w:p>
      <w:pPr>
        <w:pStyle w:val="BodyJ"/>
        <w:keepNext/>
        <w:numPr>
          <w:ilvl w:val="0"/>
          <w:numId w:val="7"/>
        </w:numPr>
      </w:pPr>
      <w:r>
        <w:t xml:space="preserve">En mi última evolución, ¿qué verbo causal («secundario a», «por», «complicado por») no podría defender si me lo preguntaran?</w:t>
      </w:r>
    </w:p>
    <w:p>
      <w:pPr>
        <w:pStyle w:val="BodyJ"/>
        <w:keepNext/>
        <w:numPr>
          <w:ilvl w:val="0"/>
          <w:numId w:val="7"/>
        </w:numPr>
      </w:pPr>
      <w:r>
        <w:t xml:space="preserve">¿Escribí «se descarta» donde sólo tenía «sin evidencia actual de»?</w:t>
      </w:r>
    </w:p>
    <w:p>
      <w:pPr>
        <w:pStyle w:val="BodyJ"/>
        <w:keepNext w:val="false"/>
        <w:numPr>
          <w:ilvl w:val="0"/>
          <w:numId w:val="7"/>
        </w:numPr>
      </w:pPr>
      <w:r>
        <w:t xml:space="preserve">Si otro médico leyera sólo mi frase final, ¿sabría qué vigilar y qué me haría cambiar?</w:t>
      </w:r>
    </w:p>
    <w:p>
      <w:pPr>
        <w:pStyle w:val="Heading2"/>
        <w:keepNext/>
        <w:keepLines/>
        <w:pageBreakBefore/>
        <w:spacing w:after="300" w:before="600"/>
      </w:pPr>
      <w:r>
        <w:rPr>
          <w:rFonts w:ascii="Gelasio" w:cs="Gelasio" w:eastAsia="Gelasio" w:hAnsi="Gelasio"/>
          <w:b/>
          <w:bCs/>
          <w:color w:val="8C2F2F"/>
          <w:sz w:val="22"/>
          <w:szCs w:val="22"/>
        </w:rPr>
        <w:t xml:space="preserve">Interludio I</w:t>
      </w:r>
      <w:r>
        <w:rPr>
          <w:rFonts w:ascii="Gelasio" w:cs="Gelasio" w:eastAsia="Gelasio" w:hAnsi="Gelasio"/>
          <w:b/>
          <w:bCs/>
          <w:color w:val="3D5A6C"/>
          <w:sz w:val="32"/>
          <w:szCs w:val="32"/>
        </w:rPr>
        <w:br/>
        <w:t xml:space="preserve">La ficha de Carmen</w:t>
      </w:r>
    </w:p>
    <w:p>
      <w:pPr>
        <w:pStyle w:val="BodyJ"/>
        <w:keepNext w:val="false"/>
      </w:pPr>
      <w:r>
        <w:t xml:space="preserve">Tercer día, 7:00. Antes de la visita, la becada del servicio abre la ficha de Carmen para escribir la evolución y se detiene en la frase que viaja intacta desde la madrugada del ingreso: «cuadro habitual, manejo habitual». La tacha. No porque sea falsa —la hernia es la de siempre—, sino porque dice a la vez más y menos de lo que hoy se sabe. No separa lo demostrado de lo probable, y deja fuera la única pregunta que importa esta mañana: qué pasa si vuelve a ocurrir. Reescribe la evaluación con lo que esta parte del libro ha ido separando. Su versión:</w:t>
      </w:r>
    </w:p>
    <w:p>
      <w:pPr>
        <w:pStyle w:val="BodyJ"/>
        <w:keepNext w:val="false"/>
      </w:pPr>
      <w:r>
        <w:rPr>
          <w:i/>
          <w:iCs/>
        </w:rPr>
        <w:t xml:space="preserve">Hechos.</w:t>
      </w:r>
      <w:r>
        <w:t xml:space="preserve"> Cuarto episodio obstructivo en doce meses sobre hernia incisional conocida (tres ingresos previos resueltos con manejo conservador según registro clínico). Episodio actual: ingresó de madrugada en shock (presión arterial media 55 mmHg, frecuencia cardiaca 112 lpm, llene capilar de 3 a 4 segundos documentado por enfermería en urgencias, lactato arterial de 3,9 mmol/L a las 04:15 h); recibió 2.000 ml de Ringer lactato en tres horas y, en paralelo, noradrenalina iniciada por vía periférica hasta 0,2 mcg/kg/min, que se mantuvo 36 horas, además de ceftriaxona y metronidazol desde el ingreso. Lactato de control, 2,3 mmol/L. Hemocultivos periféricos 2/2 positivos a las 12 h; luego, Escherichia coli multisensible. TAC de abdomen de ingreso con asas dilatadas en saco herniario, sin signos de isquemia, neumatosis ni perforación. Actualmente en su tercer día: afebril, sin vasoactivos desde la tarde de ayer y con débito por sonda en descenso. Relato de ingreso textual: «esta vez la hernia no se dejó acomodar, el dolor era otro». Su hija, que la trajo, agrega lo que ninguna nota recogió: «las otras veces se le pasaba en el día; esta vez aguantó dos días en la casa y no quería venir».</w:t>
      </w:r>
    </w:p>
    <w:p>
      <w:pPr>
        <w:pStyle w:val="BodyJ"/>
        <w:keepNext w:val="false"/>
      </w:pPr>
      <w:r>
        <w:rPr>
          <w:i/>
          <w:iCs/>
        </w:rPr>
        <w:t xml:space="preserve">Inferencias.</w:t>
      </w:r>
      <w:r>
        <w:t xml:space="preserve"> Obstrucción intestinal mecánica por hernia incisional: demostrada. Sepsis de foco abdominal por translocación bacteriana secundaria al atascamiento: altamente probable (concordancia temporal, aislamiento de enterobacteria comunitaria en sangre y ausencia de foco urinario o respiratorio); isquemia parietal transitoria ya resuelta como mecanismo subyacente: posible, no demostrada. Severidad del cuadro: cualitativamente superior a la serie histórica de la paciente.</w:t>
      </w:r>
    </w:p>
    <w:p>
      <w:pPr>
        <w:pStyle w:val="BodyJ"/>
        <w:keepNext w:val="false"/>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keepNext w:val="false"/>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keepNext/>
        <w:pageBreakBefore/>
      </w:pPr>
      <w:r>
        <w:t xml:space="preserve">PARTE II</w:t>
      </w:r>
    </w:p>
    <w:p>
      <w:pPr>
        <w:pStyle w:val="PartTitle"/>
        <w:keepNext/>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es confiable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keepNext/>
        <w:keepLines/>
        <w:pageBreakBefore/>
        <w:spacing w:after="300" w:before="600"/>
      </w:pPr>
      <w:r>
        <w:rPr>
          <w:rFonts w:ascii="Gelasio" w:cs="Gelasio" w:eastAsia="Gelasio" w:hAnsi="Gelasio"/>
          <w:b/>
          <w:bCs/>
          <w:color w:val="8C2F2F"/>
          <w:sz w:val="22"/>
          <w:szCs w:val="22"/>
        </w:rPr>
        <w:t xml:space="preserve">Capítulo 5</w:t>
      </w:r>
      <w:r>
        <w:rPr>
          <w:rFonts w:ascii="Gelasio" w:cs="Gelasio" w:eastAsia="Gelasio" w:hAnsi="Gelasio"/>
          <w:b/>
          <w:bCs/>
          <w:color w:val="3D5A6C"/>
          <w:sz w:val="32"/>
          <w:szCs w:val="32"/>
        </w:rPr>
        <w:br/>
        <w:t xml:space="preserve">Metacognición: monitorear y regular el propio juicio</w:t>
      </w:r>
    </w:p>
    <w:p>
      <w:pPr>
        <w:pStyle w:val="BodyJ"/>
        <w:keepNext w:val="false"/>
      </w:pPr>
      <w:r>
        <w:t xml:space="preserve">Hay un momento, en la madrugada de cualquier turno, en que el diagnóstico «se siente» correcto. Yo aprendí a desconfiar de esa sensación una noche en que la experimenté con total nitidez: un hombre de sesenta y ocho años, hipertenso y sin historia de urolitiasis, que se retorcía en la camilla con un dolor lumbar brusco irradiado al flanco izquierdo y microhematuria en la cinta reactiva. El cuadro gritaba «cólico renal» con tal fluidez que casi no palpé el abdomen ni busqué latidos expansivos. El aneurisma de aorta abdominal fisurado lo encontró el radiólogo en la ecografía de la mañana. Desde entonces distingo dos preguntas que esa madrugada confundí: «¿qué tan seguro me siento?» y «¿qué tan probable es que esté en lo cierto?». Este capítulo trata de la brecha entre ambas.</w:t>
      </w:r>
    </w:p>
    <w:p>
      <w:pPr>
        <w:pStyle w:val="Heading3"/>
        <w:keepNext/>
        <w:keepLines/>
        <w:spacing w:after="120" w:before="280"/>
      </w:pPr>
      <w:r>
        <w:rPr>
          <w:rFonts w:ascii="Gelasio" w:cs="Gelasio" w:eastAsia="Gelasio" w:hAnsi="Gelasio"/>
          <w:b/>
          <w:bCs/>
          <w:color w:val="2B2B2B"/>
          <w:sz w:val="25"/>
          <w:szCs w:val="25"/>
        </w:rPr>
        <w:t xml:space="preserve">Pensar sobre el pensamiento</w:t>
      </w:r>
    </w:p>
    <w:p>
      <w:pPr>
        <w:pStyle w:val="BodyJ"/>
        <w:keepNext w:val="false"/>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6. El modelo de dos niveles de Nelson y Narens: el nivel meta recibe información del nivel objeto (monitoreo) y ejerce control sobre él. Ninguno de los dos es infalible.</w:t>
            </w:r>
          </w:p>
        </w:tc>
      </w:tr>
    </w:tbl>
    <w:p>
      <w:pPr>
        <w:spacing w:after="60"/>
      </w:pPr>
    </w:p>
    <w:p>
      <w:pPr>
        <w:pStyle w:val="BodyJ"/>
        <w:keepNext w:val="false"/>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keepNext/>
        <w:keepLines/>
        <w:spacing w:after="120" w:before="280"/>
      </w:pPr>
      <w:r>
        <w:rPr>
          <w:rFonts w:ascii="Gelasio" w:cs="Gelasio" w:eastAsia="Gelasio" w:hAnsi="Gelasio"/>
          <w:b/>
          <w:bCs/>
          <w:color w:val="2B2B2B"/>
          <w:sz w:val="25"/>
          <w:szCs w:val="25"/>
        </w:rPr>
        <w:t xml:space="preserve">Confianza y calibración</w:t>
      </w:r>
    </w:p>
    <w:p>
      <w:pPr>
        <w:pStyle w:val="BodyJ"/>
        <w:keepNext w:val="false"/>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keepNext w:val="false"/>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Las National Academies destacaron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7. Curva de calibración (esquema, no datos de un estudio):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keepNext w:val="false"/>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keepNext/>
        <w:keepLines/>
      </w:pPr>
      <w:r>
        <w:t xml:space="preserve">Caja de herramientas. Medir la metacognición: del porcentaje al meta-d′</w:t>
      </w:r>
    </w:p>
    <w:p>
      <w:pPr>
        <w:pStyle w:val="BodyJ"/>
        <w:keepNext w:val="false"/>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Ser buen juez de las propias respuestas en un ámbito no garantiza serlo en otro. La letra chica también importa: estas medidas exigen decenas de juicios comparables con desenlace conocido, justo lo que la práctica clínica no devuelve por sí sola. Esa es la justificación técnica del portafolio de calibración: no calcula un meta-d′ formal, pero construye la serie sin la cual ninguna medición —ni siquiera la intuitiva— es posible.</w:t>
      </w:r>
    </w:p>
    <w:p>
      <w:pPr>
        <w:pStyle w:val="BodyJ"/>
        <w:keepNext w:val="false"/>
      </w:pPr>
      <w:r>
        <w:t xml:space="preserve">El portafolio es una libreta privada. Para cada diagnóstico de trabajo relevante se anotan la hipótesis principal, la confianza en un porcentaje aproximado (60, 70, 80, 90, 95) y la alternativa que más preocupa; cuando el caso se resuelve —o al revisar la evolución a los días—, se registra el desenlace. Al cabo de unas semanas se agrupan los diagnósticos por la confianza declarada: de los anotados con 90%, ¿qué proporción se confirmó? El objetivo no es castigarse: es descubrir en qué franja de confianza las propias palabras («probable», «seguro») dejan de corresponder a la realidad.</w:t>
      </w:r>
    </w:p>
    <w:p>
      <w:pPr>
        <w:pStyle w:val="Heading3"/>
        <w:keepNext/>
        <w:keepLines/>
        <w:spacing w:after="120" w:before="280"/>
      </w:pPr>
      <w:r>
        <w:rPr>
          <w:rFonts w:ascii="Gelasio" w:cs="Gelasio" w:eastAsia="Gelasio" w:hAnsi="Gelasio"/>
          <w:b/>
          <w:bCs/>
          <w:color w:val="2B2B2B"/>
          <w:sz w:val="25"/>
          <w:szCs w:val="25"/>
        </w:rPr>
        <w:t xml:space="preserve">La sensación de corrección</w:t>
      </w:r>
    </w:p>
    <w:p>
      <w:pPr>
        <w:pStyle w:val="BodyJ"/>
        <w:keepNext w:val="false"/>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keepNext w:val="false"/>
      </w:pPr>
      <w:r>
        <w:t xml:space="preserve">Mi falso cólico renal de aquella noche reunía todas las claves de la fluidez cognitiva de Koriat: el patrón clínico era arquetípico, yo había tratado decenas de cólicos similares en urgencias y el relato cerraba sin fisuras. Pero ninguna de esas señales internas medía lo único determinante para la sobrevida del enfermo: la probabilidad previa de que, en un hipertenso de casi setenta años que debuta con dolor lumbar agudo, una catástrofe aórtica estuviera imitando el patrón urológico. La pregunta metacognitiva útil no es «¿debo confiar en mi intuición?», sino «¿bajo qué condiciones ecológicas es confiable esta intuición?». Como argumentaron Kahneman y Klein, la validez intuitiva aumenta cuando el entorno posee regularidades estables, existe exposición extensa y el clínico recibe retroalimentación oportuna sobre sus aciertos y errores. Se desploma, en cambio, frente a presentaciones solapadas donde el desenlace real ocurre horas después y en otro servicio (Kahneman &amp; Klein, 2009).</w:t>
      </w:r>
    </w:p>
    <w:p>
      <w:pPr>
        <w:pStyle w:val="Heading3"/>
        <w:keepNext/>
        <w:keepLines/>
        <w:spacing w:after="120" w:before="280"/>
      </w:pPr>
      <w:r>
        <w:rPr>
          <w:rFonts w:ascii="Gelasio" w:cs="Gelasio" w:eastAsia="Gelasio" w:hAnsi="Gelasio"/>
          <w:b/>
          <w:bCs/>
          <w:color w:val="2B2B2B"/>
          <w:sz w:val="25"/>
          <w:szCs w:val="25"/>
        </w:rPr>
        <w:t xml:space="preserve">Señales de conflicto</w:t>
      </w:r>
    </w:p>
    <w:p>
      <w:pPr>
        <w:pStyle w:val="BodyJ"/>
        <w:keepNext w:val="false"/>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sino parte de su materia. Tajer ha descrito cómo atraviesan incluso la fisiopatología de lo que se trata —del ánimo al infarto—, y con mayor razón atraviesan a quien trata (Tajer, 2008). Epstein llamó práctica atenta a la capacidad de observar no sólo al paciente, sino las propias categorías, emociones y errores potenciales (Epstein, 1999).</w:t>
      </w:r>
    </w:p>
    <w:p>
      <w:pPr>
        <w:pStyle w:val="BodyJ"/>
        <w:keepNext w:val="false"/>
      </w:pPr>
      <w:r>
        <w:t xml:space="preserve">Estas señales no son pruebas de error. Son indicaciones para revisar. Y vigilan, sobre todo, al momento más fértil y más frágil del razonamiento: la conjetura abductiva del capítulo 2. La abducción propone explicaciones con una velocidad que ningún método iguala; el monitoreo es lo que impide que la primera propuesta cómoda se quede con el caso sin haberlo ganado.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keepNext/>
        <w:keepLines/>
        <w:spacing w:after="120" w:before="280"/>
      </w:pPr>
      <w:r>
        <w:rPr>
          <w:rFonts w:ascii="Gelasio" w:cs="Gelasio" w:eastAsia="Gelasio" w:hAnsi="Gelasio"/>
          <w:b/>
          <w:bCs/>
          <w:color w:val="2B2B2B"/>
          <w:sz w:val="25"/>
          <w:szCs w:val="25"/>
        </w:rPr>
        <w:t xml:space="preserve">Control metacognitivo</w:t>
      </w:r>
    </w:p>
    <w:p>
      <w:pPr>
        <w:pStyle w:val="BodyJ"/>
        <w:keepNext w:val="false"/>
      </w:pPr>
      <w:r>
        <w:t xml:space="preserve">Monitorear sin regular produce conciencia estéril. La división del trabajo es esta: el monitoreo detecta —la fluidez que se rompe, el dato que no encaja, la emoción que desentona con el caso—. El control decide qué hacer con la señal: releer datos, reformular el problema, buscar una alternativa, pedir una segunda opinión, posponer una decisión reversible, intensificar vigilancia o actuar pese a la duda cuando el costo de esperar es alto. Detectar sin decidir es rumia; decidir sin haber detectado es piloto automático. Y la estrategia elegida debe corresponder a la fuente de la incertidumbre: la duda que nace de un dato débil se trata verificando el dato; la que nace de una representación pobre, reformulando el problema; la que nace del cansancio o del apuro, con un segundo lector.</w:t>
      </w:r>
    </w:p>
    <w:p>
      <w:pPr>
        <w:pStyle w:val="Quote1"/>
      </w:pPr>
      <w:r>
        <w:t xml:space="preserve">La metacognición clínica no es pensar indefinidamente sobre cada pensamiento; es detectar cuándo el modo actual de pensar dejó de ser suficiente.</w:t>
      </w:r>
    </w:p>
    <w:p>
      <w:pPr>
        <w:pStyle w:val="BodyJ"/>
        <w:keepNext w:val="false"/>
      </w:pPr>
      <w:r>
        <w:t xml:space="preserve">La inteligencia médica incluye una habilidad menos visible que acertar: reconocer el grado de fragilidad del propio acierto. Esa fragilidad debe influir en cómo se escribe, cómo se decide y cómo se diseña el seguimiento.</w:t>
      </w:r>
    </w:p>
    <w:p>
      <w:pPr>
        <w:pStyle w:val="BodyJ"/>
        <w:keepNext w:val="false"/>
      </w:pPr>
      <w:r>
        <w:t xml:space="preserve">Hay algo más que la palabra «metacognición» puede ocultar si se la toma al pie de la letra: la vigilancia del propio juicio es sólo en parte introspectiva. Muchas de sus mejores señales vienen de afuera. La ceja de la enfermera que conoce al paciente hace años; la pregunta del interno que no logró entender la síntesis (y quizá no había nada coherente que entender); la madre que insiste; el kinesiólogo que encuentra «distinto» al señor de la cama 12. Monitorear el propio pensamiento incluye leer esas señales como datos sobre el razonamiento, no como interferencias en él. La metacognición clínica es, en ese sentido, parcialmente social; el capítulo 13 la despliega a escala de equipo.</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keepNext/>
        <w:spacing w:after="80" w:before="160"/>
      </w:pPr>
      <w:r>
        <w:rPr>
          <w:b/>
          <w:bCs/>
        </w:rPr>
        <w:t xml:space="preserve">Tres preguntas para la próxima visita.</w:t>
      </w:r>
    </w:p>
    <w:p>
      <w:pPr>
        <w:pStyle w:val="BodyJ"/>
        <w:keepNext/>
        <w:numPr>
          <w:ilvl w:val="0"/>
          <w:numId w:val="8"/>
        </w:numPr>
      </w:pPr>
      <w:r>
        <w:t xml:space="preserve">En mi diagnóstico más firme de hoy, ¿mi confianza viene de la evidencia o de la fluidez con que reconocí el patrón?</w:t>
      </w:r>
    </w:p>
    <w:p>
      <w:pPr>
        <w:pStyle w:val="BodyJ"/>
        <w:keepNext/>
        <w:numPr>
          <w:ilvl w:val="0"/>
          <w:numId w:val="8"/>
        </w:numPr>
      </w:pPr>
      <w:r>
        <w:t xml:space="preserve">¿Qué señal afectiva (prisa, irritación, alivio) está influyendo en mi evaluación de este caso?</w:t>
      </w:r>
    </w:p>
    <w:p>
      <w:pPr>
        <w:pStyle w:val="BodyJ"/>
        <w:keepNext w:val="false"/>
        <w:numPr>
          <w:ilvl w:val="0"/>
          <w:numId w:val="8"/>
        </w:numPr>
      </w:pPr>
      <w:r>
        <w:t xml:space="preserve">¿Cuál fue mi última predicción concreta —un cultivo, una imagen, una evolución— y la contrasté con el resultado cuando llegó, o sólo recuerdo las que acerté?</w:t>
      </w:r>
    </w:p>
    <w:p>
      <w:pPr>
        <w:pStyle w:val="Heading2"/>
        <w:keepNext/>
        <w:keepLines/>
        <w:pageBreakBefore/>
        <w:spacing w:after="300" w:before="600"/>
      </w:pPr>
      <w:r>
        <w:rPr>
          <w:rFonts w:ascii="Gelasio" w:cs="Gelasio" w:eastAsia="Gelasio" w:hAnsi="Gelasio"/>
          <w:b/>
          <w:bCs/>
          <w:color w:val="8C2F2F"/>
          <w:sz w:val="22"/>
          <w:szCs w:val="22"/>
        </w:rPr>
        <w:t xml:space="preserve">Capítulo 6</w:t>
      </w:r>
      <w:r>
        <w:rPr>
          <w:rFonts w:ascii="Gelasio" w:cs="Gelasio" w:eastAsia="Gelasio" w:hAnsi="Gelasio"/>
          <w:b/>
          <w:bCs/>
          <w:color w:val="3D5A6C"/>
          <w:sz w:val="32"/>
          <w:szCs w:val="32"/>
        </w:rPr>
        <w:br/>
        <w:t xml:space="preserve">Pericia, intuición y conocimiento tácito</w:t>
      </w:r>
    </w:p>
    <w:p>
      <w:pPr>
        <w:pStyle w:val="BodyJ"/>
        <w:keepNext w:val="false"/>
      </w:pPr>
      <w:r>
        <w:t xml:space="preserve">La cirujana que evaluó a Carmen tardó menos de un minuto junto a la cama en concluir: «Esta hernia hay que operarla de forma programada antes de que se vaya de alta, o apenas se recupere, pero no hoy en urgencia». El interno que la acompañaba anotó la indicación en la ficha; lo que no pudo anotar fue el razonamiento, porque ni la propia cirujana lo había formulado paso a paso antes de hablar. Había algo en la tensión elástica del saco herniario, en la pendiente descendente del lactato y en la memoria muscular de haber operado doscientas paredes abdominales complejas. Este capítulo trata de ese conocimiento tácito que acierta antes de poder explicarse.</w:t>
      </w:r>
    </w:p>
    <w:p>
      <w:pPr>
        <w:pStyle w:val="Heading3"/>
        <w:keepNext/>
        <w:keepLines/>
        <w:spacing w:after="120" w:before="280"/>
      </w:pPr>
      <w:r>
        <w:rPr>
          <w:rFonts w:ascii="Gelasio" w:cs="Gelasio" w:eastAsia="Gelasio" w:hAnsi="Gelasio"/>
          <w:b/>
          <w:bCs/>
          <w:color w:val="2B2B2B"/>
          <w:sz w:val="25"/>
          <w:szCs w:val="25"/>
        </w:rPr>
        <w:t xml:space="preserve">La velocidad del experto</w:t>
      </w:r>
    </w:p>
    <w:p>
      <w:pPr>
        <w:pStyle w:val="BodyJ"/>
        <w:keepNext w:val="false"/>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keepNext w:val="false"/>
      </w:pPr>
      <w:r>
        <w:t xml:space="preserve">Schmidt y Rikers describieron un desarrollo desde conocimiento biomédico elaborado hacia encapsulación (knowledge encapsulation)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keepNext w:val="false"/>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keepNext/>
        <w:keepLines/>
        <w:spacing w:after="120" w:before="280"/>
      </w:pPr>
      <w:r>
        <w:rPr>
          <w:rFonts w:ascii="Gelasio" w:cs="Gelasio" w:eastAsia="Gelasio" w:hAnsi="Gelasio"/>
          <w:b/>
          <w:bCs/>
          <w:color w:val="2B2B2B"/>
          <w:sz w:val="25"/>
          <w:szCs w:val="25"/>
        </w:rPr>
        <w:t xml:space="preserve">Conocimiento tácito</w:t>
      </w:r>
    </w:p>
    <w:p>
      <w:pPr>
        <w:pStyle w:val="BodyJ"/>
        <w:keepNext w:val="false"/>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keepNext w:val="false"/>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BodyJ"/>
        <w:keepNext w:val="false"/>
      </w:pPr>
      <w:r>
        <w:t xml:space="preserve">Schön agregó el movimiento que a Polanyi le faltaba nombrar: el profesional competente no sólo actúa desde lo tácito —conversa con la situación y, cuando ésta responde con una sorpresa, reflexiona en plena acción (Schön, 1983)—. Ahí está la tensión productiva entre ambos: lo tácito es el modo normal de operar de la pericia, pero debe poder volverse explícito a demanda, porque sólo lo explícito puede ser interrogado, enseñado y corregido. Una intuición que no tolera la pregunta «¿qué estás viendo que yo no veo?» no es pericia madura: es autoridad con buena prensa. La intuición experta vale precisamente porque puede ser interrogada —y quien la despliega sin poder desempaquetarla está pidiendo fe, no ofreciendo juicio—.</w:t>
      </w:r>
    </w:p>
    <w:p>
      <w:pPr>
        <w:pStyle w:val="Heading3"/>
        <w:keepNext/>
        <w:keepLines/>
        <w:spacing w:after="120" w:before="280"/>
      </w:pPr>
      <w:r>
        <w:rPr>
          <w:rFonts w:ascii="Gelasio" w:cs="Gelasio" w:eastAsia="Gelasio" w:hAnsi="Gelasio"/>
          <w:b/>
          <w:bCs/>
          <w:color w:val="2B2B2B"/>
          <w:sz w:val="25"/>
          <w:szCs w:val="25"/>
        </w:rPr>
        <w:t xml:space="preserve">Dos procesos, no dos médicos: la phronesis</w:t>
      </w:r>
    </w:p>
    <w:p>
      <w:pPr>
        <w:pStyle w:val="BodyJ"/>
        <w:keepNext w:val="false"/>
      </w:pPr>
      <w:r>
        <w:t xml:space="preserve">Las teorías de doble proceso (dual-process theories)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keepNext w:val="false"/>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BodyJ"/>
        <w:keepNext w:val="false"/>
      </w:pPr>
      <w:r>
        <w:t xml:space="preserve">Hay una palabra antigua para la integración que ni el análisis ni la intuición logran por separado. 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(Aristóteles, 1985).</w:t>
      </w:r>
    </w:p>
    <w:p>
      <w:pPr>
        <w:pStyle w:val="BodyJ"/>
        <w:keepNext w:val="false"/>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keepNext/>
        <w:keepLines/>
        <w:spacing w:after="120" w:before="280"/>
      </w:pPr>
      <w:r>
        <w:rPr>
          <w:rFonts w:ascii="Gelasio" w:cs="Gelasio" w:eastAsia="Gelasio" w:hAnsi="Gelasio"/>
          <w:b/>
          <w:bCs/>
          <w:color w:val="2B2B2B"/>
          <w:sz w:val="25"/>
          <w:szCs w:val="25"/>
        </w:rPr>
        <w:t xml:space="preserve">El peligro de la fluidez</w:t>
      </w:r>
    </w:p>
    <w:p>
      <w:pPr>
        <w:pStyle w:val="BodyJ"/>
        <w:keepNext w:val="false"/>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keepNext w:val="false"/>
      </w:pPr>
      <w:r>
        <w:t xml:space="preserve">¿Cuándo confiar, entonces, en la primera impresión? La respuesta menos romántica salió del debate entre el programa de los sesgos y el de la pericia naturalista, que terminó en un acuerdo célebre (Kahneman &amp; Klein, 2009). La intuición es confiable cuando se formó en un entorno de validez alta (high-validity environment) —regularidades estables entre señales y desenlaces— y con oportunidad real de aprenderlas, es decir, feedback oportuno y veraz. Sin esas dos condiciones la sensación de saber crece igual, pero sin correlato. La clínica contiene ambos mundos. La sala de reanimación y la lectura de patrones radiológicos entrenan intuiciones con feedback rápido; la consulta de síntomas inespecíficos cuyos desenlaces nadie vuelve a ver produce fluidez sin calibración —la sobreconfianza del capítulo 5, fabricada por el entorno—. La pregunta operativa frente a la propia seguridad no es «¿cuánta experiencia tengo?», sino «¿en qué entorno se formó esta impresión, y quién me avisó cuando fallé?».</w:t>
      </w:r>
    </w:p>
    <w:p>
      <w:pPr>
        <w:pStyle w:val="BodyJ"/>
        <w:keepNext w:val="false"/>
      </w:pPr>
      <w:r>
        <w:t xml:space="preserve">Enseñar la pericia clínica no puede reducirse a dictar conclusiones. Exige hacer visible qué pistas perceptivas resultaron decisivas, qué alternativas se descartaron en silencio y qué hallazgo físico habría cambiado la mano. Cuando el interno le preguntó en el pasillo cómo lo había decidido tan rápido, la cirujana hizo el ejercicio de desempaquetar su intuición. Un episodio que demostró potencial letal (shock séptico) pese a un escáner sin necrosis; intervalos libres de enfermedad cada vez más cortos; y un examen físico donde el abdomen «avisa pero todavía no exige»: una hernia parcialmente reductible, sensible en el anillo fibroso, pero con pared blanda y sin sufrimiento cutáneo ni irritación peritoneal. Desplegar el juicio experto en variables observables es lo único que impide que el aprendiz imite el tono de autoridad sin haber adquirido los criterios que lo sostienen.</w:t>
      </w:r>
    </w:p>
    <w:p>
      <w:pPr>
        <w:pStyle w:val="Heading3"/>
        <w:keepNext/>
        <w:keepLines/>
        <w:spacing w:after="120" w:before="280"/>
      </w:pPr>
      <w:r>
        <w:rPr>
          <w:rFonts w:ascii="Gelasio" w:cs="Gelasio" w:eastAsia="Gelasio" w:hAnsi="Gelasio"/>
          <w:b/>
          <w:bCs/>
          <w:color w:val="2B2B2B"/>
          <w:sz w:val="25"/>
          <w:szCs w:val="25"/>
        </w:rPr>
        <w:t xml:space="preserve">El saber hacer y el quiebre</w:t>
      </w:r>
    </w:p>
    <w:p>
      <w:pPr>
        <w:pStyle w:val="BodyJ"/>
        <w:keepNext w:val="false"/>
      </w:pPr>
      <w:r>
        <w:t xml:space="preserve">Varela, cuya obra con Maturana el capítulo 1 ya convocó, agrega una corrección que hay que aceptar. En las conferencias publicadas como </w:t>
      </w:r>
      <w:r>
        <w:rPr>
          <w:i/>
          <w:iCs/>
        </w:rPr>
        <w:t xml:space="preserve">Ética y acción</w:t>
      </w:r>
      <w:r>
        <w:t xml:space="preserve"> sostuvo que la pericia ética —y la pericia en general— no es deliberación sino un saber hacer inmediato, encarnado, que responde a la situación sin pasar por reglas ni por juicios explícitos (Varela, 1996). La deliberación aparece sólo en el quiebre (breakdown), cuando la respuesta espontánea falla o la situación no calza con lo aprendido. La cirujana que abre este capítulo no calló un razonamiento en ese minuto: no lo había. Esto parece contradecir un libro que pide explicitar en cada página, y no lo contradice si se lee bien. Las pausas del capítulo 8 son los quiebres de Varela puestos por diseño donde la experiencia enseña que la respuesta inmediata se equivoca. La explicitación de la cirujana en el pasillo no fue parte de su juicio sino de su transmisión. Y la ficha no fotografía la cognición del que escribe: le presta al siguiente lector lo que necesita para revisarla. Lo que Varela corrige es la descripción: la buena práctica no consiste en pensar explícitamente, consiste en responder bien y en reconocer el quiebre. Y lo que advierte es un costo: la explicitación sin disparador no protege al experto, lo degrada a principiante. Por eso la versión completa de HII-D se reserva para los casos difíciles, y la humildad que el capítulo 14 defenderá no es la del que duda de todo, sino la del que sabe cuándo su saber hacer dejó de bastar.</w:t>
      </w:r>
    </w:p>
    <w:p>
      <w:pPr>
        <w:pStyle w:val="BodyJ"/>
        <w:keepNext w:val="false"/>
      </w:pPr>
      <w:r>
        <w:t xml:space="preserve">La música ofrece la imagen más exacta de ese saber hacer, y no como metáfora. La improvisación en jazz es pericia que responde en tiempo real dentro de una estructura —la armonía, el tempo, los otros— sin deliberar nota por nota. Cuando se registró con resonancia funcional a seis pianistas profesionales improvisando, se observó una desactivación extensa de la corteza prefrontal dorsolateral, la región asociada al automonitoreo y al control consciente de la ejecución, junto con la activación de la corteza prefrontal medial (Limb &amp; Braun, 2008). El experto que improvisa apaga al supervisor. Eso es lo que Varela describe y lo que no hay que contradecir: la metacognición madura no es vigilancia continua, porque la vigilancia continua estropea la ejecución; es saber cuándo volver a encender al supervisor. La cirujana frente a Carmen improvisó sobre una estructura de doscientas paredes abdominales; la pausa del capítulo 8 es el momento en que el pianista deja de tocar porque escuchó una nota que no era de la pieza.</w:t>
      </w:r>
    </w:p>
    <w:p>
      <w:pPr>
        <w:pStyle w:val="Quote1"/>
      </w:pPr>
      <w:r>
        <w:t xml:space="preserve">La intuición clínica es conocimiento comprimido; la metacognición decide cuándo esa compresión debe volver a desplegarse.</w:t>
      </w:r>
    </w:p>
    <w:p>
      <w:pPr>
        <w:pStyle w:val="BodyJ"/>
        <w:keepNext w:val="false"/>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keepNext/>
        <w:spacing w:after="80" w:before="160"/>
      </w:pPr>
      <w:r>
        <w:rPr>
          <w:b/>
          <w:bCs/>
        </w:rPr>
        <w:t xml:space="preserve">Tres preguntas para la próxima visita.</w:t>
      </w:r>
    </w:p>
    <w:p>
      <w:pPr>
        <w:pStyle w:val="BodyJ"/>
        <w:keepNext/>
        <w:numPr>
          <w:ilvl w:val="0"/>
          <w:numId w:val="9"/>
        </w:numPr>
      </w:pPr>
      <w:r>
        <w:t xml:space="preserve">¿En qué dominio tengo suficiente experiencia con feedback real como para confiar en mi primera impresión?</w:t>
      </w:r>
    </w:p>
    <w:p>
      <w:pPr>
        <w:pStyle w:val="BodyJ"/>
        <w:keepNext/>
        <w:numPr>
          <w:ilvl w:val="0"/>
          <w:numId w:val="9"/>
        </w:numPr>
      </w:pPr>
      <w:r>
        <w:t xml:space="preserve">La última vez que «vi» un diagnóstico al instante, ¿qué características lo activaron? ¿Puedo nombrarlas?</w:t>
      </w:r>
    </w:p>
    <w:p>
      <w:pPr>
        <w:pStyle w:val="BodyJ"/>
        <w:keepNext w:val="false"/>
        <w:numPr>
          <w:ilvl w:val="0"/>
          <w:numId w:val="9"/>
        </w:numPr>
      </w:pPr>
      <w:r>
        <w:t xml:space="preserve">¿Qué caso reciente forcé a encajar en un patrón conocido cuando algo no calzaba?</w:t>
      </w:r>
    </w:p>
    <w:p>
      <w:pPr>
        <w:pStyle w:val="Heading2"/>
        <w:keepNext/>
        <w:keepLines/>
        <w:pageBreakBefore/>
        <w:spacing w:after="300" w:before="600"/>
      </w:pPr>
      <w:r>
        <w:rPr>
          <w:rFonts w:ascii="Gelasio" w:cs="Gelasio" w:eastAsia="Gelasio" w:hAnsi="Gelasio"/>
          <w:b/>
          <w:bCs/>
          <w:color w:val="8C2F2F"/>
          <w:sz w:val="22"/>
          <w:szCs w:val="22"/>
        </w:rPr>
        <w:t xml:space="preserve">Capítulo 7</w:t>
      </w:r>
      <w:r>
        <w:rPr>
          <w:rFonts w:ascii="Gelasio" w:cs="Gelasio" w:eastAsia="Gelasio" w:hAnsi="Gelasio"/>
          <w:b/>
          <w:bCs/>
          <w:color w:val="3D5A6C"/>
          <w:sz w:val="32"/>
          <w:szCs w:val="32"/>
        </w:rPr>
        <w:br/>
        <w:t xml:space="preserve">Error, sesgo y ecología del diagnóstico</w:t>
      </w:r>
    </w:p>
    <w:p>
      <w:pPr>
        <w:pStyle w:val="BodyJ"/>
        <w:keepNext w:val="false"/>
      </w:pPr>
      <w:r>
        <w:t xml:space="preserve">Voy a contar un error mío. Una paciente de ochenta y dos años, traída por su hija por decaimiento hipoactivo de dos días y orina de mal olor. La hoja de atención de urgencias traía escrito «antecedente de ITU a repetición», el sedimento mostraba piuria y el urocultivo preliminar informó desarrollo bacteriano. Indiqué ceftriaxona, escribí «ITU baja/alta en anciana frágil, evolución favorable esperable» y pasé al siguiente ingreso de la tarde. Al tercer día la paciente seguía postrada e inapetente; al cuarto agregó fiebre alta, ictericia subclínica y defensa en el hipocondrio derecho: era una colecistitis aguda gangrenosa. Durante años conté este caso diciendo «me anclé en la ITU». Hoy entiendo que esa etiqueta psicológica, aunque cierta, era otra forma de cierre prematuro: bautizar el sesgo me ahorraba reconstruir la arquitectura real del fallo. Este capítulo trata de esa reconstrucción.</w:t>
      </w:r>
    </w:p>
    <w:p>
      <w:pPr>
        <w:pStyle w:val="Heading3"/>
        <w:keepNext/>
        <w:keepLines/>
        <w:spacing w:after="120" w:before="280"/>
      </w:pPr>
      <w:r>
        <w:rPr>
          <w:rFonts w:ascii="Gelasio" w:cs="Gelasio" w:eastAsia="Gelasio" w:hAnsi="Gelasio"/>
          <w:b/>
          <w:bCs/>
          <w:color w:val="2B2B2B"/>
          <w:sz w:val="25"/>
          <w:szCs w:val="25"/>
        </w:rPr>
        <w:t xml:space="preserve">Del nombre del sesgo a la trayectoria del error</w:t>
      </w:r>
    </w:p>
    <w:p>
      <w:pPr>
        <w:pStyle w:val="BodyJ"/>
        <w:keepNext w:val="false"/>
      </w:pPr>
      <w:r>
        <w:t xml:space="preserve">La literatura sobre heurísticas y sesgos transformó la comprensión del juicio. Tversky y Kahneman mostraron que las personas estiman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keepNext w:val="false"/>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 Tampoco es un juicio estable: cuando 37 médicos leyeron los mismos casos con desenlaces distintos, encontraron en promedio 3,45 sesgos si el desenlace sugería un error y 1,75 si sugería un acierto, y casi no coincidieron en cuáles (kappa entre 0,000 y 0,044) (Zwaan et al., 2017). El sesgo que se ve depende de saber cómo terminó el caso. «Cuadro habitual, manejo habitual», la frase con que ingresó Carmen, es anclaje de manual, y nombrarlo así no explica lo que importa: por qué una frase que había sido verdadera tres veces pudo viajar intacta hasta la madrugada en que dejó de serlo.</w:t>
      </w:r>
    </w:p>
    <w:p>
      <w:pPr>
        <w:pStyle w:val="BodyJ"/>
        <w:keepNext w:val="false"/>
      </w:pPr>
      <w:r>
        <w:t xml:space="preserve">Los estudios de errores diagnósticos muestran combinaciones de fallas en historia, examen, interpretación, seguimiento y comunicación (Graber et al., 2005; Schiff et al., 2009). Su magnitud ya no es una conjetura de pasillo. En 29 hospitales académicos de Estados Unidos, la revisión de las fichas de adultos que murieron o fueron trasladados a cuidados intensivos encontró un error diagnóstico en el 23% de ellos, y en el 6,6% de los fallecidos los revisores juzgaron que el error contribuyó a la muerte; las fallas que más pesaban eran las de la evaluación del paciente y las de la solicitud e interpretación de exámenes (Auerbach et al., 2024). Una estimación nacional, construida con modelos y no con un recuento, calculó en ese país unas 795.000 personas muertas o con discapacidad permanente cada año por errores diagnósticos en enfermedades graves, con un rango plausible de 598.000 a 1.023.000 (Newman-Toker et al., 2024). Las National Academies definieron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keepNext w:val="false"/>
      </w:pPr>
      <w:r>
        <w:t xml:space="preserve">Mi error con aquella colecistitis, analizado como trayectoria ecológica y no como pecado mental aislado, recorrió al menos cinco estaciones. Primero, una frase heredada de urgencias («ITU a repetición») que ingresó a mi nota con jerarquía de hecho comprobado. Segundo, un error de ponderación bayesiana: olvidé que la bacteriuria asintomática ronda el 20% en mujeres de ochenta años o más que viven en la comunidad, y es todavía más frecuente en las institucionalizadas (Nicolle et al., 2019). De modo que un urocultivo positivo sin disuria ni dolor lumbar tenía un valor predictivo bajísimo para explicar su postración aguda. Tercero, un examen abdominal superficial practicado por trámite porque mi hipótesis ya estaba cerrada. Cuarto, cuarenta y ocho horas de falta de respuesta clínica que inmunicé con un lugar común geriátrico («los adultos mayores tardan más en prender con el antibiótico»). Y quinto, un diseño de trabajo sin barreras de salida: ningún criterio escrito de reevaluación a las 48 horas ni una pregunta en la visita de sala que desafiara la etiqueta inicial. El sesgo de anclaje estuvo presente, pero el error fue el sistema completo operando en línea. La responsabilidad cognitiva individual no desaparece; se vuelve contextual. La Figura 8 dibuja la trayectoria y marca dónde una barrera la habría interceptado.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2819400"/>
                          </a:xfrm>
                          <a:prstGeom prst="rect">
                            <a:avLst/>
                          </a:prstGeom>
                        </pic:spPr>
                      </pic:pic>
                    </a:graphicData>
                  </a:graphic>
                </wp:inline>
              </w:drawing>
            </w:r>
          </w:p>
          <w:p>
            <w:pPr>
              <w:pStyle w:val="Caption"/>
            </w:pPr>
            <w:r>
              <w:t xml:space="preserve">Figura 8. El error como trayectoria: las cinco estaciones del caso de la colecistitis y las dos barreras de bajo costo que lo habrían interceptado. Reconstruir así es el formato que el capítulo 16 propone para la morbimortalidad.</w:t>
            </w:r>
          </w:p>
        </w:tc>
      </w:tr>
    </w:tbl>
    <w:p>
      <w:pPr>
        <w:spacing w:after="60"/>
      </w:pPr>
    </w:p>
    <w:p>
      <w:pPr>
        <w:pStyle w:val="BodyJ"/>
        <w:keepNext w:val="false"/>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keepNext/>
        <w:keepLines/>
        <w:spacing w:after="120" w:before="280"/>
      </w:pPr>
      <w:r>
        <w:rPr>
          <w:rFonts w:ascii="Gelasio" w:cs="Gelasio" w:eastAsia="Gelasio" w:hAnsi="Gelasio"/>
          <w:b/>
          <w:bCs/>
          <w:color w:val="2B2B2B"/>
          <w:sz w:val="25"/>
          <w:szCs w:val="25"/>
        </w:rPr>
        <w:t xml:space="preserve">Sesgo, conocimiento y confianza</w:t>
      </w:r>
    </w:p>
    <w:p>
      <w:pPr>
        <w:pStyle w:val="BodyJ"/>
        <w:keepNext w:val="false"/>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keepNext w:val="false"/>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BodyJ"/>
        <w:keepNext w:val="false"/>
      </w:pPr>
      <w:r>
        <w:t xml:space="preserve">El prior tiene, sin embargo, una patología propia. 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keepNext w:val="false"/>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keepNext/>
        <w:keepLines/>
        <w:spacing w:after="120" w:before="280"/>
      </w:pPr>
      <w:r>
        <w:rPr>
          <w:rFonts w:ascii="Gelasio" w:cs="Gelasio" w:eastAsia="Gelasio" w:hAnsi="Gelasio"/>
          <w:b/>
          <w:bCs/>
          <w:color w:val="2B2B2B"/>
          <w:sz w:val="25"/>
          <w:szCs w:val="25"/>
        </w:rPr>
        <w:t xml:space="preserve">Debiasing con prudencia</w:t>
      </w:r>
    </w:p>
    <w:p>
      <w:pPr>
        <w:pStyle w:val="BodyJ"/>
        <w:keepNext w:val="false"/>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El metaanálisis más reciente de herramientas de razonamiento pensadas para el lugar de trabajo —listas, apoyo informático, reflexión guiada— encontró una mejora pequeña de la exactitud diagnóstica (g = 0,20; IC 95%, 0,10 a 0,29), casi siempre en casos escritos o simulados y no con pacientes reales (Staal et al., 2022). Una lista aplicada a todos los casos puede generar fatiga y ruido. La intervención más prometedora suele ser selectiva: identificar situaciones de alto riesgo cognitivo y activar una respuesta específica.</w:t>
      </w:r>
    </w:p>
    <w:p>
      <w:pPr>
        <w:pStyle w:val="BodyJ"/>
        <w:keepNext/>
      </w:pPr>
      <w:r>
        <w:t xml:space="preserve">En lugar de preguntar siempre «¿qué sesgo tengo?», puede ser más útil preguntar:</w:t>
      </w:r>
    </w:p>
    <w:p>
      <w:pPr>
        <w:pStyle w:val="BodyJ"/>
        <w:keepNext/>
        <w:numPr>
          <w:ilvl w:val="0"/>
          <w:numId w:val="5"/>
        </w:numPr>
      </w:pPr>
      <w:r>
        <w:t xml:space="preserve">¿qué dato sostiene desproporcionadamente mi conclusión?;</w:t>
      </w:r>
    </w:p>
    <w:p>
      <w:pPr>
        <w:pStyle w:val="BodyJ"/>
        <w:keepNext/>
        <w:numPr>
          <w:ilvl w:val="0"/>
          <w:numId w:val="5"/>
        </w:numPr>
      </w:pPr>
      <w:r>
        <w:t xml:space="preserve">¿qué hallazgo estoy reinterpretando para que encaje?;</w:t>
      </w:r>
    </w:p>
    <w:p>
      <w:pPr>
        <w:pStyle w:val="BodyJ"/>
        <w:keepNext/>
        <w:numPr>
          <w:ilvl w:val="0"/>
          <w:numId w:val="5"/>
        </w:numPr>
      </w:pPr>
      <w:r>
        <w:t xml:space="preserve">¿qué alternativa cambiaría la conducta?;</w:t>
      </w:r>
    </w:p>
    <w:p>
      <w:pPr>
        <w:pStyle w:val="BodyJ"/>
        <w:keepNext/>
        <w:numPr>
          <w:ilvl w:val="0"/>
          <w:numId w:val="5"/>
        </w:numPr>
      </w:pPr>
      <w:r>
        <w:t xml:space="preserve">¿qué elemento del sistema impide recibir feedback?;</w:t>
      </w:r>
    </w:p>
    <w:p>
      <w:pPr>
        <w:pStyle w:val="BodyJ"/>
        <w:keepNext w:val="false"/>
        <w:numPr>
          <w:ilvl w:val="0"/>
          <w:numId w:val="5"/>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keepNext w:val="false"/>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keepNext/>
        <w:spacing w:after="80" w:before="160"/>
      </w:pPr>
      <w:r>
        <w:rPr>
          <w:b/>
          <w:bCs/>
        </w:rPr>
        <w:t xml:space="preserve">Tres preguntas para la próxima visita.</w:t>
      </w:r>
    </w:p>
    <w:p>
      <w:pPr>
        <w:pStyle w:val="BodyJ"/>
        <w:keepNext/>
        <w:numPr>
          <w:ilvl w:val="0"/>
          <w:numId w:val="10"/>
        </w:numPr>
      </w:pPr>
      <w:r>
        <w:t xml:space="preserve">¿Qué frase heredada estoy tratando como hecho en mi paciente más complejo?</w:t>
      </w:r>
    </w:p>
    <w:p>
      <w:pPr>
        <w:pStyle w:val="BodyJ"/>
        <w:keepNext/>
        <w:numPr>
          <w:ilvl w:val="0"/>
          <w:numId w:val="10"/>
        </w:numPr>
      </w:pPr>
      <w:r>
        <w:t xml:space="preserve">¿Qué dato «confirmatorio» de hoy confirmaría también la hipótesis rival?</w:t>
      </w:r>
    </w:p>
    <w:p>
      <w:pPr>
        <w:pStyle w:val="BodyJ"/>
        <w:keepNext w:val="false"/>
        <w:numPr>
          <w:ilvl w:val="0"/>
          <w:numId w:val="10"/>
        </w:numPr>
      </w:pPr>
      <w:r>
        <w:t xml:space="preserve">¿Qué evolución atípica estoy reinterpretando para no reabrir el caso?</w:t>
      </w:r>
    </w:p>
    <w:p>
      <w:pPr>
        <w:pStyle w:val="Heading2"/>
        <w:keepNext/>
        <w:keepLines/>
        <w:pageBreakBefore/>
        <w:spacing w:after="300" w:before="600"/>
      </w:pPr>
      <w:r>
        <w:rPr>
          <w:rFonts w:ascii="Gelasio" w:cs="Gelasio" w:eastAsia="Gelasio" w:hAnsi="Gelasio"/>
          <w:b/>
          <w:bCs/>
          <w:color w:val="8C2F2F"/>
          <w:sz w:val="22"/>
          <w:szCs w:val="22"/>
        </w:rPr>
        <w:t xml:space="preserve">Capítulo 8</w:t>
      </w:r>
      <w:r>
        <w:rPr>
          <w:rFonts w:ascii="Gelasio" w:cs="Gelasio" w:eastAsia="Gelasio" w:hAnsi="Gelasio"/>
          <w:b/>
          <w:bCs/>
          <w:color w:val="3D5A6C"/>
          <w:sz w:val="32"/>
          <w:szCs w:val="32"/>
        </w:rPr>
        <w:br/>
        <w:t xml:space="preserve">Desacelerar: cuándo, en qué estado y con qué mente</w:t>
      </w:r>
    </w:p>
    <w:p>
      <w:pPr>
        <w:pStyle w:val="BodyJ"/>
        <w:keepNext w:val="false"/>
      </w:pPr>
      <w:r>
        <w:t xml:space="preserve">En la visita médica de las 8:30, el residente presenta la cama 12 en cuarenta segundos: «Pielonefritis aguda en su tercer día de tratamiento antibiótico, afebril, con buena respuesta clínica». La internista a cargo de la sala mira dos segundos la curva de signos vitales y los exámenes en pantalla y le pide: «Preséntamelo de nuevo, pero sin usar la palabra pielonefritis ni infección». El residente toma aire y reestructura: «Hombre con lesión medular completa y usuario crónico de sonda Foley; tras recambio traumático de sonda presentó orina turbia, piuria y urocultivo positivo, manteniéndose siempre afebril, hemodinámicamente estable y sin disuria ni dolor lumbar evaluables por su nivel lesional; cursa con PCR elevada estable y tiene un cáncer renal metastásico activo como causa inflamatoria concomitante...». Antes de terminar la tercera oración, ya nadie en la sala cree que el paciente tenga una pielonefritis. Ese es el punto de este capítulo.</w:t>
      </w:r>
    </w:p>
    <w:p>
      <w:pPr>
        <w:pStyle w:val="Heading3"/>
        <w:keepNext/>
        <w:keepLines/>
        <w:spacing w:after="120" w:before="280"/>
      </w:pPr>
      <w:r>
        <w:rPr>
          <w:rFonts w:ascii="Gelasio" w:cs="Gelasio" w:eastAsia="Gelasio" w:hAnsi="Gelasio"/>
          <w:b/>
          <w:bCs/>
          <w:color w:val="2B2B2B"/>
          <w:sz w:val="25"/>
          <w:szCs w:val="25"/>
        </w:rPr>
        <w:t xml:space="preserve">Reflexionar no es rumiar: cuándo desacelerar</w:t>
      </w:r>
    </w:p>
    <w:p>
      <w:pPr>
        <w:pStyle w:val="BodyJ"/>
        <w:keepNext w:val="false"/>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keepNext w:val="false"/>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BodyJ"/>
        <w:keepNext w:val="false"/>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keepNext w:val="false"/>
      </w:pPr>
      <w:r>
        <w:t xml:space="preserve">Disparadores razonables incluyen: evolución inesperada; reconsulta; falta de respuesta; discrepancia entre el diagnóstico y la gravedad; datos incompatibles; transición de cuidados; presión emocional; caso raro en un dominio poco familiar; decisión irreversible con evidencia débil; y el estado del propio razonador —hora, horas de turno, ánimo, preocupación ajena al caso—, que la sección siguiente desarrolla. La desaceleración debe ser proporcional. Puede durar treinta segundos o requerir una discusión formal.</w:t>
      </w:r>
    </w:p>
    <w:p>
      <w:pPr>
        <w:pStyle w:val="Heading3"/>
        <w:keepNext/>
        <w:keepLines/>
        <w:spacing w:after="120" w:before="280"/>
      </w:pPr>
      <w:r>
        <w:rPr>
          <w:rFonts w:ascii="Gelasio" w:cs="Gelasio" w:eastAsia="Gelasio" w:hAnsi="Gelasio"/>
          <w:b/>
          <w:bCs/>
          <w:color w:val="2B2B2B"/>
          <w:sz w:val="25"/>
          <w:szCs w:val="25"/>
        </w:rPr>
        <w:t xml:space="preserve">El estado del que piensa: esfuerzo, sueño y ánimo</w:t>
      </w:r>
    </w:p>
    <w:p>
      <w:pPr>
        <w:pStyle w:val="BodyJ"/>
        <w:keepNext w:val="false"/>
      </w:pPr>
      <w:r>
        <w:t xml:space="preserve">Hay un supuesto silencioso en todo lo anterior: que quien debe desacelerar dispone de la energía para hacerlo. Pensar cuesta. La deliberación consume recursos que el reconocimiento de patrones no gasta, y la mente obedece una ley del menor esfuerzo: cuando puede no pensar, no piensa (Kahneman, 2011). Descartar en modo automático no es una falla ocasional; es el estado por defecto, y pensar de verdad es una decisión que se toma contra él. Hasta aquí se ha hablado de disposiciones —humildad, curiosidad, lealtad al caso— como si estuvieran siempre disponibles. No lo están. Dependen de tres cosas que los modelos del razonamiento clínico omiten y cualquier médico de turno conoce: cuánto durmió, cómo está de ánimo y qué otra cosa lo preocupa.</w:t>
      </w:r>
    </w:p>
    <w:p>
      <w:pPr>
        <w:pStyle w:val="BodyJ"/>
        <w:keepNext w:val="false"/>
      </w:pPr>
      <w:r>
        <w:t xml:space="preserve">La evidencia es más dura de lo que la cultura hospitalaria admite. Un metaanálisis de sesenta estudios estimó que menos de treinta horas sin dormir reducen el desempeño cognitivo general de los médicos en cerca de una desviación estándar, y el desempeño clínico en más de una y media (Philibert, 2005). El médico de las cuatro de la mañana no es el mismo instrumento que el de las nueve. Cuando se asignó al azar a veinticuatro internos de dos unidades de cuidados intensivos a turnos tradicionales con guardias de 24 horas o más, o a turnos acotados a dieciséis horas, los turnos largos produjeron un 36% más de errores graves. Los errores diagnósticos graves se multiplicaron por más de cinco (Landrigan et al., 2004). El dato es de internos y de cuidados intensivos; extenderlo a cualquier guardia es una inferencia, no un hecho. Y la relación no es lineal: cuando el mismo grupo repitió la prueba en seis unidades de cuidados intensivos pediátricas, los residentes sin turnos de 24 horas cometieron más errores graves, no menos (97,1 frente a 79,0 por 1.000 días-paciente), en un esquema en que cada uno atendía más pacientes; los autores proponen esa carga como explicación, en un análisis que ellos mismos llaman exploratorio (Landrigan et al., 2020). Las horas pesan; la carga y la entrega de turno, también. El efecto no exige noches. En más de 21.000 consultas por infección respiratoria, la probabilidad de salir con un antibiótico subió hora a hora dentro de la misma sesión de policlínico, con independencia del paciente y del diagnóstico: unas chances un 26% mayores en la cuarta hora que en la primera (Linder et al., 2014). Nadie decidió prescribir peor a las cuatro de la tarde; el umbral se movió solo, con el cansancio. Y el ánimo tampoco es neutro: en un experimento clásico, los médicos a quienes se indujo un afecto positivo integraron antes la información de un caso y se anclaron menos en su primera hipótesis (Estrada, Isen &amp; Young, 1997). El estado afectivo no acompaña al razonamiento; lo configura. Maturana lo había dicho desde la biología, en una formulación que esta sección adopta: las emociones son disposiciones corporales que especifican el dominio de acciones en que un organismo puede moverse en cada momento (Maturana, 1990). Un ánimo no es ruido sobre el razonamiento; es el repertorio de pensamientos y conductas disponibles, y debe figurar entre los hechos.</w:t>
      </w:r>
    </w:p>
    <w:p>
      <w:pPr>
        <w:pStyle w:val="Heading3"/>
        <w:keepNext/>
        <w:keepLines/>
        <w:spacing w:after="120" w:before="280"/>
      </w:pPr>
      <w:r>
        <w:rPr>
          <w:rFonts w:ascii="Gelasio" w:cs="Gelasio" w:eastAsia="Gelasio" w:hAnsi="Gelasio"/>
          <w:b/>
          <w:bCs/>
          <w:color w:val="2B2B2B"/>
          <w:sz w:val="25"/>
          <w:szCs w:val="25"/>
        </w:rPr>
        <w:t xml:space="preserve">Qué hacer con el estado del que piensa</w:t>
      </w:r>
    </w:p>
    <w:p>
      <w:pPr>
        <w:pStyle w:val="BodyJ"/>
        <w:keepNext w:val="false"/>
      </w:pPr>
      <w:r>
        <w:t xml:space="preserve">¿Qué hacer con esto, si no se puede decretar el descanso ni el buen ánimo? Tres cosas, todas coherentes con el resto del libro.</w:t>
      </w:r>
    </w:p>
    <w:p>
      <w:pPr>
        <w:pStyle w:val="BodyJ"/>
        <w:keepNext w:val="false"/>
      </w:pPr>
      <w:r>
        <w:t xml:space="preserve">Primero, tratar el propio estado como un hecho de la capa H. «¿En qué condiciones estoy pensando esto?» es una pregunta con respuesta observable: la hora, las horas de turno, lo dormido, el ánimo, la preocupación ajena al caso que ocupa la mitad de la atención. Y esa respuesta es un dato sobre la confiabilidad del instrumento que está produciendo las inferencias, tan pertinente como la calibración de un gasómetro. Reconocerlo no es debilidad, sino la trazabilidad que el capítulo 1 exige a cualquier observación, aplicada al observador. La lista de disparadores de la sección anterior tiene, por lo mismo, un ítem más: el estado del razonador. Turno largo, madrugada, ánimo alterado o una preocupación que no es el paciente son condiciones que, por sí solas, justifican la pausa breve o el segundo lector, aunque el caso parezca fácil. Sobre todo si parece fácil.</w:t>
      </w:r>
    </w:p>
    <w:p>
      <w:pPr>
        <w:pStyle w:val="BodyJ"/>
        <w:keepNext w:val="false"/>
      </w:pPr>
      <w:r>
        <w:t xml:space="preserve">Segundo, no apostar a la voluntad. Las herramientas que más valen a las cuatro de la mañana son las que no necesitan energía para activarse: el criterio de reapertura escrito cuando todavía había lucidez, la pregunta fija de la entrega de turno, la regla de ocho ítems al lado de la camilla, la versión de sesenta segundos. Son prótesis del esfuerzo: trasladan el pensamiento desde el momento en que no está disponible hacia el momento en que lo estuvo, o hacia otra persona. El diseño reemplaza al ánimo porque el ánimo no es confiable, y esa es la razón para diseñar.</w:t>
      </w:r>
    </w:p>
    <w:p>
      <w:pPr>
        <w:pStyle w:val="BodyJ"/>
        <w:keepNext w:val="false"/>
      </w:pPr>
      <w:r>
        <w:t xml:space="preserve">Tercero, usar el relevo. La entrega de turno, además de transferir información, es el momento en que un cerebro descansado revisa lo que decidió uno cansado, y eso cambia qué se entrega. «Lo vi a las cinco, con doce horas encima; la hipótesis es X y no alcancé a pensar en Y» es una frase que un equipo maduro puede decir sin vergüenza, y vale más que «sin novedades». El capítulo 13 desarrolla la mitad colectiva de esta idea; el capítulo 16, su mitad institucional, porque los turnos y el descanso son condiciones epistémicas antes que laborales.</w:t>
      </w:r>
    </w:p>
    <w:p>
      <w:pPr>
        <w:pStyle w:val="BodyJ"/>
        <w:keepNext w:val="false"/>
      </w:pPr>
      <w:r>
        <w:t xml:space="preserve">Nada de esto convierte al clínico cansado en lúcido. Lo convierte en alguien que sabe en qué estado está pensando y organiza el trabajo para que su juicio sea revisado por un instrumento mejor calibrado: una regla, una nota escrita antes, un colega que acaba de llegar.</w:t>
      </w:r>
    </w:p>
    <w:p>
      <w:pPr>
        <w:pStyle w:val="Heading3"/>
        <w:keepNext/>
        <w:keepLines/>
        <w:spacing w:after="120" w:before="280"/>
      </w:pPr>
      <w:r>
        <w:rPr>
          <w:rFonts w:ascii="Gelasio" w:cs="Gelasio" w:eastAsia="Gelasio" w:hAnsi="Gelasio"/>
          <w:b/>
          <w:bCs/>
          <w:color w:val="2B2B2B"/>
          <w:sz w:val="25"/>
          <w:szCs w:val="25"/>
        </w:rPr>
        <w:t xml:space="preserve">Reflexión estructurada</w:t>
      </w:r>
    </w:p>
    <w:p>
      <w:pPr>
        <w:pStyle w:val="BodyJ"/>
        <w:keepNext w:val="false"/>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Es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keepNext/>
      </w:pPr>
      <w:r>
        <w:t xml:space="preserve">Una estructura breve puede ser:</w:t>
      </w:r>
    </w:p>
    <w:p>
      <w:pPr>
        <w:pStyle w:val="BodyJ"/>
        <w:keepNext/>
        <w:numPr>
          <w:ilvl w:val="0"/>
          <w:numId w:val="11"/>
        </w:numPr>
      </w:pPr>
      <w:r>
        <w:t xml:space="preserve">Reformular el caso sin usar el diagnóstico actual.</w:t>
      </w:r>
    </w:p>
    <w:p>
      <w:pPr>
        <w:pStyle w:val="BodyJ"/>
        <w:keepNext/>
        <w:numPr>
          <w:ilvl w:val="0"/>
          <w:numId w:val="11"/>
        </w:numPr>
      </w:pPr>
      <w:r>
        <w:t xml:space="preserve">Nombrar dos o tres hipótesis que expliquen los hallazgos decisivos.</w:t>
      </w:r>
    </w:p>
    <w:p>
      <w:pPr>
        <w:pStyle w:val="BodyJ"/>
        <w:keepNext/>
        <w:numPr>
          <w:ilvl w:val="0"/>
          <w:numId w:val="11"/>
        </w:numPr>
      </w:pPr>
      <w:r>
        <w:t xml:space="preserve">Identificar evidencia a favor y en contra de cada una.</w:t>
      </w:r>
    </w:p>
    <w:p>
      <w:pPr>
        <w:pStyle w:val="BodyJ"/>
        <w:keepNext/>
        <w:numPr>
          <w:ilvl w:val="0"/>
          <w:numId w:val="11"/>
        </w:numPr>
      </w:pPr>
      <w:r>
        <w:t xml:space="preserve">Buscar el dato que más podría cambiar la conducta.</w:t>
      </w:r>
    </w:p>
    <w:p>
      <w:pPr>
        <w:pStyle w:val="BodyJ"/>
        <w:keepNext w:val="false"/>
        <w:numPr>
          <w:ilvl w:val="0"/>
          <w:numId w:val="11"/>
        </w:numPr>
      </w:pPr>
      <w:r>
        <w:t xml:space="preserve">Definir qué desenlace obligaría a reabrir el caso.</w:t>
      </w:r>
    </w:p>
    <w:p>
      <w:pPr>
        <w:pStyle w:val="BodyJ"/>
        <w:keepNext w:val="false"/>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keepNext/>
        <w:keepLines/>
        <w:spacing w:after="120" w:before="280"/>
      </w:pPr>
      <w:r>
        <w:rPr>
          <w:rFonts w:ascii="Gelasio" w:cs="Gelasio" w:eastAsia="Gelasio" w:hAnsi="Gelasio"/>
          <w:b/>
          <w:bCs/>
          <w:color w:val="2B2B2B"/>
          <w:sz w:val="25"/>
          <w:szCs w:val="25"/>
        </w:rPr>
        <w:t xml:space="preserve">La mente del principiante</w:t>
      </w:r>
    </w:p>
    <w:p>
      <w:pPr>
        <w:pStyle w:val="BodyJ"/>
        <w:keepNext w:val="false"/>
      </w:pPr>
      <w:r>
        <w:t xml:space="preserve">Hay una tradición que lleva siglos entrenando la operación de esa primera instrucción, y vale reconocerla aunque venga de lejos de la medicina. Suzuki abrió sus charlas sobre la práctica del Zen con una frase que cualquier residente podría tener pegada en la ficha: en la mente del principiante hay muchas posibilidades; en la del experto, pocas (Suzuki, 1970). </w:t>
      </w:r>
      <w:r>
        <w:rPr>
          <w:i/>
          <w:iCs/>
        </w:rPr>
        <w:t xml:space="preserve">Shoshin</w:t>
      </w:r>
      <w:r>
        <w:t xml:space="preserve">, la mente del principiante (beginner's mind), no es ignorancia, sino la disposición a mirar lo que ya se conoce como si fuera la primera vez, sin que el nombre decida por adelantado. Presentar el caso sin la etiqueta es </w:t>
      </w:r>
      <w:r>
        <w:rPr>
          <w:i/>
          <w:iCs/>
        </w:rPr>
        <w:t xml:space="preserve">shoshin</w:t>
      </w:r>
      <w:r>
        <w:t xml:space="preserve"> vuelto procedimiento; el taller de este capítulo (Apéndice D) es una práctica contemplativa con disfraz de ejercicio clínico.</w:t>
      </w:r>
    </w:p>
    <w:p>
      <w:pPr>
        <w:pStyle w:val="BodyJ"/>
        <w:keepNext w:val="false"/>
      </w:pPr>
      <w:r>
        <w:t xml:space="preserve">Lo segundo que el Zen aporta es el «no saber» como disciplina y no como derrota: sostener la pregunta abierta sin precipitarse a cerrarla, que es el «no lo sé» del capítulo 14 y la cartografía del capítulo 3. Y lo tercero es la atención misma como práctica que se entrena. Epstein, cuyo concepto de práctica atenta ya apareció páginas atrás, lo trajo explícitamente de esa tradición (Epstein, 1999), y con Krasner observó en setenta médicos de atención primaria que un programa de comunicación atenta se asoció con menos agotamiento y más empatía, aunque sin grupo control (Krasner et al., 2009). El estado del que piensa, tratado páginas atrás, tiene aquí su contraparte: si el ánimo y el cansancio son hechos, la atención es una habilidad, y las habilidades se practican.</w:t>
      </w:r>
    </w:p>
    <w:p>
      <w:pPr>
        <w:pStyle w:val="BodyJ"/>
        <w:keepNext w:val="false"/>
      </w:pPr>
      <w:r>
        <w:t xml:space="preserve">Dos límites, para que el préstamo no se vuelva decorado. Del Zen se toma aquí una disciplina de la atención y una actitud ante el no saber, no una metafísica ni una terapéutica. Y la mente del principiante no reemplaza al </w:t>
      </w:r>
      <w:r>
        <w:rPr>
          <w:i/>
          <w:iCs/>
        </w:rPr>
        <w:t xml:space="preserve">illness script</w:t>
      </w:r>
      <w:r>
        <w:t xml:space="preserve">: el experto que mira como principiante sigue sabiendo lo que sabe; lo que suspende es la prisa con que ese saber cierra el caso. Varela, practicante budista que escribió desde esa experiencia, dijo en el capítulo 6 lo que la une con la pericia: el saber hacer responde sin deliberar, y la deliberación entra en el quiebre. La pausa diagnóstica es ese quiebre buscado a propósito: un respiro entre el patrón que se encendió y la frase que lo fija.</w:t>
      </w:r>
    </w:p>
    <w:p>
      <w:pPr>
        <w:pStyle w:val="Heading3"/>
        <w:keepNext/>
        <w:keepLines/>
        <w:spacing w:after="120" w:before="280"/>
      </w:pPr>
      <w:r>
        <w:rPr>
          <w:rFonts w:ascii="Gelasio" w:cs="Gelasio" w:eastAsia="Gelasio" w:hAnsi="Gelasio"/>
          <w:b/>
          <w:bCs/>
          <w:color w:val="2B2B2B"/>
          <w:sz w:val="25"/>
          <w:szCs w:val="25"/>
        </w:rPr>
        <w:t xml:space="preserve">Pausa diagnóstica y segundo lector</w:t>
      </w:r>
    </w:p>
    <w:p>
      <w:pPr>
        <w:pStyle w:val="BodyJ"/>
        <w:keepNext w:val="false"/>
      </w:pPr>
      <w:r>
        <w:t xml:space="preserve">Una pausa diagnóstica (diagnostic time-out) puede incorporarse a visitas de sala, altas y entregas de turno. No necesita preguntar por todas las enfermedades posibles. Debe focalizarse en riesgos: ¿qué podría estar pasando que no estamos tratando?, ¿qué supuesto no verificamos?, ¿qué explicación alternativa cambia el destino o el tiempo de intervención?</w:t>
      </w:r>
    </w:p>
    <w:p>
      <w:pPr>
        <w:pStyle w:val="BodyJ"/>
        <w:keepNext w:val="false"/>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keepNext/>
        <w:keepLines/>
        <w:spacing w:after="120" w:before="280"/>
      </w:pPr>
      <w:r>
        <w:rPr>
          <w:rFonts w:ascii="Gelasio" w:cs="Gelasio" w:eastAsia="Gelasio" w:hAnsi="Gelasio"/>
          <w:b/>
          <w:bCs/>
          <w:color w:val="2B2B2B"/>
          <w:sz w:val="25"/>
          <w:szCs w:val="25"/>
        </w:rPr>
        <w:t xml:space="preserve">Reflexión después del desenlace</w:t>
      </w:r>
    </w:p>
    <w:p>
      <w:pPr>
        <w:pStyle w:val="BodyJ"/>
        <w:keepNext w:val="false"/>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 y la calidad del proceso tiene componentes nombrables: representación, alternativas consideradas, estimación de consecuencias, comunicación, seguimiento y revisabilidad.</w:t>
      </w:r>
    </w:p>
    <w:p>
      <w:pPr>
        <w:pStyle w:val="BodyJ"/>
        <w:keepNext w:val="false"/>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keepNext w:val="false"/>
      </w:pPr>
      <w:r>
        <w:t xml:space="preserve">La pausa correcta no paraliza la medicina. Le devuelve capacidad de revisión antes de que la decisión se vuelva daño, inercia o certeza documental.</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keepNext/>
        <w:spacing w:after="80" w:before="160"/>
      </w:pPr>
      <w:r>
        <w:rPr>
          <w:b/>
          <w:bCs/>
        </w:rPr>
        <w:t xml:space="preserve">Tres preguntas para la próxima visita.</w:t>
      </w:r>
    </w:p>
    <w:p>
      <w:pPr>
        <w:pStyle w:val="BodyJ"/>
        <w:keepNext/>
        <w:numPr>
          <w:ilvl w:val="0"/>
          <w:numId w:val="12"/>
        </w:numPr>
      </w:pPr>
      <w:r>
        <w:t xml:space="preserve">¿Cuál de mis pacientes actuales cumple un disparador de desaceleración (evolución inesperada, discordancia gravedad-diagnóstico, reconsulta), y en qué condiciones estaba yo cuando lo evalué?</w:t>
      </w:r>
    </w:p>
    <w:p>
      <w:pPr>
        <w:pStyle w:val="BodyJ"/>
        <w:keepNext/>
        <w:numPr>
          <w:ilvl w:val="0"/>
          <w:numId w:val="12"/>
        </w:numPr>
      </w:pPr>
      <w:r>
        <w:t xml:space="preserve">¿Puedo presentar mi caso más complejo sin usar su etiqueta diagnóstica?</w:t>
      </w:r>
    </w:p>
    <w:p>
      <w:pPr>
        <w:pStyle w:val="BodyJ"/>
        <w:keepNext w:val="false"/>
        <w:numPr>
          <w:ilvl w:val="0"/>
          <w:numId w:val="12"/>
        </w:numPr>
      </w:pPr>
      <w:r>
        <w:t xml:space="preserve">En mi última alta con diagnóstico incierto, ¿dejé escrito qué debería motivar reconsulta?</w:t>
      </w:r>
    </w:p>
    <w:p>
      <w:pPr>
        <w:pStyle w:val="Heading2"/>
        <w:keepNext/>
        <w:keepLines/>
        <w:pageBreakBefore/>
        <w:spacing w:after="300" w:before="600"/>
      </w:pPr>
      <w:r>
        <w:rPr>
          <w:rFonts w:ascii="Gelasio" w:cs="Gelasio" w:eastAsia="Gelasio" w:hAnsi="Gelasio"/>
          <w:b/>
          <w:bCs/>
          <w:color w:val="8C2F2F"/>
          <w:sz w:val="22"/>
          <w:szCs w:val="22"/>
        </w:rPr>
        <w:t xml:space="preserve">Interludio II</w:t>
      </w:r>
      <w:r>
        <w:rPr>
          <w:rFonts w:ascii="Gelasio" w:cs="Gelasio" w:eastAsia="Gelasio" w:hAnsi="Gelasio"/>
          <w:b/>
          <w:bCs/>
          <w:color w:val="3D5A6C"/>
          <w:sz w:val="32"/>
          <w:szCs w:val="32"/>
        </w:rPr>
        <w:br/>
        <w:t xml:space="preserve">Lo que el equipo pensó</w:t>
      </w:r>
    </w:p>
    <w:p>
      <w:pPr>
        <w:pStyle w:val="BodyJ"/>
        <w:keepNext w:val="false"/>
      </w:pPr>
      <w:r>
        <w:t xml:space="preserve">La ficha clínica de Carmen registra qué se hizo. No registra —casi ninguna ficha lo hace— cómo se pensó. Esta es la reconstrucción.</w:t>
      </w:r>
    </w:p>
    <w:p>
      <w:pPr>
        <w:pStyle w:val="BodyJ"/>
        <w:keepNext w:val="false"/>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keepNext w:val="false"/>
      </w:pPr>
      <w:r>
        <w:t xml:space="preserve">La internista de la mañana desaceleró, y vale la pena notar por qué. No porque «pensara despacio» en general, sino porque se activaron dos disparadores concretos: la discordancia entre la gravedad fisiológica (shock, lactato 3,9)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keepNext w:val="false"/>
      </w:pPr>
      <w:r>
        <w:t xml:space="preserve">La cirujana aportó la intuición entrenada: doscientas paredes abdominales complejas la autorizaban a decir «programada,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keepNext w:val="false"/>
      </w:pPr>
      <w:r>
        <w:t xml:space="preserve">Y está Marcela, la enfermera de urgencias, que midió el llene capilar de tres a cuatro segundos y anotó las rodillas moteadas en su hoja. Durante las primeras horas, esa hoja fue el único lugar de la ficha donde la gravedad existía. Nadie le preguntó qué pensaba hasta que la internista lo hizo en la mañana, y la respuesta no cabía en ninguna casilla: «A mí no me pareció la de siempre; no quiso ni el agua». Fue la primera versión de «esta vez es distinto» que el equipo escuchó, y venía de quien había mirado a Carmen más tiempo que nadie.</w:t>
      </w:r>
    </w:p>
    <w:p>
      <w:pPr>
        <w:pStyle w:val="BodyJ"/>
        <w:keepNext w:val="false"/>
      </w:pPr>
      <w:r>
        <w:t xml:space="preserve">Y está la calibración de la confianza colectiva. En la visita vespertina del primer día, cuando los hemocultivos preliminares informaron bacilos gramnegativos, la internista hizo una pregunta que rara vez se formula en voz alta: «¿Qué tan seguros estamos hoy de que esta bacteriemia viene del intestino atascado? ¿Ochenta por ciento? ¿Noventa y cinco?». El porcentaje exacto importaba menos que el efecto cognitivo de la pregunta. Al obligarse a ponerle número, el equipo notó que su certeza del 95% provenía de la elegancia narrativa —la historia de la hernia cerraba perfecto— y no de haber examinado sistemáticamente los focos rivales. Diez minutos bastaron para solicitar un sedimento urinario con urocultivo, inspeccionar los sitios de punción venosa instalados en urgencias y documentar la ausencia de síntomas respiratorios o biliares. Ese chequeo transformó una seguridad retórica en una inferencia por exclusión verdaderamente respaldada.</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keepNext/>
        <w:pageBreakBefore/>
      </w:pPr>
      <w:r>
        <w:t xml:space="preserve">PARTE III</w:t>
      </w:r>
    </w:p>
    <w:p>
      <w:pPr>
        <w:pStyle w:val="PartTitle"/>
        <w:keepNext/>
      </w:pPr>
      <w:r>
        <w:t xml:space="preserve">Decidir en el tiempo y con otros</w:t>
      </w:r>
    </w:p>
    <w:p>
      <w:pPr>
        <w:pStyle w:val="PartIntro"/>
      </w:pPr>
      <w:r>
        <w:t xml:space="preserve">Las dos primeras partes examinaron el conocimiento y la mente que lo maneja. Esta parte los pone en movimiento. La evidencia poblacional que debe leerse con su marco a la vista y traducirse a una persona (capítulo 9); la decisión por umbrales, donde los valores entran al cálculo y la bioética entra en la premisa (capítulo 10); el tiempo que transforma el significado de los hechos (capítulo 11); la ficha que piensa o que fosiliza (capítulo 12); y el equipo donde el conocimiento circula, se degrada o se corrige, incluida la conversación con el paciente (capítulo 13). El interludio final encuentra a Carmen frente a una decisión de verdad.</w:t>
      </w:r>
    </w:p>
    <w:p>
      <w:pPr>
        <w:pStyle w:val="Heading2"/>
        <w:keepNext/>
        <w:keepLines/>
        <w:pageBreakBefore/>
        <w:spacing w:after="300" w:before="600"/>
      </w:pPr>
      <w:r>
        <w:rPr>
          <w:rFonts w:ascii="Gelasio" w:cs="Gelasio" w:eastAsia="Gelasio" w:hAnsi="Gelasio"/>
          <w:b/>
          <w:bCs/>
          <w:color w:val="8C2F2F"/>
          <w:sz w:val="22"/>
          <w:szCs w:val="22"/>
        </w:rPr>
        <w:t xml:space="preserve">Capítulo 9</w:t>
      </w:r>
      <w:r>
        <w:rPr>
          <w:rFonts w:ascii="Gelasio" w:cs="Gelasio" w:eastAsia="Gelasio" w:hAnsi="Gelasio"/>
          <w:b/>
          <w:bCs/>
          <w:color w:val="3D5A6C"/>
          <w:sz w:val="32"/>
          <w:szCs w:val="32"/>
        </w:rPr>
        <w:br/>
        <w:t xml:space="preserve">La evidencia y el caso singular</w:t>
      </w:r>
    </w:p>
    <w:p>
      <w:pPr>
        <w:pStyle w:val="BodyJ"/>
        <w:keepNext w:val="false"/>
      </w:pPr>
      <w:r>
        <w:t xml:space="preserve">La guía clínica cita un ensayo aleatorizado y concluye: «la reparación quirúrgica electiva de la hernia incisional reduce significativamente la recurrencia obstructiva frente al manejo expectante en pacientes comparables». En la cama 7, Carmen —61 años, recién recuperada de un shock séptico, con un EPOC moderado y un abdomen ya operado— escucha la recomendación del equipo y hace una pregunta simple: «¿Y qué pasa si no me opero?». Entre el resultado promedio del artículo científico y la respuesta honesta a Carmen existe una cadena de inferencias que este capítulo intenta hacer visible.</w:t>
      </w:r>
    </w:p>
    <w:p>
      <w:pPr>
        <w:pStyle w:val="Heading3"/>
        <w:keepNext/>
        <w:keepLines/>
        <w:spacing w:after="120" w:before="280"/>
      </w:pPr>
      <w:r>
        <w:rPr>
          <w:rFonts w:ascii="Gelasio" w:cs="Gelasio" w:eastAsia="Gelasio" w:hAnsi="Gelasio"/>
          <w:b/>
          <w:bCs/>
          <w:color w:val="2B2B2B"/>
          <w:sz w:val="25"/>
          <w:szCs w:val="25"/>
        </w:rPr>
        <w:t xml:space="preserve">La evidencia responde a una pregunta distinta</w:t>
      </w:r>
    </w:p>
    <w:p>
      <w:pPr>
        <w:pStyle w:val="BodyJ"/>
        <w:keepNext w:val="false"/>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keepNext w:val="false"/>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keepNext/>
        <w:keepLines/>
        <w:spacing w:after="120" w:before="280"/>
      </w:pPr>
      <w:r>
        <w:rPr>
          <w:rFonts w:ascii="Gelasio" w:cs="Gelasio" w:eastAsia="Gelasio" w:hAnsi="Gelasio"/>
          <w:b/>
          <w:bCs/>
          <w:color w:val="2B2B2B"/>
          <w:sz w:val="25"/>
          <w:szCs w:val="25"/>
        </w:rPr>
        <w:t xml:space="preserve">Del efecto promedio al caso singular</w:t>
      </w:r>
    </w:p>
    <w:p>
      <w:pPr>
        <w:pStyle w:val="BodyJ"/>
        <w:keepNext w:val="false"/>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keepNext w:val="false"/>
      </w:pPr>
      <w:r>
        <w:t xml:space="preserve">La aritmética, hecha explícita con Carmen y con cifras ilustrativas, lo muestra. Suponga que el ensayo clínico de referencia demostró que operar electivamente reduce un 50% el riesgo relativo de una nueva obstrucción a dos años, con un riesgo basal de 20% en la cohorte estudiada. Eso equivale a una reducción absoluta de 10 puntos: hay que operar a diez pacientes promedio para evitar una obstrucción. Pero Carmen no pertenece al promedio de ese estudio. Tras cuatro episodios en doce meses, cada vez más seguidos y el último con shock séptico, su probabilidad basal de volver a obstruirse con una complicación grave es mucho mayor: por ejemplo, un 60%. Si el beneficio relativo se mantuviera, la reducción absoluta en ella subiría a 30 puntos porcentuales: casi uno de cada tres casos como el suyo evitaría un evento potencialmente letal. Sin embargo, su denominador de daño también se aparta del ensayo: el EPOC moderado, el desacondicionamiento post-sepsis y una pared con cicatrices previas elevan su riesgo absoluto de complicaciones respiratorias o quirúrgicas. La aritmética clínica no decide por la paciente, pero desnuda qué hay que estimar antes de recomendar: dos riesgos basales individualizados, el de la enfermedad sin intervención y el del quirófano. Y muestra por qué la muletilla «está indicado por evidencia» suele esconder ambas estimaciones.</w:t>
      </w:r>
    </w:p>
    <w:p>
      <w:pPr>
        <w:pStyle w:val="BodyJ"/>
        <w:keepNext w:val="false"/>
      </w:pPr>
      <w:r>
        <w:t xml:space="preserve">La validez externa no es una propiedad binaria del estudio, sino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keepNext w:val="false"/>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Lo demostrado es más limitado: «en pacientes comparables, esta estrategia redujo cierto desenlace; en esta paciente el beneficio absoluto probablemente sea mayor, y debe ponderarse frente a un riesgo adverso también mayor».</w:t>
      </w:r>
    </w:p>
    <w:p>
      <w:pPr>
        <w:pStyle w:val="Heading3"/>
        <w:keepNext/>
        <w:keepLines/>
        <w:spacing w:after="120" w:before="280"/>
      </w:pPr>
      <w:r>
        <w:rPr>
          <w:rFonts w:ascii="Gelasio" w:cs="Gelasio" w:eastAsia="Gelasio" w:hAnsi="Gelasio"/>
          <w:b/>
          <w:bCs/>
          <w:color w:val="2B2B2B"/>
          <w:sz w:val="25"/>
          <w:szCs w:val="25"/>
        </w:rPr>
        <w:t xml:space="preserve">Una década sobre un mismo dato: la saga ANDROMEDA</w:t>
      </w:r>
    </w:p>
    <w:p>
      <w:pPr>
        <w:pStyle w:val="BodyJ"/>
        <w:keepNext w:val="false"/>
      </w:pPr>
      <w:r>
        <w:t xml:space="preserve">Antes de traducir un resultado al caso hay que leerlo, y leerlo ya es una decisión. Pocas historias recientes lo muestran mejor. En 2019, un ensayo multicéntrico conducido desde una red latinoamericana de investigación en medicina intensiva comparó dos blancos para reanimar el shock séptico: normalizar el lactato o normalizar el llene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sino el riesgo inductivo que el capítulo siguiente desarrolla, institucionalizado en un número. Un reanálisis bayesiano lo hizo explícito: bajo cualquier prior razonable, la probabilidad de que la estrategia guiada por perfusión redujera la mortalidad a 28 días excedía el 90% (Zampieri et al., 2020). El mismo dato, dos marcos de lectura, dos frases distintas para la ficha.</w:t>
      </w:r>
    </w:p>
    <w:p>
      <w:pPr>
        <w:pStyle w:val="BodyJ"/>
        <w:keepNext w:val="false"/>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llene capilar era superior al cuidado habitual en un desenlace jerárquico que combinaba mortalidad, días de soporte vital y estadía hospitalaria; la ventaja vino de menos días de soporte vital, con la misma mortalidad a 28 días (Hernández et al., 2025). La saga deja tres lecciones.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—el mismo continente clínico desde el que escribo—.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2714625"/>
                          </a:xfrm>
                          <a:prstGeom prst="rect">
                            <a:avLst/>
                          </a:prstGeom>
                        </pic:spPr>
                      </pic:pic>
                    </a:graphicData>
                  </a:graphic>
                </wp:inline>
              </w:drawing>
            </w:r>
          </w:p>
          <w:p>
            <w:pPr>
              <w:pStyle w:val="Caption"/>
            </w:pPr>
            <w:r>
              <w:t xml:space="preserve">Figura 9. Una década sobre un mismo dato: la saga ANDROMEDA. El mismo programa de investigación atraviesa un ensayo «negativo», su relectura bayesiana y una segunda prueba más severa: la trayectoria completa que vale como modelo de lectura de la evidencia.</w:t>
            </w:r>
          </w:p>
        </w:tc>
      </w:tr>
    </w:tbl>
    <w:p>
      <w:pPr>
        <w:spacing w:after="60"/>
      </w:pPr>
    </w:p>
    <w:p>
      <w:pPr>
        <w:pStyle w:val="Heading3"/>
        <w:keepNext/>
        <w:keepLines/>
        <w:spacing w:after="120" w:before="280"/>
      </w:pPr>
      <w:r>
        <w:rPr>
          <w:rFonts w:ascii="Gelasio" w:cs="Gelasio" w:eastAsia="Gelasio" w:hAnsi="Gelasio"/>
          <w:b/>
          <w:bCs/>
          <w:color w:val="2B2B2B"/>
          <w:sz w:val="25"/>
          <w:szCs w:val="25"/>
        </w:rPr>
        <w:t xml:space="preserve">Singularidad sin arbitrariedad: evidencia externa, local y del propio caso</w:t>
      </w:r>
    </w:p>
    <w:p>
      <w:pPr>
        <w:pStyle w:val="BodyJ"/>
        <w:keepNext w:val="false"/>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 Esa exigencia evita dos excesos simétricos: el positivismo ingenuo que cree que el estudio decide por sí solo y el particularismo romántico que presenta la intuición del médico como conocimiento inaccesible a examen.</w:t>
      </w:r>
    </w:p>
    <w:p>
      <w:pPr>
        <w:pStyle w:val="BodyJ"/>
        <w:keepNext w:val="false"/>
      </w:pPr>
      <w:r>
        <w:t xml:space="preserve">La evidencia externa convive con dos fuentes más. La primera es el conocimiento local —epidemiología, perfiles de resistencia, disponibilidad diagnóstica, tiempos de traslado, experiencia técnica, capacidad de seguimiento—, que puede modificar la decisión sin contradecir ningún estudio, siempre que sea explícito y actualizable y no una tradición institucional. La segunda es el propio paciente, que genera evidencia longitudinal sobre sí mismo: respuestas previas, recurrencias, efectos adversos y preferencias estables, información relevante aunque no equivalga a un ensayo N-de-1 formal. El riesgo con ambas es la atribución causal fácil: la mejoría posterior a una intervención no demuestra que haya sido causada por ella cuando coexisten historia natural y tratamientos simultáneos.</w:t>
      </w:r>
    </w:p>
    <w:p>
      <w:pPr>
        <w:pStyle w:val="BodyJ"/>
        <w:keepNext w:val="false"/>
      </w:pPr>
      <w:r>
        <w:t xml:space="preserve">Una deliberación bien formulada declara qué proviene de estudios, qué se extrapola, qué aporta la historia individual, qué depende del contexto local y qué permanece desconocido. La competencia metacognitiva consiste en reconocer cuándo se está citando un resultado, cuándo extrapolando, cuándo suponiendo un mecanismo y cuándo una preferencia está inclinando la balanza. La pregunta final no es «¿existe evidencia?», sino «¿qué evidencia existe, para qué afirmación, con qué transportabilidad y con qué consecuencias para esta persona?».</w:t>
      </w:r>
    </w:p>
    <w:p>
      <w:pPr>
        <w:pStyle w:val="Quote1"/>
      </w:pPr>
      <w:r>
        <w:t xml:space="preserve">La evidencia no desciende intacta desde la población hacia el individuo: debe ser traducida, y esa traducción es una inferencia clínica sometida a incertidumbre.</w:t>
      </w:r>
    </w:p>
    <w:p>
      <w:pPr>
        <w:pStyle w:val="EnUnaFrase"/>
      </w:pPr>
      <w:r>
        <w:rPr>
          <w:b/>
          <w:bCs/>
        </w:rPr>
        <w:t xml:space="preserve">En una frase.</w:t>
      </w:r>
      <w:r>
        <w:t xml:space="preserve"> Leer un ensayo es ya una decisión sobre su marco; traducirlo a esta persona es una inferencia que debe declararse —ni obedecer al estudio ni improvisar contra él—.</w:t>
      </w:r>
    </w:p>
    <w:p>
      <w:pPr>
        <w:pStyle w:val="BodyJ"/>
        <w:keepNext/>
        <w:spacing w:after="80" w:before="160"/>
      </w:pPr>
      <w:r>
        <w:rPr>
          <w:b/>
          <w:bCs/>
        </w:rPr>
        <w:t xml:space="preserve">Tres preguntas para la próxima visita.</w:t>
      </w:r>
    </w:p>
    <w:p>
      <w:pPr>
        <w:pStyle w:val="BodyJ"/>
        <w:keepNext/>
        <w:numPr>
          <w:ilvl w:val="0"/>
          <w:numId w:val="13"/>
        </w:numPr>
      </w:pPr>
      <w:r>
        <w:t xml:space="preserve">Para mi indicación más importante de hoy: ¿qué demostró exactamente el estudio que la respalda, y en qué se parece mi paciente a esa población?</w:t>
      </w:r>
    </w:p>
    <w:p>
      <w:pPr>
        <w:pStyle w:val="BodyJ"/>
        <w:keepNext/>
        <w:numPr>
          <w:ilvl w:val="0"/>
          <w:numId w:val="13"/>
        </w:numPr>
      </w:pPr>
      <w:r>
        <w:t xml:space="preserve">El último ensayo «negativo» que cité: ¿mostró ausencia de efecto o ausencia de significación —y traté esa diferencia como si no existiera—?</w:t>
      </w:r>
    </w:p>
    <w:p>
      <w:pPr>
        <w:pStyle w:val="BodyJ"/>
        <w:keepNext w:val="false"/>
        <w:numPr>
          <w:ilvl w:val="0"/>
          <w:numId w:val="13"/>
        </w:numPr>
      </w:pPr>
      <w:r>
        <w:t xml:space="preserve">¿Qué conocimiento local (resistencias, tiempos, capacidad de seguimiento) está modificando mi decisión sin estar declarado en ninguna parte?</w:t>
      </w:r>
    </w:p>
    <w:p>
      <w:pPr>
        <w:pStyle w:val="Heading2"/>
        <w:keepNext/>
        <w:keepLines/>
        <w:pageBreakBefore/>
        <w:spacing w:after="300" w:before="600"/>
      </w:pPr>
      <w:r>
        <w:rPr>
          <w:rFonts w:ascii="Gelasio" w:cs="Gelasio" w:eastAsia="Gelasio" w:hAnsi="Gelasio"/>
          <w:b/>
          <w:bCs/>
          <w:color w:val="8C2F2F"/>
          <w:sz w:val="22"/>
          <w:szCs w:val="22"/>
        </w:rPr>
        <w:t xml:space="preserve">Capítulo 10</w:t>
      </w:r>
      <w:r>
        <w:rPr>
          <w:rFonts w:ascii="Gelasio" w:cs="Gelasio" w:eastAsia="Gelasio" w:hAnsi="Gelasio"/>
          <w:b/>
          <w:bCs/>
          <w:color w:val="3D5A6C"/>
          <w:sz w:val="32"/>
          <w:szCs w:val="32"/>
        </w:rPr>
        <w:br/>
        <w:t xml:space="preserve">Decidir sin certeza: umbrales, valores y bioética</w:t>
      </w:r>
    </w:p>
    <w:p>
      <w:pPr>
        <w:pStyle w:val="BodyJ"/>
        <w:keepNext w:val="false"/>
      </w:pPr>
      <w:r>
        <w:t xml:space="preserve">Suponga resuelto lo anterior: la evidencia está traducida, la probabilidad estimada, el caso representado. Queda la pregunta que ninguna estimación responde sola: ¿y ahora qué hacemos? Este capítulo trata del tramo final —donde la probabilidad se encuentra con las consecuencias, los valores entran al cálculo sin pedir permiso y la decisión técnica se cruza con la bioética—.</w:t>
      </w:r>
    </w:p>
    <w:p>
      <w:pPr>
        <w:pStyle w:val="Heading3"/>
        <w:keepNext/>
        <w:keepLines/>
        <w:spacing w:after="120" w:before="280"/>
      </w:pPr>
      <w:r>
        <w:rPr>
          <w:rFonts w:ascii="Gelasio" w:cs="Gelasio" w:eastAsia="Gelasio" w:hAnsi="Gelasio"/>
          <w:b/>
          <w:bCs/>
          <w:color w:val="2B2B2B"/>
          <w:sz w:val="25"/>
          <w:szCs w:val="25"/>
        </w:rPr>
        <w:t xml:space="preserve">De la verdad a la acción: el enfoque de umbrales</w:t>
      </w:r>
    </w:p>
    <w:p>
      <w:pPr>
        <w:pStyle w:val="BodyJ"/>
        <w:keepNext w:val="false"/>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keepNext w:val="false"/>
      </w:pPr>
      <w:r>
        <w:t xml:space="preserve">Pauker y Kassirer formalizaron el enfoque de umbrales (threshold approach):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10.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keepNext/>
        <w:keepLines/>
        <w:spacing w:after="120" w:before="280"/>
      </w:pPr>
      <w:r>
        <w:rPr>
          <w:rFonts w:ascii="Gelasio" w:cs="Gelasio" w:eastAsia="Gelasio" w:hAnsi="Gelasio"/>
          <w:b/>
          <w:bCs/>
          <w:color w:val="2B2B2B"/>
          <w:sz w:val="25"/>
          <w:szCs w:val="25"/>
        </w:rPr>
        <w:t xml:space="preserve">Errores asimétricos</w:t>
      </w:r>
    </w:p>
    <w:p>
      <w:pPr>
        <w:pStyle w:val="BodyJ"/>
        <w:keepNext w:val="false"/>
      </w:pPr>
      <w:r>
        <w:t xml:space="preserve">Falso positivo y falso negativo no tienen el mismo costo en todos los casos. En una condición letal y tratable, se toleran más falsos positivos para reducir omisiones. En un tratamiento tóxico o irreversible, se exige mayor evidencia. La incertidumbre diagnóstica debe traducirse en una matriz de consecuencias.</w:t>
      </w:r>
    </w:p>
    <w:p>
      <w:pPr>
        <w:pStyle w:val="BodyJ"/>
        <w:keepNext w:val="false"/>
      </w:pPr>
      <w:r>
        <w:t xml:space="preserve">Los dos momentos de Carmen ilustran esta asimetría de costos. En la madrugada del ingreso, la pregunta era si había indicación de cirugía de urgencia: isquemia, perforación o un abdomen que no respondiera. La reanimación respondió en pocas horas —con 2.000 ml de Ringer lactato y noradrenalina, el llene capilar mejoró, la taquicardia bajó y el dolor abdominal cedió—, el abdomen no tenía signos peritoneales y la tomografía no mostraba isquemia: el umbral para operar de urgencia no se cruzó, y la decisión quedó vigilada, con el abdomen reexaminado y un lactato de control que bajó a 2,3 mmol/L. Días después, con Carmen recuperada en sala, la matriz de consecuencias se invierte. El error más costoso ya no es operar sin indicación, sino enviarla de alta con el anillo herniario intacto. Un quinto atascamiento reproduciría entonces el shock séptico en su casa, lejos de una cama crítica. La anatomía radiológica es la misma; lo que desplazó el umbral terapéutico hacia la reparación electiva fue el nuevo peso pronóstico del error de omisión. La Figura 11 pone los dos momentos uno junto al otro.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9750" cy="3505200"/>
                          </a:xfrm>
                          <a:prstGeom prst="rect">
                            <a:avLst/>
                          </a:prstGeom>
                        </pic:spPr>
                      </pic:pic>
                    </a:graphicData>
                  </a:graphic>
                </wp:inline>
              </w:drawing>
            </w:r>
          </w:p>
          <w:p>
            <w:pPr>
              <w:pStyle w:val="Caption"/>
            </w:pPr>
            <w:r>
              <w:t xml:space="preserve">Figura 11. La línea de tiempo de Carmen y el umbral que se mueve: en la madrugada, sin isquemia ni signos peritoneales y con respuesta a la reanimación, el daño esperado de operar de urgencia supera al de reanimar y vigilar; al día 7, el daño esperado de un alta sin operar supera al de una cirugía programada. Los hechos anatómicos no cambiaron; cambió el costo del error de omisión.</w:t>
            </w:r>
          </w:p>
        </w:tc>
      </w:tr>
    </w:tbl>
    <w:p>
      <w:pPr>
        <w:spacing w:after="60"/>
      </w:pPr>
    </w:p>
    <w:p>
      <w:pPr>
        <w:pStyle w:val="TallerHead"/>
        <w:keepNext/>
        <w:keepLines/>
      </w:pPr>
      <w:r>
        <w:t xml:space="preserve">Caja de herramientas. Frecuencias naturales al lado de la cama</w:t>
      </w:r>
    </w:p>
    <w:p>
      <w:pPr>
        <w:pStyle w:val="BodyJ"/>
        <w:keepNext w:val="false"/>
      </w:pPr>
      <w:r>
        <w:t xml:space="preserve">Los umbrales sirven sólo si se sabe dónde queda la probabilidad después de una prueba, y es ahí donde la intuición falla de manera más predecible. Una condición tiene una probabilidad pretest de 10%, y la prueba, sensibilidad de 90% y especificidad de 80%; el resultado llega positivo. En ejercicios docentes, la respuesta intuitiva se concentra entre 80% y 90%: se lee la sensibilidad de la prueba como si fuera la probabilidad de la enfermedad, y la prevalencia de 10% desaparece del cálculo. En frecuencias naturales sobre 1.000 pacientes, 100 tienen la condición y 90 de ellos dan positivo; de los 900 sin la condición, 180 dan positivo (20% de falsos positivos). Total de positivos: 270. Probabilidad postest = 90/270 = 33%. Cuando Casscells y colaboradores plantearon un problema análogo a médicos y estudiantes de Harvard, la respuesta más frecuente fue 95% donde la correcta rondaba el 2%: el error clásico de ignorar la probabilidad previa (Casscells et al., 1978; Hoffrage &amp; Gigerenzer, 1998). La lección de umbral: con 33%, el caso probablemente queda en la zona de «seguir testeando», no en la de tratar —salvo que el daño de omitir sea catastrófico y el tratamiento, benigno—.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12. El cálculo en frecuencias naturales: de 270 resultados positivos, sólo 90 corresponden a la enfermedad. La probabilidad postest (33%) queda lejos de la certeza que la intuición atribuye a una «prueba positiva».</w:t>
            </w:r>
          </w:p>
        </w:tc>
      </w:tr>
    </w:tbl>
    <w:p>
      <w:pPr>
        <w:spacing w:after="60"/>
      </w:pPr>
    </w:p>
    <w:p>
      <w:pPr>
        <w:pStyle w:val="Heading3"/>
        <w:keepNext/>
        <w:keepLines/>
        <w:spacing w:after="120" w:before="280"/>
      </w:pPr>
      <w:r>
        <w:rPr>
          <w:rFonts w:ascii="Gelasio" w:cs="Gelasio" w:eastAsia="Gelasio" w:hAnsi="Gelasio"/>
          <w:b/>
          <w:bCs/>
          <w:color w:val="2B2B2B"/>
          <w:sz w:val="25"/>
          <w:szCs w:val="25"/>
        </w:rPr>
        <w:t xml:space="preserve">El umbral es un juicio de valor: el riesgo inductivo</w:t>
      </w:r>
    </w:p>
    <w:p>
      <w:pPr>
        <w:pStyle w:val="BodyJ"/>
        <w:keepNext w:val="false"/>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p. 2). Carl Hempel llamó a esto riesgo inductivo (inductive risk; Hempel, 1965). Heather Douglas mostró que ese riesgo no aparece sólo al final, cuando se acepta una conclusión, sino en las etapas internas de la investigación: qué método elegir, cómo caracterizar un dato ambiguo, cómo interpretarlo. En cada una, cuánta evidencia se exige antes de afirmar que un compuesto es tóxico depende de qué error —afirmar de más o afirmar de menos— produce más daño; su caso son las láminas de hígado de rata con que se fijó la toxicidad de la dioxina, leídas por patólogos distintos con resultados distintos (Douglas, 2000, pp. 565-577).</w:t>
      </w:r>
    </w:p>
    <w:p>
      <w:pPr>
        <w:pStyle w:val="BodyJ"/>
        <w:keepNext w:val="false"/>
      </w:pPr>
      <w:r>
        <w:t xml:space="preserve">La clínica es el caso extremo y más honesto de esta tesis. El umbral de Pauker y Kassirer es el riesgo inductivo vuelto aritmética: el punto donde «suficiente evidencia» queda definido por el costo de los dos errores posibles. Por eso «se descarta» nunca es una afirmación puramente epistémica. Descartar una embolia con dímero D negativo en un paciente de baja probabilidad no significa que la probabilidad sea cero; significa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keepNext w:val="false"/>
      </w:pPr>
      <w:r>
        <w:t xml:space="preserve">Esta fundamentación tiene una consecuencia liberadora. Reconocer que hay valores dentro del umbral no corrompe la objetividad clínica; la localiza. Los hechos y las probabilidades se estiman con toda la disciplina de la Parte I, aunque tampoco ahí falta el valor: cuánta evidencia se pide antes de dar algo por hecho depende de lo que cuesta equivocarse, y por eso la capa de hechos declara su fuente y su método. El punto de corte se delibera —con el paciente cuando es posible— y se declara. Lo indefendible no es que haya valores en la decisión: es esconderlos detrás de una retórica de pura evidencia.</w:t>
      </w:r>
    </w:p>
    <w:p>
      <w:pPr>
        <w:pStyle w:val="Heading3"/>
        <w:keepNext/>
        <w:keepLines/>
        <w:spacing w:after="120" w:before="280"/>
      </w:pPr>
      <w:r>
        <w:rPr>
          <w:rFonts w:ascii="Gelasio" w:cs="Gelasio" w:eastAsia="Gelasio" w:hAnsi="Gelasio"/>
          <w:b/>
          <w:bCs/>
          <w:color w:val="2B2B2B"/>
          <w:sz w:val="25"/>
          <w:szCs w:val="25"/>
        </w:rPr>
        <w:t xml:space="preserve">El cruce con la bioética: el contexto global del paciente como hecho clínico</w:t>
      </w:r>
    </w:p>
    <w:p>
      <w:pPr>
        <w:pStyle w:val="BodyJ"/>
        <w:keepNext w:val="false"/>
      </w:pPr>
      <w:r>
        <w:t xml:space="preserve">Hasta aquí, decidir pudo parecer un problema de dos variables: probabilidad y consecuencias. La bioética obliga a hacer explícita la pregunta que esa fórmula esconde: ¿consecuencias para quién, medidas en qué moneda? Una intervención terapéutica no actúa sobre una enfermedad; actúa sobre una persona. Y la persona, además de la enfermedad, tiene una funcionalidad previa, una trayectoria de fondo, una red que la sostiene —o no— y fines propios que nadie puede presumir desde el pasillo. Por eso el razonamiento médico y la bioética no se cruzan al final del proceso, cuando alguien convoca al comité de ética: se cruzan en la premisa, en la decisión previa de qué cuenta como hecho relevante del caso.</w:t>
      </w:r>
    </w:p>
    <w:p>
      <w:pPr>
        <w:pStyle w:val="BodyJ"/>
        <w:keepNext w:val="false"/>
      </w:pPr>
      <w:r>
        <w:t xml:space="preserve">El error más frecuente en la frontera entre evidencia técnica y bioética tiene estructura epistémica antes que moral. Consiste en tratar la «indicación médica» como una propiedad intrínseca del órgano enfermo y no como una relación proporcional entre una intervención y una biografía concreta. «La estenosis aórtica severa sintomática tiene indicación de recambio valvular quirúrgico o percutáneo (TAVI)» es un enunciado verdadero sobre una cohorte seleccionada. Afirmar que este hombre de 88 años va a recuperar calidad de vida o funcionalidad gracias a la prótesis valvular es una inferencia completamente distinta. Tiene fragilidad clínica avanzada, deterioro cognitivo incipiente, dos hospitalizaciones por broncoaspiración en el semestre y una hija cuidadora exhausta, y la validez de esa inferencia exige meter esos hechos en la ecuación. Aquí la brecha entre el efecto promedio del ensayo y el caso singular exhibe toda su carga moral. Cuando la evaluación omite la funcionalidad basal y el soporte familiar, lo que se pierde no es sólo precisión pronóstica; es el paciente mismo.</w:t>
      </w:r>
    </w:p>
    <w:p>
      <w:pPr>
        <w:pStyle w:val="BodyJ"/>
        <w:keepNext w:val="false"/>
      </w:pPr>
      <w:r>
        <w:t xml:space="preserve">Hay que decirlo con todas sus letras: la funcionalidad, el pronóstico de fondo y el soporte sociofamiliar son hechos clínicos de pleno derecho, no ornamentos «psicosociales» de la anamnesis. La funcionalidad se puede evaluar y graduar en minutos, y predice mortalidad y desenlaces con independencia del diagnóstico que motivó el ingreso (Rockwood et al., 2005). La trayectoria de fondo decide el significado de la enfermedad aguda. La neumonía es la misma bacteria en una curva ascendente que en una descendente, pero no es el mismo problema: la lección del capítulo siguiente, aplicada a los fines del tratamiento. Y la red de apoyo convierte una misma orden de alta en dos intervenciones distintas: «alta a domicilio» con alguien en el domicilio es un plan; sin nadie, es un abandono con firma. Cuando estos datos faltan en la ficha no suele ser porque cuesten mucho: es porque el formato no los pide. Son hechos que la capa H debe registrar para que la capa D pueda usarlos.</w:t>
      </w:r>
    </w:p>
    <w:p>
      <w:pPr>
        <w:pStyle w:val="Heading3"/>
        <w:keepNext/>
        <w:keepLines/>
        <w:spacing w:after="120" w:before="280"/>
      </w:pPr>
      <w:r>
        <w:rPr>
          <w:rFonts w:ascii="Gelasio" w:cs="Gelasio" w:eastAsia="Gelasio" w:hAnsi="Gelasio"/>
          <w:b/>
          <w:bCs/>
          <w:color w:val="2B2B2B"/>
          <w:sz w:val="25"/>
          <w:szCs w:val="25"/>
        </w:rPr>
        <w:t xml:space="preserve">Cuatro tópicos, proporcionalidad y deliberación</w:t>
      </w:r>
    </w:p>
    <w:p>
      <w:pPr>
        <w:pStyle w:val="BodyJ"/>
        <w:keepNext w:val="false"/>
      </w:pPr>
      <w:r>
        <w:t xml:space="preserve">La bioética clínica ofrece herramientas de trabajo para este cruce, y la más difundida tiene un aire de familia con HII-D. Jonsen, Siegler y Winslade propusieron ordenar todo caso en cuatro tópicos (four topics): indicaciones médicas, preferencias del paciente, calidad de vida y rasgos contextuales —familia, cultura, recursos, ley (Jonsen, Siegler &amp; Winslade, 2022)—. El orden importa y no es una jerarquía: las indicaciones van primero porque sin ellas no hay caso, pero nunca van solas. Usado con honestidad, el método funciona como una lista de verificación deliberativa: ningún cuadrante puede quedar vacío sin que la decisión quede coja, y el cuadrante que más cuesta llenar señala qué conversación falta.</w:t>
      </w:r>
    </w:p>
    <w:p>
      <w:pPr>
        <w:pStyle w:val="BodyJ"/>
        <w:keepNext w:val="false"/>
      </w:pPr>
      <w:r>
        <w:t xml:space="preserve">Dos ideas del mundo hispanohablante completan la caja. La primera es la proporcionalidad terapéutica: la obligación moral de implementar sólo aquellas medidas que guarden debida proporción entre los medios empleados y el resultado previsible (Taboada, 2000). El juicio de proporcionalidad integra pronóstico, cargas de la intervención y fines del paciente, y depende por completo de la calidad epistémica de las capas anteriores. Un pronóstico inflado por certeza retórica no produce una decisión más esperanzadora; produce un juicio de proporcionalidad falso. La segunda es la deliberación como método (Gracia, 2001). Cuando los valores entran en conflicto, la decisión no se calcula, se delibera: identificar qué valores chocan, enumerar los cursos de acción extremos, buscar los intermedios y elegir el curso prudente que pueda defenderse en público. La deliberación es a los valores lo que el diagnóstico diferencial a las hipótesis: un método para no quedarse con la primera respuesta disponible. Los cursos extremos —«hacer todo», «no hacer nada»— casi nunca son los prudentes, y suelen ser los que se eligen cuando nadie deliberó.</w:t>
      </w:r>
    </w:p>
    <w:p>
      <w:pPr>
        <w:pStyle w:val="BodyJ"/>
        <w:keepNext w:val="false"/>
      </w:pPr>
      <w:r>
        <w:t xml:space="preserve">Este cruce aparece ejecutado dos veces más adelante sin la palabra «bioética». Una, en la conversación donde la cirujana recomienda operar a Carmen y le devuelve la decisión (Interludio III). Otra, en la viñeta del final de la vida, donde la incertidumbre que domina no es pronóstica sino de metas (Cuaderno de casos, viñeta 5). En ambas, lo decisivo no fue un principio abstracto: fue que la funcionalidad, la trayectoria y los fines del paciente estuvieran dentro del razonamiento desde el principio. Esa es la tesis de esta sección: la bioética no llega al final a ponerle límites a un razonamiento ya terminado —estaba en el principio, decidiendo qué se mira—. Una decisión que ignoró la funcionalidad, el pronóstico de fondo y la red de apoyo no es más «objetiva» por haberse limitado a lo técnico: es más incompleta. Le faltan hechos, no sólo sensibilidad.</w:t>
      </w:r>
    </w:p>
    <w:p>
      <w:pPr>
        <w:pStyle w:val="Quote1"/>
      </w:pPr>
      <w:r>
        <w:t xml:space="preserve">La decisión clínica no exige convertir una probabilidad en certeza; exige justificar por qué, bajo esa probabilidad y esas consecuencias, actuar supera a no actuar.</w:t>
      </w:r>
    </w:p>
    <w:p>
      <w:pPr>
        <w:pStyle w:val="EnUnaFrase"/>
      </w:pPr>
      <w:r>
        <w:rPr>
          <w:b/>
          <w:bCs/>
        </w:rPr>
        <w:t xml:space="preserve">En una frase.</w:t>
      </w:r>
      <w:r>
        <w:t xml:space="preserve"> Decidir sin certeza no es un mal menor: es la forma normal del juicio clínico cuando trabaja bien —umbrales explícitos, valores declarados y el contexto global del paciente dentro del cálculo—.</w:t>
      </w:r>
    </w:p>
    <w:p>
      <w:pPr>
        <w:pStyle w:val="BodyJ"/>
        <w:keepNext/>
        <w:spacing w:after="80" w:before="160"/>
      </w:pPr>
      <w:r>
        <w:rPr>
          <w:b/>
          <w:bCs/>
        </w:rPr>
        <w:t xml:space="preserve">Tres preguntas para la próxima visita.</w:t>
      </w:r>
    </w:p>
    <w:p>
      <w:pPr>
        <w:pStyle w:val="BodyJ"/>
        <w:keepNext/>
        <w:numPr>
          <w:ilvl w:val="0"/>
          <w:numId w:val="14"/>
        </w:numPr>
      </w:pPr>
      <w:r>
        <w:t xml:space="preserve">¿Cuál es el umbral implícito de mi decisión: qué probabilidad de estar equivocado la haría cambiar?</w:t>
      </w:r>
    </w:p>
    <w:p>
      <w:pPr>
        <w:pStyle w:val="BodyJ"/>
        <w:keepNext/>
        <w:numPr>
          <w:ilvl w:val="0"/>
          <w:numId w:val="14"/>
        </w:numPr>
      </w:pPr>
      <w:r>
        <w:t xml:space="preserve">¿Estoy exigiendo certeza diagnóstica donde bastaría compromiso práctico, o actuando para no tolerar una duda?</w:t>
      </w:r>
    </w:p>
    <w:p>
      <w:pPr>
        <w:pStyle w:val="BodyJ"/>
        <w:keepNext w:val="false"/>
        <w:numPr>
          <w:ilvl w:val="0"/>
          <w:numId w:val="14"/>
        </w:numPr>
      </w:pPr>
      <w:r>
        <w:t xml:space="preserve">De mi paciente más grave de hoy: ¿sé cómo funcionaba antes de enfermar, con quién vive y qué espera del tratamiento —y está escrito en alguna parte—?</w:t>
      </w:r>
    </w:p>
    <w:p>
      <w:pPr>
        <w:pStyle w:val="Heading2"/>
        <w:keepNext/>
        <w:keepLines/>
        <w:pageBreakBefore/>
        <w:spacing w:after="300" w:before="600"/>
      </w:pPr>
      <w:r>
        <w:rPr>
          <w:rFonts w:ascii="Gelasio" w:cs="Gelasio" w:eastAsia="Gelasio" w:hAnsi="Gelasio"/>
          <w:b/>
          <w:bCs/>
          <w:color w:val="8C2F2F"/>
          <w:sz w:val="22"/>
          <w:szCs w:val="22"/>
        </w:rPr>
        <w:t xml:space="preserve">Capítulo 11</w:t>
      </w:r>
      <w:r>
        <w:rPr>
          <w:rFonts w:ascii="Gelasio" w:cs="Gelasio" w:eastAsia="Gelasio" w:hAnsi="Gelasio"/>
          <w:b/>
          <w:bCs/>
          <w:color w:val="3D5A6C"/>
          <w:sz w:val="32"/>
          <w:szCs w:val="32"/>
        </w:rPr>
        <w:br/>
        <w:t xml:space="preserve">Temporalidad, trayectoria y razonamiento contrafactual</w:t>
      </w:r>
    </w:p>
    <w:p>
      <w:pPr>
        <w:pStyle w:val="BodyJ"/>
        <w:keepNext w:val="false"/>
      </w:pPr>
      <w:r>
        <w:t xml:space="preserve">«Está mejor.» La frase se repite en cada entrega de turno y casi nunca alguien detiene la presentación para preguntar: ¿mejor en comparación con qué momento?, ¿mejor en qué variable fisiológica?, ¿mejor a qué velocidad? Un lactato arterial de 3 mmol/L puede ser una excelente noticia si desciende desde 6 mmol/L tras la reanimación inicial, o una señal ominosa si asciende desde 1,5 mmol/L. Este capítulo trata del tiempo: la dimensión clínica donde los datos cambian radicalmente de significado sin cambiar de valor numérico.</w:t>
      </w:r>
    </w:p>
    <w:p>
      <w:pPr>
        <w:pStyle w:val="Heading3"/>
        <w:keepNext/>
        <w:keepLines/>
        <w:spacing w:after="120" w:before="280"/>
      </w:pPr>
      <w:r>
        <w:rPr>
          <w:rFonts w:ascii="Gelasio" w:cs="Gelasio" w:eastAsia="Gelasio" w:hAnsi="Gelasio"/>
          <w:b/>
          <w:bCs/>
          <w:color w:val="2B2B2B"/>
          <w:sz w:val="25"/>
          <w:szCs w:val="25"/>
        </w:rPr>
        <w:t xml:space="preserve">El caso clínico es una trayectoria</w:t>
      </w:r>
    </w:p>
    <w:p>
      <w:pPr>
        <w:pStyle w:val="BodyJ"/>
        <w:keepNext w:val="false"/>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keepNext w:val="false"/>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keepNext/>
        <w:keepLines/>
        <w:spacing w:after="120" w:before="280"/>
      </w:pPr>
      <w:r>
        <w:rPr>
          <w:rFonts w:ascii="Gelasio" w:cs="Gelasio" w:eastAsia="Gelasio" w:hAnsi="Gelasio"/>
          <w:b/>
          <w:bCs/>
          <w:color w:val="2B2B2B"/>
          <w:sz w:val="25"/>
          <w:szCs w:val="25"/>
        </w:rPr>
        <w:t xml:space="preserve">El tiempo como fuente de evidencia</w:t>
      </w:r>
    </w:p>
    <w:p>
      <w:pPr>
        <w:pStyle w:val="BodyJ"/>
        <w:keepNext w:val="false"/>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keepNext w:val="false"/>
      </w:pPr>
      <w:r>
        <w:t xml:space="preserve">Los marcadores tienen, además, su propio tiempo, y leerlos sin él fabrica falsos fracasos. La proteína C reactiva empieza a subir unas seis horas después del estímulo, alcanza su máximo alrededor de las 48 y tiene una vida media de unas 19 horas (Pepys &amp; Hirschfield, 2003). Una PCR de las 48 horas más alta que la del ingreso, en una neumonía cuyo paciente ya está afebril, comiendo y sin oxígeno, no es un fracaso del antibiótico sino la cinética esperada de un estímulo reciente. Escalar el tratamiento por ella es tratar al número. Lo que informa es el cuarto día. En la cohorte de Edimburgo, una PCR de ingreso bajo 100 mg/L se asoció con menos complicaciones y menos mortalidad (Chalmers et al., 2008). La caída de al menos la mitad al cuarto día se ha usado como marcador de estabilidad, aunque agrega poco a los criterios clínicos salvo para detectar la neumonía complicada (Akram et al., 2013). Es la lección del lactato del capítulo 1 con otro marcador: el estado del paciente manda sobre el número y la trayectoria manda sobre el valor aislado. Una predicción útil lleva, entonces, su plazo escrito: no «PCR en descenso», sino «PCR en descenso al cuarto día».</w:t>
      </w:r>
    </w:p>
    <w:p>
      <w:pPr>
        <w:pStyle w:val="BodyJ"/>
        <w:keepNext w:val="false"/>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sino una intervención diagnóstica con condiciones de seguridad, variables de vigilancia y criterios de salida. Debe formularse qué se espera aprender, durante cuánto tiempo y qué cambio obligará a actuar.</w:t>
      </w:r>
    </w:p>
    <w:p>
      <w:pPr>
        <w:pStyle w:val="BodyJ"/>
        <w:keepNext w:val="false"/>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keepNext/>
        <w:keepLines/>
        <w:spacing w:after="120" w:before="280"/>
      </w:pPr>
      <w:r>
        <w:rPr>
          <w:rFonts w:ascii="Gelasio" w:cs="Gelasio" w:eastAsia="Gelasio" w:hAnsi="Gelasio"/>
          <w:b/>
          <w:bCs/>
          <w:color w:val="2B2B2B"/>
          <w:sz w:val="25"/>
          <w:szCs w:val="25"/>
        </w:rPr>
        <w:t xml:space="preserve">Tiempo, reversibilidad y umbral</w:t>
      </w:r>
    </w:p>
    <w:p>
      <w:pPr>
        <w:pStyle w:val="BodyJ"/>
        <w:keepNext w:val="false"/>
      </w:pPr>
      <w:r>
        <w:t xml:space="preserve">La misma probabilidad conduce a decisiones distintas según el tiempo: el umbral del capítulo anterior no está fijo en el eje temporal. Cuando el daño progresa rápidamente, el valor de esperar información disminuye. Cuando la conducta es reversible, puede iniciarse con un umbral menor y reevaluarse. Cuando es irreversible, la deliberación debe ser más exigente —y el tiempo que se compra con una medida reversible es, a menudo, la mejor inversión diagnóstica disponible—.</w:t>
      </w:r>
    </w:p>
    <w:p>
      <w:pPr>
        <w:pStyle w:val="BodyJ"/>
        <w:keepNext w:val="false"/>
      </w:pPr>
      <w:r>
        <w:t xml:space="preserve">Una forma práctica de pensar incluye cinco dimensiones: probabilidad, magnitud del daño, velocidad de evolución, reversibilidad de la intervención y capacidad de vigilancia. Iniciar un tratamiento empírico no declara certeza etiológica; declara que, con esta velocidad y esta reversibilidad, actuar supera a esperar. El taller de este capítulo (Apéndice D) pone la alternativa —esperar con diseño— por escrito.</w:t>
      </w:r>
    </w:p>
    <w:p>
      <w:pPr>
        <w:pStyle w:val="BodyJ"/>
        <w:keepNext w:val="false"/>
      </w:pPr>
      <w:r>
        <w:t xml:space="preserve">La geografía desplaza el umbral tanto como la velocidad. En un hospital insular, a cinco horas de vuelo del escáner y del cirujano más cercanos, una mujer de 40 años consulta a las 16:00 por dolor en la fosa iliaca derecha de doce horas, con fiebre baja y leucocitosis moderada; la ecografía no logra ver el apéndice. En la ciudad, el plan sería observación activa y tomografía si el dolor localiza. En la isla no hay tomografía, el avión ambulancia tarda horas en llegar y, pasada cierta hora, no despega hasta el día siguiente. La probabilidad de apendicitis es la misma en los dos lugares; lo que cambia es el costo de esperar. El «control a las 4 horas» que en la ciudad ordena una observación se convierte aquí en «decidir antes de que cierre la ventana de evacuación», y por eso el umbral para trasladar es más bajo que el umbral para operar. La decisión defendible se escribe con la geografía dentro: «apendicitis probable, no demostrada; se solicita evacuación aeromédica ahora, porque la ventana de traslado vence antes que la ventana de observación». Esperar la certeza que el escáner daría es, aquí, elegir el error más caro.</w:t>
      </w:r>
    </w:p>
    <w:p>
      <w:pPr>
        <w:pStyle w:val="Heading3"/>
        <w:keepNext/>
        <w:keepLines/>
        <w:spacing w:after="120" w:before="280"/>
      </w:pPr>
      <w:r>
        <w:rPr>
          <w:rFonts w:ascii="Gelasio" w:cs="Gelasio" w:eastAsia="Gelasio" w:hAnsi="Gelasio"/>
          <w:b/>
          <w:bCs/>
          <w:color w:val="2B2B2B"/>
          <w:sz w:val="25"/>
          <w:szCs w:val="25"/>
        </w:rPr>
        <w:t xml:space="preserve">Causalidad y contrafactuales</w:t>
      </w:r>
    </w:p>
    <w:p>
      <w:pPr>
        <w:pStyle w:val="BodyJ"/>
        <w:keepNext w:val="false"/>
      </w:pPr>
      <w:r>
        <w:t xml:space="preserve">Decidir antes de la certeza obliga a razonar sobre lo que habría pasado sin la decisión, y ahí entra la causalidad. 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keepNext w:val="false"/>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keepNext/>
        <w:keepLines/>
        <w:spacing w:after="120" w:before="280"/>
      </w:pPr>
      <w:r>
        <w:rPr>
          <w:rFonts w:ascii="Gelasio" w:cs="Gelasio" w:eastAsia="Gelasio" w:hAnsi="Gelasio"/>
          <w:b/>
          <w:bCs/>
          <w:color w:val="2B2B2B"/>
          <w:sz w:val="25"/>
          <w:szCs w:val="25"/>
        </w:rPr>
        <w:t xml:space="preserve">Puntos de inflexión</w:t>
      </w:r>
    </w:p>
    <w:p>
      <w:pPr>
        <w:pStyle w:val="BodyJ"/>
        <w:keepNext w:val="false"/>
      </w:pPr>
      <w:r>
        <w:t xml:space="preserve">Algunas evoluciones cambian cualitativamente el caso. Una recurrencia menor puede convertirse en un episodio con shock; una enfermedad estable puede adquirir disfunción orgánica; una respuesta inicial puede dar paso a deterioro. El cuarto episodio de Carmen es el ejemplo de este libro: no fue uno más de la serie, sino el que cambió de categoría, y la trayectoria —intervalos cada vez más cortos, primer shock— pesó más que cualquier dato aislado. El punto de inflexión no es sólo otro dato: redefine el riesgo de estrategias futuras. La frase medular debe hacerlo visible.</w:t>
      </w:r>
    </w:p>
    <w:p>
      <w:pPr>
        <w:pStyle w:val="BodyJ"/>
        <w:keepNext w:val="false"/>
      </w:pPr>
      <w:r>
        <w:t xml:space="preserve">Considere cómo se condensa un punto de inflexión en la ficha: «Cuarto episodio obstructivo en doce meses, por primera vez complicado con bacteriemia y shock séptico, lo que invalida la seguridad del manejo expectante previo.» La frase no predice con certeza absoluta que una quinta obstrucción será letal. Expresa algo más riguroso: que la aceleración de las recurrencias y el salto cualitativo en gravedad han modificado la inferencia pronóstica. Al elevar el costo esperado de un nuevo evento, han desplazado el umbral a favor de una intervención electiva.</w:t>
      </w:r>
    </w:p>
    <w:p>
      <w:pPr>
        <w:pStyle w:val="Quote1"/>
      </w:pPr>
      <w:r>
        <w:t xml:space="preserve">El tiempo no sólo revela la enfermedad; transforma el significado de los hechos y puede convertir una estrategia antes razonable en una decisión ya insuficiente.</w:t>
      </w:r>
    </w:p>
    <w:p>
      <w:pPr>
        <w:pStyle w:val="BodyJ"/>
        <w:keepNext w:val="false"/>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keepNext/>
        <w:spacing w:after="80" w:before="160"/>
      </w:pPr>
      <w:r>
        <w:rPr>
          <w:b/>
          <w:bCs/>
        </w:rPr>
        <w:t xml:space="preserve">Tres preguntas para la próxima visita.</w:t>
      </w:r>
    </w:p>
    <w:p>
      <w:pPr>
        <w:pStyle w:val="BodyJ"/>
        <w:keepNext/>
        <w:numPr>
          <w:ilvl w:val="0"/>
          <w:numId w:val="15"/>
        </w:numPr>
      </w:pPr>
      <w:r>
        <w:t xml:space="preserve">«Está mejor»: ¿mejor que cuándo, en qué variable y a qué velocidad?</w:t>
      </w:r>
    </w:p>
    <w:p>
      <w:pPr>
        <w:pStyle w:val="BodyJ"/>
        <w:keepNext/>
        <w:numPr>
          <w:ilvl w:val="0"/>
          <w:numId w:val="15"/>
        </w:numPr>
      </w:pPr>
      <w:r>
        <w:t xml:space="preserve">¿Qué predijo mi diagnóstico hace 48 horas, y la evolución lo confirmó o lo desmintió?</w:t>
      </w:r>
    </w:p>
    <w:p>
      <w:pPr>
        <w:pStyle w:val="BodyJ"/>
        <w:keepNext w:val="false"/>
        <w:numPr>
          <w:ilvl w:val="0"/>
          <w:numId w:val="15"/>
        </w:numPr>
      </w:pPr>
      <w:r>
        <w:t xml:space="preserve">Mi «observación» de hoy, ¿tiene plazo, variables y criterio de salida, o es una espera sin diseño?</w:t>
      </w:r>
    </w:p>
    <w:p>
      <w:pPr>
        <w:pStyle w:val="Heading2"/>
        <w:keepNext/>
        <w:keepLines/>
        <w:pageBreakBefore/>
        <w:spacing w:after="300" w:before="600"/>
      </w:pPr>
      <w:r>
        <w:rPr>
          <w:rFonts w:ascii="Gelasio" w:cs="Gelasio" w:eastAsia="Gelasio" w:hAnsi="Gelasio"/>
          <w:b/>
          <w:bCs/>
          <w:color w:val="8C2F2F"/>
          <w:sz w:val="22"/>
          <w:szCs w:val="22"/>
        </w:rPr>
        <w:t xml:space="preserve">Capítulo 12</w:t>
      </w:r>
      <w:r>
        <w:rPr>
          <w:rFonts w:ascii="Gelasio" w:cs="Gelasio" w:eastAsia="Gelasio" w:hAnsi="Gelasio"/>
          <w:b/>
          <w:bCs/>
          <w:color w:val="3D5A6C"/>
          <w:sz w:val="32"/>
          <w:szCs w:val="32"/>
        </w:rPr>
        <w:br/>
        <w:t xml:space="preserve">La ficha clínica como instrumento de pensamiento</w:t>
      </w:r>
    </w:p>
    <w:p>
      <w:pPr>
        <w:pStyle w:val="BodyJ"/>
        <w:keepNext w:val="false"/>
      </w:pPr>
      <w:r>
        <w:t xml:space="preserve">Abra la ficha clínica de cualquier paciente que lleve más de una semana hospitalizado y busque el párrafo que se repite intacto desde el ingreso. Casi siempre está ahí. Alguien lo redactó el primer día, otro lo copió y pegó el segundo, y desde entonces viaja en las evoluciones como un polizón: «paciente con antecedente de ITU a repetición», «en estudio por baja de peso», «se mantiene manejo habitual». Este capítulo aborda la ficha clínica como tecnología cognitiva: la diferencia entre un registro que sostiene el pensamiento y uno que lo fosiliza.</w:t>
      </w:r>
    </w:p>
    <w:p>
      <w:pPr>
        <w:pStyle w:val="Heading3"/>
        <w:keepNext/>
        <w:keepLines/>
        <w:spacing w:after="120" w:before="280"/>
      </w:pPr>
      <w:r>
        <w:rPr>
          <w:rFonts w:ascii="Gelasio" w:cs="Gelasio" w:eastAsia="Gelasio" w:hAnsi="Gelasio"/>
          <w:b/>
          <w:bCs/>
          <w:color w:val="2B2B2B"/>
          <w:sz w:val="25"/>
          <w:szCs w:val="25"/>
        </w:rPr>
        <w:t xml:space="preserve">Registrar no es archivar: la ficha produce lo visible</w:t>
      </w:r>
    </w:p>
    <w:p>
      <w:pPr>
        <w:pStyle w:val="BodyJ"/>
        <w:keepNext w:val="false"/>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keepNext w:val="false"/>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BodyJ"/>
        <w:keepNext w:val="false"/>
      </w:pPr>
      <w:r>
        <w:t xml:space="preserve">La trazabilidad tiene una consecuencia menos evidente: el formato del registro decide qué puede llegar a ser un hecho. Foucault sostuvo que la clínica moderna no nació simplemente de mirar mejor, sino de reorganizar qué era decible y registrable. El hospital, la autopsia y el registro crearon un espacio donde ciertos fenómenos pudieron convertirse en signos y otros ni siquiera podían formularse (Foucault, 1966).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La segunda frase es de Carmen (capítulo 1), y el ejemplo no es hipotético: la plantilla decide si una frase así llega al siguiente turno. Lo que no cabe en el formulario no se pierde por descuido; se pierde por diseño.</w:t>
      </w:r>
    </w:p>
    <w:p>
      <w:pPr>
        <w:pStyle w:val="BodyJ"/>
        <w:keepNext w:val="false"/>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la crítica del formulario: preguntar qué vuelve visible, qué vuelve invisible y a quién sirve esa distribución. El médico no siempre puede rediseñar la plantilla; siempre puede saber qué le está haciendo a su percepción.</w:t>
      </w:r>
    </w:p>
    <w:p>
      <w:pPr>
        <w:pStyle w:val="BodyJ"/>
        <w:keepNext w:val="false"/>
      </w:pPr>
      <w:r>
        <w:t xml:space="preserve">La crítica tiene una contraparte constructiva, y vale nombrarla para quien diseña o compra sistemas. Una ficha electrónica pensada desde HII-D no guardaría un diagnóstico como texto libre ni como un código cerrado. Lo guardaría como un objeto con atributos obligatorios: estado de verificación (provisional, diferencial, confirmado, refutado), fuente y fecha de cada hecho que lo sostiene, grado de la inferencia según el léxico del Apéndice B y fecha de reevaluación. Un «antecedente» sin autor ni fecha no podría copiarse a la nota siguiente sin arrastrar su procedencia, y una hipótesis que lleva diez días en estado «provisional» se volvería visible por sí sola. No exige una tecnología nueva: es la lógica de trazabilidad con que un laboratorio etiqueta cada muestra, aplicada a las afirmaciones. Mientras esa ficha no exista, el médico puede imitarla a mano: escribir el estado de la hipótesis junto a su nombre.</w:t>
      </w:r>
    </w:p>
    <w:p>
      <w:pPr>
        <w:pStyle w:val="Heading3"/>
        <w:keepNext/>
        <w:keepLines/>
        <w:spacing w:after="120" w:before="280"/>
      </w:pPr>
      <w:r>
        <w:rPr>
          <w:rFonts w:ascii="Gelasio" w:cs="Gelasio" w:eastAsia="Gelasio" w:hAnsi="Gelasio"/>
          <w:b/>
          <w:bCs/>
          <w:color w:val="2B2B2B"/>
          <w:sz w:val="25"/>
          <w:szCs w:val="25"/>
        </w:rPr>
        <w:t xml:space="preserve">El problema como unidad</w:t>
      </w:r>
    </w:p>
    <w:p>
      <w:pPr>
        <w:pStyle w:val="BodyJ"/>
        <w:keepNext w:val="false"/>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keepNext w:val="false"/>
      </w:pPr>
      <w:r>
        <w:t xml:space="preserve">El copiado automático amenaza esta función. Una formulación inicial se reproduce durante días, aun cuando la evidencia cambió. El registro deja de representar el estado actual y se transforma en fósil narrativo. La magnitud del fenómeno ya fue medida. En 23.630 notas de evolución hospitalarias con trazabilidad de cada carácter, sólo el 18% del texto había sido escrito a mano; el 46% venía copiado de notas previas y el 36% importado automáticamente desde otras partes del registro (Wang et al., 2017). Cuatro de cada cinco caracteres de una evolución típica, entonces, no se escribieron el día en que aparecen firmados; cuántos se volvieron a leer y a pensar antes de firmar, el estudio no lo midió. La escala es de sistema, no de individuo: en más de cien millones de notas de un mismo sistema universitario, la mitad del texto (50,1%) repetía texto anterior sobre el mismo paciente, y la proporción subió de 33,0% en 2015 a 54,2% en 2020; los autores advierten que prohibir copiar y pegar puede empeorar otro problema, la dispersión de la información (Steinkamp et al., 2022). Cada evolución debería responder qué cambió en hechos, interpretación, incertidumbre y plan.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9750" cy="3038475"/>
                          </a:xfrm>
                          <a:prstGeom prst="rect">
                            <a:avLst/>
                          </a:prstGeom>
                        </pic:spPr>
                      </pic:pic>
                    </a:graphicData>
                  </a:graphic>
                </wp:inline>
              </w:drawing>
            </w:r>
          </w:p>
          <w:p>
            <w:pPr>
              <w:pStyle w:val="Caption"/>
            </w:pPr>
            <w:r>
              <w:t xml:space="preserve">Figura 13. El viaje de una frase: la conjetura del prefacio se convierte en antecedente y el antecedente en hecho sin que nadie mienta en ningún punto. Al pie, de qué está hecha una evolución típica según Wang, Khanna y Najafi (2017).</w:t>
            </w:r>
          </w:p>
        </w:tc>
      </w:tr>
    </w:tbl>
    <w:p>
      <w:pPr>
        <w:spacing w:after="60"/>
      </w:pPr>
    </w:p>
    <w:p>
      <w:pPr>
        <w:pStyle w:val="Heading3"/>
        <w:keepNext/>
        <w:keepLines/>
        <w:spacing w:after="120" w:before="280"/>
      </w:pPr>
      <w:r>
        <w:rPr>
          <w:rFonts w:ascii="Gelasio" w:cs="Gelasio" w:eastAsia="Gelasio" w:hAnsi="Gelasio"/>
          <w:b/>
          <w:bCs/>
          <w:color w:val="2B2B2B"/>
          <w:sz w:val="25"/>
          <w:szCs w:val="25"/>
        </w:rPr>
        <w:t xml:space="preserve">La matriz HII-D y la frase medular</w:t>
      </w:r>
    </w:p>
    <w:p>
      <w:pPr>
        <w:pStyle w:val="BodyJ"/>
        <w:keepNext/>
      </w:pPr>
      <w:r>
        <w:t xml:space="preserve">Puede aplicarse una secuencia simple:</w:t>
      </w:r>
    </w:p>
    <w:p>
      <w:pPr>
        <w:pStyle w:val="BodyJ"/>
        <w:keepNext/>
        <w:numPr>
          <w:ilvl w:val="0"/>
          <w:numId w:val="5"/>
        </w:numPr>
      </w:pPr>
      <w:r>
        <w:rPr>
          <w:b/>
          <w:bCs/>
        </w:rPr>
        <w:t xml:space="preserve">H — Hechos</w:t>
      </w:r>
      <w:r>
        <w:t xml:space="preserve">: datos relevantes, fuente, fecha y evolución.</w:t>
      </w:r>
    </w:p>
    <w:p>
      <w:pPr>
        <w:pStyle w:val="BodyJ"/>
        <w:keepNext/>
        <w:numPr>
          <w:ilvl w:val="0"/>
          <w:numId w:val="5"/>
        </w:numPr>
      </w:pPr>
      <w:r>
        <w:rPr>
          <w:b/>
          <w:bCs/>
        </w:rPr>
        <w:t xml:space="preserve">I — Inferencias</w:t>
      </w:r>
      <w:r>
        <w:t xml:space="preserve">: diagnóstico o mecanismo propuesto, con grado de respaldo.</w:t>
      </w:r>
    </w:p>
    <w:p>
      <w:pPr>
        <w:pStyle w:val="BodyJ"/>
        <w:keepNext/>
        <w:numPr>
          <w:ilvl w:val="0"/>
          <w:numId w:val="5"/>
        </w:numPr>
      </w:pPr>
      <w:r>
        <w:rPr>
          <w:b/>
          <w:bCs/>
        </w:rPr>
        <w:t xml:space="preserve">I — Incertidumbre</w:t>
      </w:r>
      <w:r>
        <w:t xml:space="preserve">: alternativas, límites de pruebas y preguntas abiertas.</w:t>
      </w:r>
    </w:p>
    <w:p>
      <w:pPr>
        <w:pStyle w:val="BodyJ"/>
        <w:keepNext w:val="false"/>
        <w:numPr>
          <w:ilvl w:val="0"/>
          <w:numId w:val="5"/>
        </w:numPr>
      </w:pPr>
      <w:r>
        <w:rPr>
          <w:b/>
          <w:bCs/>
        </w:rPr>
        <w:t xml:space="preserve">D — Decisión</w:t>
      </w:r>
      <w:r>
        <w:t xml:space="preserve">: conducta, razón, umbral y criterio de reapertura.</w:t>
      </w:r>
    </w:p>
    <w:p>
      <w:pPr>
        <w:pStyle w:val="BodyJ"/>
        <w:keepNext w:val="false"/>
      </w:pPr>
      <w:r>
        <w:t xml:space="preserve">No es necesario rotular cada párrafo. La estructura puede estar implícita, pero debe ser recuperable. En casos complejos, explicitarla reduce ambigüedad.</w:t>
      </w:r>
    </w:p>
    <w:p>
      <w:pPr>
        <w:pStyle w:val="BodyJ"/>
        <w:keepNext w:val="false"/>
      </w:pPr>
      <w:r>
        <w:t xml:space="preserve">Ejemplo:</w:t>
      </w:r>
    </w:p>
    <w:p>
      <w:pPr>
        <w:pStyle w:val="BodyJ"/>
        <w:keepNext w:val="false"/>
      </w:pPr>
      <w:r>
        <w:rPr>
          <w:i/>
          <w:iCs/>
        </w:rPr>
        <w:t xml:space="preserve">Hechos:</w:t>
      </w:r>
      <w:r>
        <w:t xml:space="preserve"> paciente con lesión medular, vejiga neurogénica y sonda Foley permanente; presenta orina turbia, piuria y urocultivo positivo tras recambio reciente del catéter, y cumple tres días de antibiótico indicado como pielonefritis. Se mantiene afebril, hemodinámicamente estable y sin deterioro respecto de su basal. Parámetros inflamatorios elevados, sin valores anteriores al ingreso, en contexto de un cáncer renal metastásico activo. Antecedente documentado de colonización previa por enterobacteria multirresistente.</w:t>
      </w:r>
    </w:p>
    <w:p>
      <w:pPr>
        <w:pStyle w:val="BodyJ"/>
        <w:keepNext w:val="false"/>
      </w:pPr>
      <w:r>
        <w:rPr>
          <w:i/>
          <w:iCs/>
        </w:rPr>
        <w:t xml:space="preserve">Inferencia:</w:t>
      </w:r>
      <w:r>
        <w:t xml:space="preserve"> bacteriuria y piuria asociadas a recambio de catéter en paciente crónicamente colonizado; sin evidencia clínica actual de infección urinaria sintomática asociada a catéter. Los marcadores inflamatorios tienen una explicación oncológica alternativa y plausible.</w:t>
      </w:r>
    </w:p>
    <w:p>
      <w:pPr>
        <w:pStyle w:val="BodyJ"/>
        <w:keepNext w:val="false"/>
      </w:pPr>
      <w:r>
        <w:rPr>
          <w:i/>
          <w:iCs/>
        </w:rPr>
        <w:t xml:space="preserve">Incertidumbre:</w:t>
      </w:r>
      <w:r>
        <w:t xml:space="preserve"> los síntomas urinarios bajos clásicos no son evaluables por su lesión medular; el riesgo es subestimar una infección incipiente de expresión atípica.</w:t>
      </w:r>
    </w:p>
    <w:p>
      <w:pPr>
        <w:pStyle w:val="BodyJ"/>
        <w:keepNext w:val="false"/>
      </w:pPr>
      <w:r>
        <w:rPr>
          <w:i/>
          <w:iCs/>
        </w:rPr>
        <w:t xml:space="preserve">Decisión:</w:t>
      </w:r>
      <w:r>
        <w:t xml:space="preserve"> suspender el antibiótico, porque la bacteriuria asintomática no se trata en pacientes con lesión medular (Nicolle et al., 2019). Mantener vigilancia clínica estrecha ante la aparición de fiebre, inestabilidad hemodinámica, aumento de espasticidad o disreflexia autonómica. El antecedente de colonización multirresistente —declarado en la capa de hechos— eleva el daño ecológico e individual de un tratamiento innecesario, y exige un umbral clínico estricto antes de volver a prescribir.</w:t>
      </w:r>
    </w:p>
    <w:p>
      <w:pPr>
        <w:pStyle w:val="BodyJ"/>
        <w:keepNext w:val="false"/>
      </w:pPr>
      <w:r>
        <w:t xml:space="preserve">Después de ordenar el caso, el paso siguiente es formular una frase medular. No reemplaza la evolución completa; ofrece una representación operativa. Debe incluir la naturaleza del evento, la inferencia con su grado, la incertidumbre crítica —el límite principal de certeza, que suele ser el elemento que cambia el riesgo— y el efecto sobre la conducta.</w:t>
      </w:r>
    </w:p>
    <w:p>
      <w:pPr>
        <w:pStyle w:val="BodyJ"/>
        <w:keepNext w:val="false"/>
      </w:pPr>
      <w:r>
        <w:t xml:space="preserve">En el caso anterior: «Bacteriuria y piuria tras recambio de sonda Foley en paciente con vejiga neurogénica y antecedente de colonización multirresistente, sin signos sistémicos ni autonómicos que configuren infección activa; se suspende la antibioterapia bajo vigilancia dirigida para evitar selección de resistencia.»</w:t>
      </w:r>
    </w:p>
    <w:p>
      <w:pPr>
        <w:pStyle w:val="BodyJ"/>
        <w:keepNext w:val="false"/>
      </w:pPr>
      <w:r>
        <w:t xml:space="preserve">La frase contiene una inferencia y una conducta. No declara que la infección sea imposible. Explica por qué la evidencia actual no supera el umbral terapéutico.</w:t>
      </w:r>
    </w:p>
    <w:p>
      <w:pPr>
        <w:pStyle w:val="Heading3"/>
        <w:keepNext/>
        <w:keepLines/>
        <w:spacing w:after="120" w:before="280"/>
      </w:pPr>
      <w:r>
        <w:rPr>
          <w:rFonts w:ascii="Gelasio" w:cs="Gelasio" w:eastAsia="Gelasio" w:hAnsi="Gelasio"/>
          <w:b/>
          <w:bCs/>
          <w:color w:val="2B2B2B"/>
          <w:sz w:val="25"/>
          <w:szCs w:val="25"/>
        </w:rPr>
        <w:t xml:space="preserve">La ficha de resultados y la ficha de proceso</w:t>
      </w:r>
    </w:p>
    <w:p>
      <w:pPr>
        <w:pStyle w:val="BodyJ"/>
        <w:keepNext w:val="false"/>
      </w:pPr>
      <w:r>
        <w:t xml:space="preserve">«Neumonía. Ceftriaxona 2 g.» Casi toda ficha contiene notas así, y casi nadie las considera incompletas: tienen un diagnóstico y un tratamiento, que es lo que la plantilla pide. Pero la flecha entre esas dos palabras esconde una cascada de decisiones que alguien tomó, o dejó de tomar, y que la nota no registra. ¿Tiene realmente neumonía, y en base a qué? ¿Requiere hospitalizarse, y en qué unidad? ¿Qué factores anuncian una evolución tórpida? ¿A qué microorganismos apunta la cobertura empírica, y cuáles quedan deliberadamente fuera? ¿Hay que cubrir anaerobios? ¿Qué complicación conviene descartar, y con qué? ¿Necesita oxígeno? ¿Se beneficia de corticoides, y qué lo vuelve riesgoso en este paciente? ¿Cuánto esperar para evaluar la respuesta, y con qué cinética se lee la PCR? Cada pregunta es un HII-D en miniatura; la nota de resultados las comprime todas en una preposición que ni siquiera está escrita.</w:t>
      </w:r>
    </w:p>
    <w:p>
      <w:pPr>
        <w:pStyle w:val="BodyJ"/>
        <w:keepNext w:val="false"/>
      </w:pPr>
      <w:r>
        <w:t xml:space="preserve">Hay, entonces, dos fichas que suelen confundirse. La ficha de resultados registra conclusiones y acciones: lo que se decidió. La ficha de proceso registra, además, los verbos que llevaron hasta ahí. Qué se sospechó y por qué; de qué se dudó; qué se descartó y con qué método; qué se priorizó; qué se infirió y con qué grado; qué se realizó; qué se repitió; qué se comprobó; qué se aprendió. No es una lista de virtudes: es una gramática, y cada verbo cae en una capa del método. Sospechado e inferido son la capa I; dudado, descartado y priorizado son la incertidumbre; realizado y repetido son la decisión; comprobado y aprendido son la reevaluación. La ficha de resultados conjuga un solo verbo, «se indica», y por eso no puede ser auditada: no hay camino que recorrer.</w:t>
      </w:r>
    </w:p>
    <w:p>
      <w:pPr>
        <w:pStyle w:val="Heading3"/>
        <w:keepNext/>
        <w:keepLines/>
        <w:spacing w:after="120" w:before="280"/>
      </w:pPr>
      <w:r>
        <w:rPr>
          <w:rFonts w:ascii="Gelasio" w:cs="Gelasio" w:eastAsia="Gelasio" w:hAnsi="Gelasio"/>
          <w:b/>
          <w:bCs/>
          <w:color w:val="2B2B2B"/>
          <w:sz w:val="25"/>
          <w:szCs w:val="25"/>
        </w:rPr>
        <w:t xml:space="preserve">La neumonía escrita como proceso</w:t>
      </w:r>
    </w:p>
    <w:p>
      <w:pPr>
        <w:pStyle w:val="BodyJ"/>
        <w:keepNext/>
      </w:pPr>
      <w:r>
        <w:t xml:space="preserve">La misma neumonía, escrita como proceso, cabe en ocho líneas:</w:t>
      </w:r>
    </w:p>
    <w:p>
      <w:pPr>
        <w:pStyle w:val="Quote1"/>
      </w:pPr>
      <w:r>
        <w:t xml:space="preserve">Sospecho neumonía adquirida en la comunidad en un hombre de 67 años, diabético compensado, por fiebre de tres días, tos productiva, crépitos en la base derecha y opacidad nueva en la radiografía. Dudé de insuficiencia cardiaca (sin edema ni ingurgitación, radiografía sin congestión) y de embolia (sin factores de riesgo, dolor pleurítico ni hemoptisis): las degrado a poco probables, no las descarto. Descarto aspiración por anamnesis, no por imagen: no hubo vómito ni compromiso de conciencia. Priorizo la hipoxemia: saturación 92% ambiental y frecuencia respiratoria 26, oxígeno por naricera; sala y no intermedio, porque no hay hipotensión, confusión ni urea elevada. Infiero cobertura para neumococo y atípicos (ceftriaxona más macrólido); sin factores para Pseudomonas ni estafilococo resistente, sin indicación de anaerobios. Corticoides: no, sin criterios de gravedad, y su diabetes elevaría además el costo. Comprobaré a las 72 horas con dos predicciones: afebril y con menos oxígeno; PCR en descenso al cuarto día. Repetiré imagen sólo si persiste la fiebre o aparece matidez: el derrame es la complicación que busco. Reabrir si a las 72 horas no se cumple alguna de las dos predicciones.</w:t>
      </w:r>
    </w:p>
    <w:p>
      <w:pPr>
        <w:pStyle w:val="BodyJ"/>
        <w:keepNext w:val="false"/>
      </w:pPr>
      <w:r>
        <w:t xml:space="preserve">Dos de esas líneas cargan evidencia que debe nombrarse. El «no» a los corticoides se apoya en que su beneficio en mortalidad se demostró en neumonía grave tratada en cuidados intensivos, no en sala: 6,2% con hidrocortisona frente a 11,9% con placebo a los 28 días (Dequin et al., 2023). La nota lo dice con una palabra: «sin criterios de gravedad». Y las guías no coinciden: la de la ATS y la IDSA de 2019 recomendó no usar corticoides de rutina, con fuerza en la neumonía no grave y con reservas en la grave (Metlay et al., 2019). La actualización de 2024 de la Society of Critical Care Medicine, ya con ese ensayo sobre la mesa, los recomienda en la neumonía bacteriana grave hospitalizada (Chaudhuri et al., 2024). La ficha de proceso no zanja el desacuerdo; deja escrito con qué umbral de gravedad lo resolvió. Y el «sin indicación de anaerobios» es un descarte con método, el de la anamnesis que no encontró aspiración, y por eso puede revisarse si la anamnesis cambia. La nota de proceso es apenas más larga que «Neumonía. Ceftriaxona» si se cuentan las líneas que una evolución típica dedica a repetir lo de ayer, y es otra cosa: cualquiera que la lea mañana sabe qué se pensó, qué quedó abierto y qué desmentiría el plan. El riesgo ya advertido —la nota que crece sin pensar— no se corre aquí: la ficha de proceso no escribe más; escribe lo que hoy no se escribe nunca.</w:t>
      </w:r>
    </w:p>
    <w:p>
      <w:pPr>
        <w:pStyle w:val="BodyJ"/>
        <w:keepNext w:val="false"/>
      </w:pPr>
      <w:r>
        <w:t xml:space="preserve">El último verbo pide párrafo propio, porque es donde la ficha de resultados falla con más silencio: comprobar. «Neumonía. Ceftriaxona» no dice cuándo ni con qué se sabrá si funcionó, y así la respuesta se juzga con lo que llegue primero, que casi siempre es la PCR de las 48 horas. Si viene más alta que al ingreso, con el paciente afebril, comiendo y sin oxígeno, la nota de resultados no tiene con qué leerla y el reflejo es escalar el antibiótico. La ficha de proceso sí tiene con qué, porque escribió la predicción con su tiempo, la cinética del marcador que el capítulo 11 describió. Y la dejó anotada antes de que llegara el resultado: «una PCR alta a las 48 horas con paciente bien no reabre el caso; una PCR que no cae al cuarto día, sí».</w:t>
      </w:r>
    </w:p>
    <w:p>
      <w:pPr>
        <w:pStyle w:val="Heading3"/>
        <w:keepNext/>
        <w:keepLines/>
        <w:spacing w:after="120" w:before="280"/>
      </w:pPr>
      <w:r>
        <w:rPr>
          <w:rFonts w:ascii="Gelasio" w:cs="Gelasio" w:eastAsia="Gelasio" w:hAnsi="Gelasio"/>
          <w:b/>
          <w:bCs/>
          <w:color w:val="2B2B2B"/>
          <w:sz w:val="25"/>
          <w:szCs w:val="25"/>
        </w:rPr>
        <w:t xml:space="preserve">Temporalidad y revisión</w:t>
      </w:r>
    </w:p>
    <w:p>
      <w:pPr>
        <w:pStyle w:val="BodyJ"/>
        <w:keepNext w:val="false"/>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keepNext w:val="false"/>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keepNext/>
        <w:spacing w:after="80" w:before="160"/>
      </w:pPr>
      <w:r>
        <w:rPr>
          <w:b/>
          <w:bCs/>
        </w:rPr>
        <w:t xml:space="preserve">Tres preguntas para la próxima visita.</w:t>
      </w:r>
    </w:p>
    <w:p>
      <w:pPr>
        <w:pStyle w:val="BodyJ"/>
        <w:keepNext/>
        <w:numPr>
          <w:ilvl w:val="0"/>
          <w:numId w:val="16"/>
        </w:numPr>
      </w:pPr>
      <w:r>
        <w:t xml:space="preserve">¿Qué párrafo de mi evolución de hoy es copia de ayer, y sigue siendo verdad?</w:t>
      </w:r>
    </w:p>
    <w:p>
      <w:pPr>
        <w:pStyle w:val="BodyJ"/>
        <w:keepNext/>
        <w:numPr>
          <w:ilvl w:val="0"/>
          <w:numId w:val="16"/>
        </w:numPr>
      </w:pPr>
      <w:r>
        <w:t xml:space="preserve">Si yo no estuviera mañana, ¿el médico que me reemplace sabría por mi nota qué vigilar y qué reabriría el caso?</w:t>
      </w:r>
    </w:p>
    <w:p>
      <w:pPr>
        <w:pStyle w:val="BodyJ"/>
        <w:keepNext w:val="false"/>
        <w:numPr>
          <w:ilvl w:val="0"/>
          <w:numId w:val="16"/>
        </w:numPr>
      </w:pPr>
      <w:r>
        <w:t xml:space="preserve">¿Mi lista de problemas distingue hechos, hipótesis, acciones pendientes e incertidumbres, o todo tiene el mismo estatus?</w:t>
      </w:r>
    </w:p>
    <w:p>
      <w:pPr>
        <w:pStyle w:val="Heading2"/>
        <w:keepNext/>
        <w:keepLines/>
        <w:pageBreakBefore/>
        <w:spacing w:after="300" w:before="600"/>
      </w:pPr>
      <w:r>
        <w:rPr>
          <w:rFonts w:ascii="Gelasio" w:cs="Gelasio" w:eastAsia="Gelasio" w:hAnsi="Gelasio"/>
          <w:b/>
          <w:bCs/>
          <w:color w:val="8C2F2F"/>
          <w:sz w:val="22"/>
          <w:szCs w:val="22"/>
        </w:rPr>
        <w:t xml:space="preserve">Capítulo 13</w:t>
      </w:r>
      <w:r>
        <w:rPr>
          <w:rFonts w:ascii="Gelasio" w:cs="Gelasio" w:eastAsia="Gelasio" w:hAnsi="Gelasio"/>
          <w:b/>
          <w:bCs/>
          <w:color w:val="3D5A6C"/>
          <w:sz w:val="32"/>
          <w:szCs w:val="32"/>
        </w:rPr>
        <w:br/>
        <w:t xml:space="preserve">Pensar con otros: equipos, desacuerdo y comunicación de la incertidumbre</w:t>
      </w:r>
    </w:p>
    <w:p>
      <w:pPr>
        <w:pStyle w:val="BodyJ"/>
        <w:keepNext w:val="false"/>
      </w:pPr>
      <w:r>
        <w:t xml:space="preserve">A las 02:00 de la madrugada, Paola, la enfermera de turno, registra en su hoja: «paciente más quejumbrosa, rechaza la cena, diuresis en el límite inferior». A las 08:00, en la entrega de turno médica, el caso se resume en dos palabras: «sin novedades». Entre ambos registros no hay negligencia ni mala fe; hay una cadena de transmisión donde la señal clínica fue comprimida hasta desaparecer. Este capítulo trata del conocimiento clínico como propiedad distribuida de un equipo —médicos, enfermeras, técnicos, kinesiólogos, paciente, familia y sistemas de registro— y de cómo esa información se degrada, se discute y se comunica.</w:t>
      </w:r>
    </w:p>
    <w:p>
      <w:pPr>
        <w:pStyle w:val="Heading3"/>
        <w:keepNext/>
        <w:keepLines/>
        <w:spacing w:after="120" w:before="280"/>
      </w:pPr>
      <w:r>
        <w:rPr>
          <w:rFonts w:ascii="Gelasio" w:cs="Gelasio" w:eastAsia="Gelasio" w:hAnsi="Gelasio"/>
          <w:b/>
          <w:bCs/>
          <w:color w:val="2B2B2B"/>
          <w:sz w:val="25"/>
          <w:szCs w:val="25"/>
        </w:rPr>
        <w:t xml:space="preserve">La mente clínica no termina en el cráneo</w:t>
      </w:r>
    </w:p>
    <w:p>
      <w:pPr>
        <w:pStyle w:val="BodyJ"/>
        <w:keepNext w:val="false"/>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keepNext w:val="false"/>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y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BodyJ"/>
        <w:keepNext w:val="false"/>
      </w:pPr>
      <w:r>
        <w:t xml:space="preserve">Vale la pena volver al registro de enfermería de las 02:00. «Más quejumbrosa, rechaza la cena, diuresis en el límite» contiene tres hechos clínicos completos que ninguna evolución médica de esa mañana recogió. Primero, un cambio respecto del basal, detectado por quien evalúa a la paciente cada dos horas y no una vez al día. Segundo, una conducta —dejar de comer cuando venía alimentándose bien— que es signo clínico precoz y no anécdota doméstica. Tercero, una pendiente descendente que antecede por horas a la hipotensión que activará las alarmas. Es la observación profesional en su dimensión más valiosa: la serie temporal corta, un dominio sobre el cual enfermería posee un acceso epistémico privilegiado. Cuando la entrega de turno de las 08:00 tradujo todo eso como «sin novedades», no faltó a la verdad deliberadamente: aplicó a los datos de enfermería un filtro de irrelevancia que jamás aplicaría a un examen de laboratorio. La cognición distribuida comienza cuando el equipo reconoce quién tiene el mejor puesto de observación para cada fenómeno. El de enfermería es el intervalo de veinte horas entre una visita médica y la siguiente: justo donde los pacientes hospitalizados empiezan a deteriorarse.</w:t>
      </w:r>
    </w:p>
    <w:p>
      <w:pPr>
        <w:pStyle w:val="Heading3"/>
        <w:keepNext/>
        <w:keepLines/>
        <w:spacing w:after="120" w:before="280"/>
      </w:pPr>
      <w:r>
        <w:rPr>
          <w:rFonts w:ascii="Gelasio" w:cs="Gelasio" w:eastAsia="Gelasio" w:hAnsi="Gelasio"/>
          <w:b/>
          <w:bCs/>
          <w:color w:val="2B2B2B"/>
          <w:sz w:val="25"/>
          <w:szCs w:val="25"/>
        </w:rPr>
        <w:t xml:space="preserve">Transferir es transformar</w:t>
      </w:r>
    </w:p>
    <w:p>
      <w:pPr>
        <w:pStyle w:val="BodyJ"/>
        <w:keepNext w:val="false"/>
      </w:pPr>
      <w:r>
        <w:t xml:space="preserve">Ningún dato clínico viaja intacto a través de una institución. En cada entrega de turno, interconsulta telefónica o resumen de traslado, la información se selecciona, se comprime y se reinterpreta. «Paciente estable» puede esconder un requerimiento de oxígeno que se duplicó en silencio. «Urocultivo positivo» suele perder en el camino que el paciente es usuario crónico de sonda y está asintomático. «TAC sin complicaciones agudas» se traduce, sin que nadie lo decida, como «hernia no complicada», y borra el hecho de que la paciente ingresó en shock séptico. Y los artefactos tecnológicos también editorializan: la interfaz de la ficha electrónica jerarquiza ciertas casillas, esconde las notas de otros estamentos en pestañas separadas y fuerza realidades clínicas continuas dentro de menús desplegables administrativos.</w:t>
      </w:r>
    </w:p>
    <w:p>
      <w:pPr>
        <w:pStyle w:val="BodyJ"/>
        <w:keepNext w:val="false"/>
      </w:pPr>
      <w:r>
        <w:t xml:space="preserve">Rajkomar y Blandford describieron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keepNext w:val="false"/>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keepNext/>
        <w:keepLines/>
        <w:spacing w:after="120" w:before="280"/>
      </w:pPr>
      <w:r>
        <w:rPr>
          <w:rFonts w:ascii="Gelasio" w:cs="Gelasio" w:eastAsia="Gelasio" w:hAnsi="Gelasio"/>
          <w:b/>
          <w:bCs/>
          <w:color w:val="2B2B2B"/>
          <w:sz w:val="25"/>
          <w:szCs w:val="25"/>
        </w:rPr>
        <w:t xml:space="preserve">El desacuerdo como instrumento y el diseño para la corrección</w:t>
      </w:r>
    </w:p>
    <w:p>
      <w:pPr>
        <w:pStyle w:val="BodyJ"/>
        <w:keepNext w:val="false"/>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keepNext w:val="false"/>
      </w:pPr>
      <w:r>
        <w:t xml:space="preserve">No todo desacuerdo tiene igual valor. Debe traducirse a proposiciones evaluables. Por ejemplo: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keepNext w:val="false"/>
      </w:pPr>
      <w:r>
        <w:t xml:space="preserve">Las visitas de sala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BodyJ"/>
        <w:keepNext w:val="false"/>
      </w:pPr>
      <w:r>
        <w:t xml:space="preserve">Ese lenguaje común necesita un sistema que lo sostenga. Un sistema seguro no depende de que cada individuo recuerde cuestionarlo todo. Diseña momentos y artefactos que facilitan detectar discordancias: tendencias visibles, alertas selectivas, listas de problemas actualizadas, criterios de reapertura, acceso a datos fuente y roles claros para escalar preocupación. Las National Academies conceptualizaron el diagnóstico como un proceso de equipo y aprendizaje continuo, no como un acto aislado (National Academies of Sciences, Engineering, and Medicine, 2015).</w:t>
      </w:r>
    </w:p>
    <w:p>
      <w:pPr>
        <w:pStyle w:val="BodyJ"/>
        <w:keepNext w:val="false"/>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keepNext/>
        <w:keepLines/>
        <w:spacing w:after="120" w:before="280"/>
      </w:pPr>
      <w:r>
        <w:rPr>
          <w:rFonts w:ascii="Gelasio" w:cs="Gelasio" w:eastAsia="Gelasio" w:hAnsi="Gelasio"/>
          <w:b/>
          <w:bCs/>
          <w:color w:val="2B2B2B"/>
          <w:sz w:val="25"/>
          <w:szCs w:val="25"/>
        </w:rPr>
        <w:t xml:space="preserve">Comunicar incertidumbre sin perder confianza</w:t>
      </w:r>
    </w:p>
    <w:p>
      <w:pPr>
        <w:pStyle w:val="BodyJ"/>
        <w:keepNext w:val="false"/>
      </w:pPr>
      <w:r>
        <w:t xml:space="preserve">Queda la conversación más difícil del equipo: la que sostiene con el paciente, que forma parte de la red y es quien más arriesga en ella. Muchos clínicos temen que expresar incertidumbre debilite la confianza del paciente o del equipo. El resultado puede ser un lenguaje excesivamente categórico. El dilema es falso: la alternativa a la certeza no es la desorientación, sino una explicación estructurada de lo que se sabe, lo que se sospecha, lo que importa y qué se hará.</w:t>
      </w:r>
    </w:p>
    <w:p>
      <w:pPr>
        <w:pStyle w:val="BodyJ"/>
        <w:keepNext w:val="false"/>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keepNext/>
      </w:pPr>
      <w:r>
        <w:t xml:space="preserve">Una comunicación útil incluye cuatro elementos:</w:t>
      </w:r>
    </w:p>
    <w:p>
      <w:pPr>
        <w:pStyle w:val="BodyJ"/>
        <w:keepNext/>
        <w:numPr>
          <w:ilvl w:val="0"/>
          <w:numId w:val="17"/>
        </w:numPr>
      </w:pPr>
      <w:r>
        <w:rPr>
          <w:b/>
          <w:bCs/>
        </w:rPr>
        <w:t xml:space="preserve">Qué sabemos</w:t>
      </w:r>
      <w:r>
        <w:t xml:space="preserve">: hallazgos confirmados y su relevancia.</w:t>
      </w:r>
    </w:p>
    <w:p>
      <w:pPr>
        <w:pStyle w:val="BodyJ"/>
        <w:keepNext/>
        <w:numPr>
          <w:ilvl w:val="0"/>
          <w:numId w:val="17"/>
        </w:numPr>
      </w:pPr>
      <w:r>
        <w:rPr>
          <w:b/>
          <w:bCs/>
        </w:rPr>
        <w:t xml:space="preserve">Qué creemos</w:t>
      </w:r>
      <w:r>
        <w:t xml:space="preserve">: explicación principal y alternativas importantes.</w:t>
      </w:r>
    </w:p>
    <w:p>
      <w:pPr>
        <w:pStyle w:val="BodyJ"/>
        <w:keepNext/>
        <w:numPr>
          <w:ilvl w:val="0"/>
          <w:numId w:val="17"/>
        </w:numPr>
      </w:pPr>
      <w:r>
        <w:rPr>
          <w:b/>
          <w:bCs/>
        </w:rPr>
        <w:t xml:space="preserve">Qué no sabemos todavía</w:t>
      </w:r>
      <w:r>
        <w:t xml:space="preserve">: límites concretos.</w:t>
      </w:r>
    </w:p>
    <w:p>
      <w:pPr>
        <w:pStyle w:val="BodyJ"/>
        <w:keepNext w:val="false"/>
        <w:numPr>
          <w:ilvl w:val="0"/>
          <w:numId w:val="17"/>
        </w:numPr>
      </w:pPr>
      <w:r>
        <w:rPr>
          <w:b/>
          <w:bCs/>
        </w:rPr>
        <w:t xml:space="preserve">Qué haremos</w:t>
      </w:r>
      <w:r>
        <w:t xml:space="preserve">: acción, vigilancia y momento de revisión.</w:t>
      </w:r>
    </w:p>
    <w:p>
      <w:pPr>
        <w:pStyle w:val="BodyJ"/>
        <w:keepNext w:val="false"/>
      </w:pPr>
      <w:r>
        <w:t xml:space="preserve">Este esquema reduce dos riesgos: transmitir falsa seguridad y trasladar al paciente una ambigüedad no elaborada.</w:t>
      </w:r>
    </w:p>
    <w:p>
      <w:pPr>
        <w:pStyle w:val="BodyJ"/>
        <w:keepNext w:val="false"/>
      </w:pPr>
      <w:r>
        <w:t xml:space="preserve">La decisión, además, no ocurre dentro de una distribución estadística sino en una biografía (Greenhalgh &amp; Hurwitz, 1998; Charon, 2006). El mismo riesgo es aceptable para una persona e inaceptable para otra según responsabilidades, experiencias previas y concepción de la calidad de vida. Y escuchar la historia corrige inferencias: «mala adherencia» puede ser imposibilidad económica, «rechazo» una experiencia anterior, «síntoma funcional» una invalidación vivida. El lenguaje del médico abre o cierra esa posibilidad de conocimiento.</w:t>
      </w:r>
    </w:p>
    <w:p>
      <w:pPr>
        <w:pStyle w:val="Heading3"/>
        <w:keepNext/>
        <w:keepLines/>
        <w:spacing w:after="120" w:before="280"/>
      </w:pPr>
      <w:r>
        <w:rPr>
          <w:rFonts w:ascii="Gelasio" w:cs="Gelasio" w:eastAsia="Gelasio" w:hAnsi="Gelasio"/>
          <w:b/>
          <w:bCs/>
          <w:color w:val="2B2B2B"/>
          <w:sz w:val="25"/>
          <w:szCs w:val="25"/>
        </w:rPr>
        <w:t xml:space="preserve">Incertidumbre dentro del equipo</w:t>
      </w:r>
    </w:p>
    <w:p>
      <w:pPr>
        <w:pStyle w:val="BodyJ"/>
        <w:keepNext w:val="false"/>
      </w:pPr>
      <w:r>
        <w:t xml:space="preserve">En las entregas de turno, la frase «está cubierto» suele ocultar supuestos. Es preferible nombrar quién verificará un resultado, qué diagnóstico no debe perderse y qué cambio exige avisar. La incertidumbre compartida se convierte en tarea distribuida.</w:t>
      </w:r>
    </w:p>
    <w:p>
      <w:pPr>
        <w:pStyle w:val="BodyJ"/>
        <w:keepNext w:val="false"/>
      </w:pPr>
      <w:r>
        <w:t xml:space="preserve">Hay una gramática para eso, y la escribió un chileno. Flores, con Winograd, describió el trabajo coordinado como una red de «conversaciones para la acción» (conversation for action): alguien pide, alguien promete, la promesa tiene condiciones de satisfacción y un plazo, y se cierra con una declaración de cumplimiento o de incumplimiento (Winograd &amp; Flores, 1986). Leída así, una entrega de turno no transfiere información: distribuye compromisos. «Está cubierto» es una promesa sin dueño ni condiciones. «El hemocultivo lo revisa la residente de noche a las 2:00 y avisa si crece un gramnegativo» es una promesa completa: quién, qué, cuándo y cómo se sabrá que se cumplió. Es la pregunta de Austin del capítulo 4 —qué acaba de hacer esta oración— aplicada a la frase más frecuente del hospital. La incertidumbre no desaparece al entregarla; cambia de dueño, y la gramática de Flores obliga a decir a quién.</w:t>
      </w:r>
    </w:p>
    <w:p>
      <w:pPr>
        <w:pStyle w:val="BodyJ"/>
        <w:keepNext w:val="false"/>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keepNext/>
        <w:keepLines/>
        <w:spacing w:after="120" w:before="280"/>
      </w:pPr>
      <w:r>
        <w:rPr>
          <w:rFonts w:ascii="Gelasio" w:cs="Gelasio" w:eastAsia="Gelasio" w:hAnsi="Gelasio"/>
          <w:b/>
          <w:bCs/>
          <w:color w:val="2B2B2B"/>
          <w:sz w:val="25"/>
          <w:szCs w:val="25"/>
        </w:rPr>
        <w:t xml:space="preserve">La ética de la fuerza verbal</w:t>
      </w:r>
    </w:p>
    <w:p>
      <w:pPr>
        <w:pStyle w:val="BodyJ"/>
        <w:keepNext w:val="false"/>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keepNext w:val="false"/>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keepNext/>
        <w:spacing w:after="80" w:before="160"/>
      </w:pPr>
      <w:r>
        <w:rPr>
          <w:b/>
          <w:bCs/>
        </w:rPr>
        <w:t xml:space="preserve">Tres preguntas para la próxima visita.</w:t>
      </w:r>
    </w:p>
    <w:p>
      <w:pPr>
        <w:pStyle w:val="BodyJ"/>
        <w:keepNext/>
        <w:numPr>
          <w:ilvl w:val="0"/>
          <w:numId w:val="18"/>
        </w:numPr>
      </w:pPr>
      <w:r>
        <w:t xml:space="preserve">¿Qué observó enfermería en las últimas 24 horas que no pasó por mi evaluación?</w:t>
      </w:r>
    </w:p>
    <w:p>
      <w:pPr>
        <w:pStyle w:val="BodyJ"/>
        <w:keepNext/>
        <w:numPr>
          <w:ilvl w:val="0"/>
          <w:numId w:val="18"/>
        </w:numPr>
      </w:pPr>
      <w:r>
        <w:t xml:space="preserve">En mi último desacuerdo clínico, ¿discrepábamos en hechos, inferencias, incertidumbre, valores o umbral?</w:t>
      </w:r>
    </w:p>
    <w:p>
      <w:pPr>
        <w:pStyle w:val="BodyJ"/>
        <w:keepNext w:val="false"/>
        <w:numPr>
          <w:ilvl w:val="0"/>
          <w:numId w:val="18"/>
        </w:numPr>
      </w:pPr>
      <w:r>
        <w:t xml:space="preserve">¿Mi paciente sabe qué sabemos, qué creemos, qué no sabemos aún y qué haremos —o sólo recibió una etiqueta—?</w:t>
      </w:r>
    </w:p>
    <w:p>
      <w:pPr>
        <w:pStyle w:val="Heading2"/>
        <w:keepNext/>
        <w:keepLines/>
        <w:pageBreakBefore/>
        <w:spacing w:after="300" w:before="600"/>
      </w:pPr>
      <w:r>
        <w:rPr>
          <w:rFonts w:ascii="Gelasio" w:cs="Gelasio" w:eastAsia="Gelasio" w:hAnsi="Gelasio"/>
          <w:b/>
          <w:bCs/>
          <w:color w:val="8C2F2F"/>
          <w:sz w:val="22"/>
          <w:szCs w:val="22"/>
        </w:rPr>
        <w:t xml:space="preserve">Interludio III</w:t>
      </w:r>
      <w:r>
        <w:rPr>
          <w:rFonts w:ascii="Gelasio" w:cs="Gelasio" w:eastAsia="Gelasio" w:hAnsi="Gelasio"/>
          <w:b/>
          <w:bCs/>
          <w:color w:val="3D5A6C"/>
          <w:sz w:val="32"/>
          <w:szCs w:val="32"/>
        </w:rPr>
        <w:br/>
        <w:t xml:space="preserve">La decisión de Carmen</w:t>
      </w:r>
    </w:p>
    <w:p>
      <w:pPr>
        <w:pStyle w:val="BodyJ"/>
        <w:keepNext w:val="false"/>
      </w:pPr>
      <w:r>
        <w:t xml:space="preserve">Al séptimo día de hospitalización, Carmen ya está sin sonda nasogástrica, tolerando régimen blando y caminando sin disnea por el pasillo del servicio. La evaluación preoperatoria documenta un EPOC moderado bien compensado y una capacidad funcional aceptable. Ha llegado el momento de tener la conversación para la cual el equipo se estuvo preparando toda la semana: se reúnen junto a su cama la internista, la cirujana, Carmen y su hija, cuya presencia ella misma solicitó.</w:t>
      </w:r>
    </w:p>
    <w:p>
      <w:pPr>
        <w:pStyle w:val="BodyJ"/>
        <w:keepNext w:val="false"/>
      </w:pPr>
      <w:r>
        <w:t xml:space="preserve">La cirujana no abre el diálogo proponiendo el pabellón. Empieza por la arquitectura del problema, en cuatro estaciones: «Le voy a explicar con calma qué sabemos con seguridad, qué creemos que puede pasar, qué cosas no podemos asegurarle y qué caminos tenemos. Lo que sabemos: usted tiene una hernia que en los últimos doce meses se ha atascado cuatro veces. En este último episodio llegó muy grave, con una infección que pasó a la sangre y la presión tan baja que necesitó medicamentos especiales en la UCI. Lo que creemos: que la probabilidad de que la hernia vuelva a obstruirse es alta, y que un quinto episodio podría ser igual o más grave que este; nadie puede predecir en qué fecha ocurrirá. Lo que no sabemos: si la operación será técnicamente sencilla, porque su abdomen ya tiene cicatrices internas de antes, ni cómo se comportará su pulmón con la anestesia. Ese riesgo quirúrgico existe y no es menor. Las opciones son dos. Programamos la cirugía ahora que usted ya recuperó fuerzas, de día y con todo el equipo preparado. O se va de alta sin operar, asumiendo que la próxima obstrucción puede ocurrir de madrugada, de urgencia y con usted en peores condiciones».</w:t>
      </w:r>
    </w:p>
    <w:p>
      <w:pPr>
        <w:pStyle w:val="BodyJ"/>
        <w:keepNext w:val="false"/>
      </w:pPr>
      <w:r>
        <w:t xml:space="preserve">Carmen hace la pregunta que casi todo paciente formula cuando la incertidumbre se pone sobre la mesa: «Doctora, ¿y usted qué haría en mi lugar?». La cirujana no rehúye la recomendación ni usurpa la decisión: «Yo le recomiendo operarse, Carmen, y le digo por qué. Prefiero un riesgo quirúrgico conocido, con usted compensada y en un pabellón programado, a un episodio de urgencia que no controlamos. Pero la que vivió la angustia del shock fue usted, y la que decide a cuál de esos dos riesgos le teme más también es usted».</w:t>
      </w:r>
    </w:p>
    <w:p>
      <w:pPr>
        <w:pStyle w:val="BodyJ"/>
        <w:keepNext w:val="false"/>
      </w:pPr>
      <w:r>
        <w:t xml:space="preserve">La hija pregunta si la operación «garantiza» que el problema no se repetirá. «No», responde la cirujana sin rodeos. «Baja mucho la probabilidad, pero no la lleva a cero. Si le prometiera garantías absolutas, le estaría faltando a la verdad».</w:t>
      </w:r>
    </w:p>
    <w:p>
      <w:pPr>
        <w:pStyle w:val="BodyJ"/>
        <w:keepNext w:val="false"/>
      </w:pPr>
      <w:r>
        <w:t xml:space="preserve">Carmen guarda silencio unos segundos y luego dice más de lo que el equipo le ha escuchado en toda la hospitalización: «Yo no quiero volver a pasar una noche como la que pasé al llegar. Pensé que me moría, y vi en la cara de mi hija que ella pensó lo mismo. Pero tampoco quiero que me operen por operar: en mi cirugía antigua demoré meses en poder enderezarme bien. Lo único que necesito saber, doctora, es si después de recuperarme voy a poder seguir cuidando a mi nieta en las tardes».</w:t>
      </w:r>
    </w:p>
    <w:p>
      <w:pPr>
        <w:pStyle w:val="BodyJ"/>
        <w:keepNext w:val="false"/>
      </w:pPr>
      <w:r>
        <w:t xml:space="preserve">Esa pregunta no figuraba en ninguna calculadora de riesgo perioperatorio, pero era el criterio que ordenaba todas las demás variables. La cirujana la anotó en la hoja antes de responderle cómo organizarían la rehabilitación kinésica postoperatoria para proteger esa meta.</w:t>
      </w:r>
    </w:p>
    <w:p>
      <w:pPr>
        <w:pStyle w:val="BodyJ"/>
        <w:keepNext/>
      </w:pPr>
      <w:r>
        <w:t xml:space="preserve">Carmen acepta operarse. De regreso en la estación de enfermería, la internista redacta la frase medular que condensa una semana de deliberación clínica:</w:t>
      </w:r>
    </w:p>
    <w:p>
      <w:pPr>
        <w:pStyle w:val="Quote1"/>
      </w:pPr>
      <w:r>
        <w:t xml:space="preserve">Obstrucción intestinal recurrente por hernia incisional, cuarto episodio anual y primero complicado con shock séptico y bacteriemia por gramnegativos; tomografía sin isquemia aguda. El salto cualitativo en gravedad, la aceleración de las recurrencias y la preferencia informada de la paciente —seguir cuidando a su nieta y evitar una nueva urgencia vital— justifican reparación electiva tras optimización. Se asume un riesgo perioperatorio moderado como alternativa preferible al manejo expectante. Criterio de reapertura: suspender programación y reevaluar si presenta deterioro respiratorio o nuevo evento obstructivo previo a la fecha de pabellón.</w:t>
      </w:r>
    </w:p>
    <w:p>
      <w:pPr>
        <w:pStyle w:val="BodyJ"/>
      </w:pPr>
      <w:r>
        <w:t xml:space="preserve">Ninguna palabra de esa evolución es ornamento retórico. Cada cláusula sostiene una capa completa del juicio clínico.</w:t>
      </w:r>
    </w:p>
    <w:p>
      <w:pPr>
        <w:pStyle w:val="PartLabel"/>
        <w:keepNext/>
        <w:pageBreakBefore/>
      </w:pPr>
      <w:r>
        <w:t xml:space="preserve">PARTE IV</w:t>
      </w:r>
    </w:p>
    <w:p>
      <w:pPr>
        <w:pStyle w:val="PartTitle"/>
        <w:keepNext/>
      </w:pPr>
      <w:r>
        <w:t xml:space="preserve">Una epistemología operativa</w:t>
      </w:r>
    </w:p>
    <w:p>
      <w:pPr>
        <w:pStyle w:val="PartIntro"/>
      </w:pPr>
      <w:r>
        <w:t xml:space="preserve">Las tres primeras partes construyeron las herramientas; esta las pone a trabajar. Primero frente a la responsabilidad —y el miedo— que ninguna herramienta puede delegar (capítulo 14). Luego, el método HII-D en forma completa y en versión de sesenta segundos (capítulo 15), un cuaderno de ocho casos para leer metacognitivamente —incluida la resolución de la historia de Carmen— y el problema de enseñar y organizar todo esto (capítulo 16). Cierran el libro dos espejos: la inteligencia artificial en el proceso diagnóstico y terapéutico —qué hace, qué arriesga, cómo se la enfrenta— (capítulo 17), y la poesía —porque el debate sobre lo que la palabra tiene derecho a hacer también se libró en verso, y en Chile (capítulo 18)—.</w:t>
      </w:r>
    </w:p>
    <w:p>
      <w:pPr>
        <w:pStyle w:val="Heading2"/>
        <w:keepNext/>
        <w:keepLines/>
        <w:pageBreakBefore/>
        <w:spacing w:after="300" w:before="600"/>
      </w:pPr>
      <w:r>
        <w:rPr>
          <w:rFonts w:ascii="Gelasio" w:cs="Gelasio" w:eastAsia="Gelasio" w:hAnsi="Gelasio"/>
          <w:b/>
          <w:bCs/>
          <w:color w:val="8C2F2F"/>
          <w:sz w:val="22"/>
          <w:szCs w:val="22"/>
        </w:rPr>
        <w:t xml:space="preserve">Capítulo 14</w:t>
      </w:r>
      <w:r>
        <w:rPr>
          <w:rFonts w:ascii="Gelasio" w:cs="Gelasio" w:eastAsia="Gelasio" w:hAnsi="Gelasio"/>
          <w:b/>
          <w:bCs/>
          <w:color w:val="3D5A6C"/>
          <w:sz w:val="32"/>
          <w:szCs w:val="32"/>
        </w:rPr>
        <w:br/>
        <w:t xml:space="preserve">Humildad epistémica y responsabilidad clínica</w:t>
      </w:r>
    </w:p>
    <w:p>
      <w:pPr>
        <w:pStyle w:val="BodyJ"/>
        <w:keepNext w:val="false"/>
      </w:pPr>
      <w:r>
        <w:t xml:space="preserve">Hay una frase de tres palabras que me tomó años aprender a pronunciar frente a la familia de un paciente grave: «no lo sé». La primera vez que me atreví a decirla completa —«todavía no sé con certeza por qué empeoró hoy; pero sí sé qué complicaciones graves ya descartamos, sé qué variables vamos a vigilar esta noche y sé a qué hora de mañana tendremos nuevos resultados»— temía provocar desconfianza o angustia. Encontré lo contrario: alivio. Esa familia no exigía que yo fuera omnisciente; necesitaba saber que nuestra incertidumbre estaba gobernada por un plan. Este capítulo trata de la distancia moral y técnica que separa el aparentar seguridad del ejercer responsabilidad.</w:t>
      </w:r>
    </w:p>
    <w:p>
      <w:pPr>
        <w:pStyle w:val="Heading3"/>
        <w:keepNext/>
        <w:keepLines/>
        <w:spacing w:after="120" w:before="280"/>
      </w:pPr>
      <w:r>
        <w:rPr>
          <w:rFonts w:ascii="Gelasio" w:cs="Gelasio" w:eastAsia="Gelasio" w:hAnsi="Gelasio"/>
          <w:b/>
          <w:bCs/>
          <w:color w:val="2B2B2B"/>
          <w:sz w:val="25"/>
          <w:szCs w:val="25"/>
        </w:rPr>
        <w:t xml:space="preserve">Afirmar es asumir una responsabilidad</w:t>
      </w:r>
    </w:p>
    <w:p>
      <w:pPr>
        <w:pStyle w:val="BodyJ"/>
        <w:keepNext w:val="false"/>
      </w:pPr>
      <w:r>
        <w:t xml:space="preserve">Una frase clínica no es moralmente neutra. Puede activar una cirugía, justificar aislamiento, etiquetar a una persona, limitar tratamientos o fijar una interpretación que otros repetirán. Quien escribe «rechaza», «no adherente», «funcional», «terminal» o «sin indicación» no sólo describe. Distribuye credibilidad, urgencia y recursos. La ética del razonamiento comienza antes de la decisión: comienza en la forma en que se recibe un testimonio y se concede fuerza a una afirmación.</w:t>
      </w:r>
    </w:p>
    <w:p>
      <w:pPr>
        <w:pStyle w:val="BodyJ"/>
        <w:keepNext w:val="false"/>
      </w:pPr>
      <w:r>
        <w:t xml:space="preserve">Hay que decirlo de entrada, porque el resto del capítulo lo presupone: pensar bien es parte de la ética primordial del médico, no un refinamiento intelectual que se agrega a ella. Es su herramienta principal, de la que parte todo lo demás —y en la que, cuando falla, termina todo lo demás—. La idea tiene un antecedente filosófico exacto. Clifford sostuvo en 1877, en «La ética de la creencia» (</w:t>
      </w:r>
      <w:r>
        <w:rPr>
          <w:i/>
          <w:iCs/>
        </w:rPr>
        <w:t xml:space="preserve">The Ethics of Belief</w:t>
      </w:r>
      <w:r>
        <w:t xml:space="preserve">), que creer algo sin evidencia suficiente es siempre, en todo lugar y para cualquiera, un acto reprochable (Clifford, 1877, §I). Lo ilustró con un armador que, sin inspeccionar su barco, se convence de que es seguro y lo deja zarpar. Si el barco llega a puerto, el armador no es menos culpable, porque la creencia se formó sin derecho a formarse. La medicina es el oficio donde esa tesis deja de ser una exageración. El médico que escribe «se descarta» sin un método que excluya, o «cuadro habitual» sin haber mirado las rodillas moteadas, ha hecho lo del armador, y un desenlace benigno no lo absuelve. La viñeta 6 lo dice al revés: el mismo proceso con una crisis de pánico real habría sido igual de indefendible. Por eso el deber de pensar bien no se agota en la competencia. Incluye el deber de saber cuándo uno no está en condiciones de pensar bien (capítulo 8) y de organizar el trabajo para que otro instrumento revise el juicio. La ética clínica no empieza en el comité ni en el consentimiento; empieza en la calidad de la creencia que sostiene la primera frase de la ficha.</w:t>
      </w:r>
    </w:p>
    <w:p>
      <w:pPr>
        <w:pStyle w:val="BodyJ"/>
        <w:keepNext w:val="false"/>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keepNext/>
        <w:keepLines/>
        <w:spacing w:after="120" w:before="280"/>
      </w:pPr>
      <w:r>
        <w:rPr>
          <w:rFonts w:ascii="Gelasio" w:cs="Gelasio" w:eastAsia="Gelasio" w:hAnsi="Gelasio"/>
          <w:b/>
          <w:bCs/>
          <w:color w:val="2B2B2B"/>
          <w:sz w:val="25"/>
          <w:szCs w:val="25"/>
        </w:rPr>
        <w:t xml:space="preserve">Humildad epistémica</w:t>
      </w:r>
    </w:p>
    <w:p>
      <w:pPr>
        <w:pStyle w:val="BodyJ"/>
        <w:keepNext w:val="false"/>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keepNext w:val="false"/>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keepNext/>
        <w:keepLines/>
        <w:spacing w:after="120" w:before="280"/>
      </w:pPr>
      <w:r>
        <w:rPr>
          <w:rFonts w:ascii="Gelasio" w:cs="Gelasio" w:eastAsia="Gelasio" w:hAnsi="Gelasio"/>
          <w:b/>
          <w:bCs/>
          <w:color w:val="2B2B2B"/>
          <w:sz w:val="25"/>
          <w:szCs w:val="25"/>
        </w:rPr>
        <w:t xml:space="preserve">La humildad como motor: explorar, aprender, reenfocar</w:t>
      </w:r>
    </w:p>
    <w:p>
      <w:pPr>
        <w:pStyle w:val="BodyJ"/>
        <w:keepNext w:val="false"/>
      </w:pPr>
      <w:r>
        <w:t xml:space="preserve">Hay una caricatura de la humildad epistémica que es preciso desactivar: la del médico tibio, que afirma poco por miedo a equivocarse. Esa figura confunde humildad con timidez. La filosofía contemporánea de las virtudes intelectuales ofrece una definición más útil: ser intelectualmente humilde es atender a las propias limitaciones y apropiárselas —saber dónde termina lo que uno sabe, y dejar que ese saber actúe (Whitcomb et al., 2017)—. Definida así, la humildad no es un freno. Es un motor: la única disposición que mantiene el caso abierto después de que ya hay una respuesta que funciona.</w:t>
      </w:r>
    </w:p>
    <w:p>
      <w:pPr>
        <w:pStyle w:val="BodyJ"/>
        <w:keepNext w:val="false"/>
      </w:pPr>
      <w:r>
        <w:t xml:space="preserve">Sus efectos son tres, y los tres son dinámicos. Primero, permite seguir explorando. Quien es dueño de sus límites sigue preguntando cuando la etiqueta ya está puesta: busca el hallazgo que no encaja, pide el examen que podría desmentirlo, vuelve a la cama del paciente sin necesitar que algo se haya complicado para justificar la visita. La exploración no termina cuando aparece una explicación; termina cuando la explicación ha sobrevivido a sus rivales —y saber la diferencia es humildad operando—.</w:t>
      </w:r>
    </w:p>
    <w:p>
      <w:pPr>
        <w:pStyle w:val="BodyJ"/>
        <w:keepNext w:val="false"/>
      </w:pPr>
      <w:r>
        <w:t xml:space="preserve">Segundo, permite seguir aprendiendo. El feedback sólo enseña a quien puede recibirlo sin tratarlo como acusación. El portafolio de calibración, la conferencia de morbimortalidad, la corrección venida de cualquier miembro del equipo —de la enfermera de turno al propio paciente— funcionan únicamente sobre esa base. Un médico que no puede ser corregido no es un médico seguro, sino uno que dejó de aprender, con años de práctica acumulándose sobre los mismos errores.</w:t>
      </w:r>
    </w:p>
    <w:p>
      <w:pPr>
        <w:pStyle w:val="BodyJ"/>
        <w:keepNext w:val="false"/>
      </w:pPr>
      <w:r>
        <w:t xml:space="preserve">Tercero —y es el efecto más clínico de todos—, permite reubicar el foco y el manejo. La dirección de la atención diagnóstica no es un voto de por vida, sino una asignación provisional de recursos, revisable cuando la trayectoria contradice el mapa. El humilde redirige sin vivirlo como derrota —de lo urinario a lo abdominal, de la lesión estructural al trastorno funcional, del objetivo curativo al de confort— y ajusta el tratamiento con la misma naturalidad con que lo inició. El orgulloso, en cambio, defiende su primera formulación como se defiende una propiedad, y convierte cada dato discordante en un ataque que repeler. El anclaje es, visto así, un fracaso de humildad antes que un fallo de memoria: la información nueva estaba disponible; lo que faltó fue la disposición a dejarla mandar.</w:t>
      </w:r>
    </w:p>
    <w:p>
      <w:pPr>
        <w:pStyle w:val="BodyJ"/>
        <w:keepNext w:val="false"/>
      </w:pPr>
      <w:r>
        <w:t xml:space="preserve">Vista así, la humildad no es una virtud separada de la phronesis invocada desde el capítulo 6: es su condición de funcionamiento. La prudencia práctica integra, en el caso particular, lo que ningún algoritmo integra por el clínico: conocimiento causal, emoción leída como dato, valores del paciente y oportunidad, el momento de actuar ahora o esperar. Esa integración sólo permanece honesta si alguien vigila sus límites, y la humildad es eso: la phronesis vuelta sobre sí misma, la parte de la prudencia que sabe cuánta de la propia prudencia es conjetura. Con ella queda a la vista el hilo que el libro venía tendiendo. El capítulo 2 mostró la abducción, la conjetura que crea explicaciones; el capítulo 5, la metacognición que la vigila mientras trabaja; la humildad es la disposición que la mantiene abierta cuando ya produjo una respuesta cómoda. Generar, vigilar, mantener abierto: tres nombres de una misma lealtad al caso. Y queda la corrección de Varela que el capítulo 6 aceptó: esa lealtad no es vigilancia continua —el experto responde sin deliberar, y deliberar sin motivo lo degrada—, sino la disposición a reconocer el quiebre, el momento en que el saber hacer dejó de bastar.</w:t>
      </w:r>
    </w:p>
    <w:p>
      <w:pPr>
        <w:pStyle w:val="BodyJ"/>
        <w:keepNext w:val="false"/>
      </w:pPr>
      <w:r>
        <w:t xml:space="preserve">Por eso la humildad entra aquí no como ornamento ético sino como pieza estructural. La reevaluación del método HII-D es humildad convertida en procedimiento: la cláusula «qué me haría cambiar», escrita antes de saber si habrá que cambiar, es la forma que toma esta virtud cuando se la obliga a dejar huella en la ficha.</w:t>
      </w:r>
    </w:p>
    <w:p>
      <w:pPr>
        <w:pStyle w:val="Heading3"/>
        <w:keepNext/>
        <w:keepLines/>
        <w:spacing w:after="120" w:before="280"/>
      </w:pPr>
      <w:r>
        <w:rPr>
          <w:rFonts w:ascii="Gelasio" w:cs="Gelasio" w:eastAsia="Gelasio" w:hAnsi="Gelasio"/>
          <w:b/>
          <w:bCs/>
          <w:color w:val="2B2B2B"/>
          <w:sz w:val="25"/>
          <w:szCs w:val="25"/>
        </w:rPr>
        <w:t xml:space="preserve">Credibilidad y experiencia del paciente</w:t>
      </w:r>
    </w:p>
    <w:p>
      <w:pPr>
        <w:pStyle w:val="BodyJ"/>
        <w:keepNext w:val="false"/>
      </w:pPr>
      <w:r>
        <w:t xml:space="preserve">La humildad tiene también una dirección hacia afuera: cómo se recibe lo que otro sabe. Miranda Fricker denominó injusticia epistémica al daño cometido contra alguien en su capacidad de sujeto de conocimiento (Fricker, 2007). En salud, Carel y Kidd describieron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exige evaluación y no descarte reflejo.</w:t>
      </w:r>
    </w:p>
    <w:p>
      <w:pPr>
        <w:pStyle w:val="BodyJ"/>
        <w:keepNext w:val="false"/>
      </w:pPr>
      <w:r>
        <w:t xml:space="preserve">La filosofía del testimonio ayuda a precisar qué significa «evaluar sin descartar». Contra la sospecha heredada del empirismo —que creerle a otro es siempre conocimiento de segunda categoría—, Coady sostuvo que el testimonio es una fuente básica de conocimiento, tan constitutiva como la percepción o la memoria. Sin una confianza por defecto en lo que otros informan, ni la ciencia ni la vida cotidiana serían posibles (Coady, 1992, caps. 4 y 8).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caps. 6-7). La anamnesis es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keepNext w:val="false"/>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keepNext w:val="false"/>
      </w:pPr>
      <w:r>
        <w:t xml:space="preserve">Practicar una escucha epistémicamente justa exige preguntarse qué información privilegiada posee este paciente a la cual ningún monitor ni laboratorio tiene acceso, qué significado le atribuye a sus propios síntomas y qué biografía previa modela su aversión al riesgo. Exige, además, no confundir una discrepancia de valores con un déficit de comprensión: un enfermo puede entender perfectamente la evidencia médica y, aun así, jerarquizar los desenlaces de otro modo. Cuando Carmen advirtió en urgencias que «esta vez la hernia no se dejó acomodar y el dolor era otro», estaba entregando el indicador pronóstico más fino de todo su ingreso. Una nota clínica que hubiera borrado esa frase para traducirla como «dolor abdominal en paciente con hernia conocida» no habría cometido sólo una falta de empatía o una injusticia testimonial; habría cometido una amputación técnica de los datos. La regla general puede quedar escrita: una ficha que silencia el testimonio del enfermo es epistemológicamente más pobre, y cualquier frase medular que excluya la voz del paciente —cuando esa voz contiene el dato discriminante del cambio clínico— fracasa según su propio estándar de rigor.</w:t>
      </w:r>
    </w:p>
    <w:p>
      <w:pPr>
        <w:pStyle w:val="Heading3"/>
        <w:keepNext/>
        <w:keepLines/>
        <w:spacing w:after="120" w:before="280"/>
      </w:pPr>
      <w:r>
        <w:rPr>
          <w:rFonts w:ascii="Gelasio" w:cs="Gelasio" w:eastAsia="Gelasio" w:hAnsi="Gelasio"/>
          <w:b/>
          <w:bCs/>
          <w:color w:val="2B2B2B"/>
          <w:sz w:val="25"/>
          <w:szCs w:val="25"/>
        </w:rPr>
        <w:t xml:space="preserve">La ética de la incertidumbre</w:t>
      </w:r>
    </w:p>
    <w:p>
      <w:pPr>
        <w:pStyle w:val="BodyJ"/>
        <w:keepNext w:val="false"/>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keepNext w:val="false"/>
      </w:pPr>
      <w:r>
        <w:t xml:space="preserve">La decisión compartida (shared decision-making) no significa que médico y paciente aporten lo mismo. El profesional ofrece conocimiento técnico, estimación de consecuencias y recomendación; el paciente aporta experiencia, objetivos y tolerancia al riesgo (Elwyn et al., 2012).</w:t>
      </w:r>
    </w:p>
    <w:p>
      <w:pPr>
        <w:pStyle w:val="BodyJ"/>
        <w:keepNext w:val="false"/>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keepNext/>
        <w:keepLines/>
        <w:spacing w:after="120" w:before="280"/>
      </w:pPr>
      <w:r>
        <w:rPr>
          <w:rFonts w:ascii="Gelasio" w:cs="Gelasio" w:eastAsia="Gelasio" w:hAnsi="Gelasio"/>
          <w:b/>
          <w:bCs/>
          <w:color w:val="2B2B2B"/>
          <w:sz w:val="25"/>
          <w:szCs w:val="25"/>
        </w:rPr>
        <w:t xml:space="preserve">El miedo también escribe: documentación defensiva y segunda víctima</w:t>
      </w:r>
    </w:p>
    <w:p>
      <w:pPr>
        <w:pStyle w:val="BodyJ"/>
        <w:keepNext w:val="false"/>
      </w:pPr>
      <w:r>
        <w:t xml:space="preserve">Hay una variable que ningún modelo del razonamiento clínico incluye y que opera todos los días: el miedo. Miedo a la demanda, al reclamo, a la auditoría, al pasillo. Ese miedo no se queda en el cuerpo del médico; escribe en la ficha. La documentación defensiva —notas redactadas para un abogado imaginario y no para el siguiente lector clínico— es su síntoma más visible, y es un corruptor epistémico de primer orden: donde la frase medular busca hacer auditable el razonamiento, la nota defensiva busca hacerlo inatacable, que es casi lo contrario. Se omiten las dudas (podrían «usarse en contra»), se multiplican los exámenes cuya única indicación es la constancia, se prefiere la vaguedad que no compromete a la precisión que expone. El resultado es una ficha que protege menos de lo que cree. Ante cualquier revisión seria, la nota vaga sin criterios de reapertura parece ocultamiento. La nota que muestra qué se sabía, qué se dudaba y cuándo se planeó reevaluar demuestra, en cambio, lo que el derecho sanitario pondera: un proceso razonable con la información disponible. La trazabilidad honesta no es ingenuidad jurídica; es la mejor defensa que la epistemología puede ofrecer, además de la única compatible con seguir pensando.</w:t>
      </w:r>
    </w:p>
    <w:p>
      <w:pPr>
        <w:pStyle w:val="BodyJ"/>
        <w:keepNext w:val="false"/>
      </w:pPr>
      <w:r>
        <w:t xml:space="preserve">El mismo miedo, vuelto hacia adentro, tiene otro nombre. Wu llamó segunda víctima al clínico que, tras un error, queda él mismo dañado: culpa, vergüenza, aislamiento, la revisión obsesiva del momento en que las cosas pudieron ser distintas (Wu, 2000). El punto no es sentimental sino epistemológico: un médico devastado y solo no puede reconstruir la trayectoria de su propio error —la vergüenza empuja o al silencio o al relato autoflagelante, y ninguno de los dos produce aprendizaje—. Por eso el cuidado del que erró no es blandura institucional: es una condición del circuito de corrección. Un servicio que quiere fichas honestas y morbimortalidades útiles tiene que hacer verosímil una promesa: reconocer un error o una duda aquí no te destruirá. Donde esa promesa no existe, la humildad epistémica se vuelve un lujo peligroso, y el sistema entero paga en errores repetidos lo que ahorra en incomodidad.</w:t>
      </w:r>
    </w:p>
    <w:p>
      <w:pPr>
        <w:pStyle w:val="Heading3"/>
        <w:keepNext/>
        <w:keepLines/>
        <w:spacing w:after="120" w:before="280"/>
      </w:pPr>
      <w:r>
        <w:rPr>
          <w:rFonts w:ascii="Gelasio" w:cs="Gelasio" w:eastAsia="Gelasio" w:hAnsi="Gelasio"/>
          <w:b/>
          <w:bCs/>
          <w:color w:val="2B2B2B"/>
          <w:sz w:val="25"/>
          <w:szCs w:val="25"/>
        </w:rPr>
        <w:t xml:space="preserve">Autoridad sin opacidad</w:t>
      </w:r>
    </w:p>
    <w:p>
      <w:pPr>
        <w:pStyle w:val="BodyJ"/>
        <w:keepNext w:val="false"/>
      </w:pPr>
      <w:r>
        <w:t xml:space="preserve">Cuidar al que erró no suspende la asimetría de la relación clínica; la vuelve más exigente. 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keepNext w:val="false"/>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keepNext w:val="false"/>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keepNext w:val="false"/>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la recomendación, dónde están sus límites y cómo responderá el equipo si la realidad contradice lo esperado.</w:t>
      </w:r>
    </w:p>
    <w:p>
      <w:pPr>
        <w:pStyle w:val="BodyJ"/>
        <w:keepNext w:val="false"/>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sólo el peso que puede sostener.</w:t>
      </w:r>
    </w:p>
    <w:p>
      <w:pPr>
        <w:pStyle w:val="BodyJ"/>
        <w:keepNext/>
        <w:spacing w:after="80" w:before="160"/>
      </w:pPr>
      <w:r>
        <w:rPr>
          <w:b/>
          <w:bCs/>
        </w:rPr>
        <w:t xml:space="preserve">Tres preguntas para la próxima visita.</w:t>
      </w:r>
    </w:p>
    <w:p>
      <w:pPr>
        <w:pStyle w:val="BodyJ"/>
        <w:keepNext/>
        <w:numPr>
          <w:ilvl w:val="0"/>
          <w:numId w:val="19"/>
        </w:numPr>
      </w:pPr>
      <w:r>
        <w:t xml:space="preserve">¿A qué paciente le estoy creyendo menos de lo que su testimonio merece, y por qué?</w:t>
      </w:r>
    </w:p>
    <w:p>
      <w:pPr>
        <w:pStyle w:val="BodyJ"/>
        <w:keepNext/>
        <w:numPr>
          <w:ilvl w:val="0"/>
          <w:numId w:val="19"/>
        </w:numPr>
      </w:pPr>
      <w:r>
        <w:t xml:space="preserve">Mi última recomendación firme: ¿podría explicar qué hechos la sostienen, qué incertidumbres la modificarían y qué valores del paciente pesan?</w:t>
      </w:r>
    </w:p>
    <w:p>
      <w:pPr>
        <w:pStyle w:val="BodyJ"/>
        <w:keepNext w:val="false"/>
        <w:numPr>
          <w:ilvl w:val="0"/>
          <w:numId w:val="19"/>
        </w:numPr>
      </w:pPr>
      <w:r>
        <w:t xml:space="preserve">¿Hay en mis fichas una etiqueta («funcional», «no adherente», «poco colaborador») que esté distribuyendo credibilidad en lugar de información?</w:t>
      </w:r>
    </w:p>
    <w:p>
      <w:pPr>
        <w:pStyle w:val="Heading2"/>
        <w:keepNext/>
        <w:keepLines/>
        <w:pageBreakBefore/>
        <w:spacing w:after="300" w:before="600"/>
      </w:pPr>
      <w:r>
        <w:rPr>
          <w:rFonts w:ascii="Gelasio" w:cs="Gelasio" w:eastAsia="Gelasio" w:hAnsi="Gelasio"/>
          <w:b/>
          <w:bCs/>
          <w:color w:val="8C2F2F"/>
          <w:sz w:val="22"/>
          <w:szCs w:val="22"/>
        </w:rPr>
        <w:t xml:space="preserve">Capítulo 15</w:t>
      </w:r>
      <w:r>
        <w:rPr>
          <w:rFonts w:ascii="Gelasio" w:cs="Gelasio" w:eastAsia="Gelasio" w:hAnsi="Gelasio"/>
          <w:b/>
          <w:bCs/>
          <w:color w:val="3D5A6C"/>
          <w:sz w:val="32"/>
          <w:szCs w:val="32"/>
        </w:rPr>
        <w:br/>
        <w:t xml:space="preserve">El método HII-D: una epistemología operativa</w:t>
      </w:r>
    </w:p>
    <w:p>
      <w:pPr>
        <w:pStyle w:val="BodyJ"/>
        <w:keepNext w:val="false"/>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keepNext/>
        <w:keepLines/>
        <w:spacing w:after="120" w:before="280"/>
      </w:pPr>
      <w:r>
        <w:rPr>
          <w:rFonts w:ascii="Gelasio" w:cs="Gelasio" w:eastAsia="Gelasio" w:hAnsi="Gelasio"/>
          <w:b/>
          <w:bCs/>
          <w:color w:val="2B2B2B"/>
          <w:sz w:val="25"/>
          <w:szCs w:val="25"/>
        </w:rPr>
        <w:t xml:space="preserve">Una heurística, no una escala</w:t>
      </w:r>
    </w:p>
    <w:p>
      <w:pPr>
        <w:pStyle w:val="BodyJ"/>
        <w:keepNext w:val="false"/>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keepNext w:val="false"/>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95925"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95925" cy="4324350"/>
                          </a:xfrm>
                          <a:prstGeom prst="rect">
                            <a:avLst/>
                          </a:prstGeom>
                        </pic:spPr>
                      </pic:pic>
                    </a:graphicData>
                  </a:graphic>
                </wp:inline>
              </w:drawing>
            </w:r>
          </w:p>
          <w:p>
            <w:pPr>
              <w:pStyle w:val="Caption"/>
            </w:pPr>
            <w:r>
              <w:t xml:space="preserve">Figura 14. El método HII-D en una página: cinco pasos, cuatro capas y un movimiento transversal de reevaluación que devuelve al mundo la capacidad de corregirnos.</w:t>
            </w:r>
          </w:p>
        </w:tc>
      </w:tr>
    </w:tbl>
    <w:p>
      <w:pPr>
        <w:spacing w:after="60"/>
      </w:pPr>
    </w:p>
    <w:p>
      <w:pPr>
        <w:pStyle w:val="Heading3"/>
        <w:keepNext/>
        <w:keepLines/>
        <w:spacing w:after="120" w:before="280"/>
      </w:pPr>
      <w:r>
        <w:rPr>
          <w:rFonts w:ascii="Gelasio" w:cs="Gelasio" w:eastAsia="Gelasio" w:hAnsi="Gelasio"/>
          <w:b/>
          <w:bCs/>
          <w:color w:val="2B2B2B"/>
          <w:sz w:val="25"/>
          <w:szCs w:val="25"/>
        </w:rPr>
        <w:t xml:space="preserve">Qué añade frente a los modelos existentes</w:t>
      </w:r>
    </w:p>
    <w:p>
      <w:pPr>
        <w:pStyle w:val="BodyJ"/>
        <w:keepNext w:val="false"/>
      </w:pPr>
      <w:r>
        <w:t xml:space="preserve">HII-D entra a un territorio poblado, y hay que decir qué agrega. La nota SOAP y el registro orientado por problemas ordenan el documento (Weed, 1968a); la representación del problema comprime el caso (Bordage, 1994); los illness scripts organizan el conocimiento experto (Charlin et al., 2007; Custers, 2015). Las teorías de doble proceso describen los modos de procesamiento (Evans &amp; Stanovich, 2013); la reflexión deliberada estructura la comparación de hipótesis (Mamede et al., 2008); los modelos de metacognición supervisan la confianza y la estrategia (Nelson &amp; Narens, 1990; Fleming &amp; Lau, 2014); y el programa de seguridad diagnóstica vigila trayectorias y sistemas (National Academies of Sciences, Engineering, and Medicine, 2015).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Enfoque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Qué organiza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Aporte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Qué añade HII-D</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SOAP</w:t>
            </w:r>
          </w:p>
        </w:tc>
        <w:tc>
          <w:tcPr>
            <w:tcW w:type="dxa" w:w="2150"/>
            <w:tcMar>
              <w:top w:type="dxa" w:w="60"/>
              <w:left w:type="dxa" w:w="100"/>
              <w:bottom w:type="dxa" w:w="60"/>
              <w:right w:type="dxa" w:w="100"/>
            </w:tcMar>
            <w:vAlign w:val="top"/>
          </w:tcPr>
          <w:p>
            <w:pPr>
              <w:spacing w:after="0"/>
            </w:pPr>
            <w:r>
              <w:rPr>
                <w:sz w:val="17"/>
                <w:szCs w:val="17"/>
              </w:rPr>
              <w:t xml:space="preserve">La nota clínica</w:t>
            </w:r>
          </w:p>
        </w:tc>
        <w:tc>
          <w:tcPr>
            <w:tcW w:type="dxa" w:w="2560"/>
            <w:tcMar>
              <w:top w:type="dxa" w:w="60"/>
              <w:left w:type="dxa" w:w="100"/>
              <w:bottom w:type="dxa" w:w="60"/>
              <w:right w:type="dxa" w:w="100"/>
            </w:tcMar>
            <w:vAlign w:val="top"/>
          </w:tcPr>
          <w:p>
            <w:pPr>
              <w:spacing w:after="0"/>
            </w:pPr>
            <w:r>
              <w:rPr>
                <w:sz w:val="17"/>
                <w:szCs w:val="17"/>
              </w:rPr>
              <w:t xml:space="preserve">Orden documental</w:t>
            </w:r>
          </w:p>
        </w:tc>
        <w:tc>
          <w:tcPr>
            <w:tcW w:type="dxa" w:w="2560"/>
            <w:tcMar>
              <w:top w:type="dxa" w:w="60"/>
              <w:left w:type="dxa" w:w="100"/>
              <w:bottom w:type="dxa" w:w="60"/>
              <w:right w:type="dxa" w:w="100"/>
            </w:tcMar>
            <w:vAlign w:val="top"/>
          </w:tcPr>
          <w:p>
            <w:pPr>
              <w:spacing w:after="0"/>
            </w:pPr>
            <w:r>
              <w:rPr>
                <w:sz w:val="17"/>
                <w:szCs w:val="17"/>
              </w:rPr>
              <w:t xml:space="preserve">Estatuto y fuerza de cada afirmación</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Registro orientado por problemas</w:t>
            </w:r>
          </w:p>
        </w:tc>
        <w:tc>
          <w:tcPr>
            <w:tcW w:type="dxa" w:w="2150"/>
            <w:tcMar>
              <w:top w:type="dxa" w:w="60"/>
              <w:left w:type="dxa" w:w="100"/>
              <w:bottom w:type="dxa" w:w="60"/>
              <w:right w:type="dxa" w:w="100"/>
            </w:tcMar>
            <w:vAlign w:val="top"/>
          </w:tcPr>
          <w:p>
            <w:pPr>
              <w:spacing w:after="0"/>
            </w:pPr>
            <w:r>
              <w:rPr>
                <w:sz w:val="17"/>
                <w:szCs w:val="17"/>
              </w:rPr>
              <w:t xml:space="preserve">La continuidad longitudinal</w:t>
            </w:r>
          </w:p>
        </w:tc>
        <w:tc>
          <w:tcPr>
            <w:tcW w:type="dxa" w:w="2560"/>
            <w:tcMar>
              <w:top w:type="dxa" w:w="60"/>
              <w:left w:type="dxa" w:w="100"/>
              <w:bottom w:type="dxa" w:w="60"/>
              <w:right w:type="dxa" w:w="100"/>
            </w:tcMar>
            <w:vAlign w:val="top"/>
          </w:tcPr>
          <w:p>
            <w:pPr>
              <w:spacing w:after="0"/>
            </w:pPr>
            <w:r>
              <w:rPr>
                <w:sz w:val="17"/>
                <w:szCs w:val="17"/>
              </w:rPr>
              <w:t xml:space="preserve">Vincula problema, evaluación y plan</w:t>
            </w:r>
          </w:p>
        </w:tc>
        <w:tc>
          <w:tcPr>
            <w:tcW w:type="dxa" w:w="2560"/>
            <w:tcMar>
              <w:top w:type="dxa" w:w="60"/>
              <w:left w:type="dxa" w:w="100"/>
              <w:bottom w:type="dxa" w:w="60"/>
              <w:right w:type="dxa" w:w="100"/>
            </w:tcMar>
            <w:vAlign w:val="top"/>
          </w:tcPr>
          <w:p>
            <w:pPr>
              <w:spacing w:after="0"/>
            </w:pPr>
            <w:r>
              <w:rPr>
                <w:sz w:val="17"/>
                <w:szCs w:val="17"/>
              </w:rPr>
              <w:t xml:space="preserve">Distingue problema, hecho, hipótesis e incertidumbre</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Representación del problema</w:t>
            </w:r>
          </w:p>
        </w:tc>
        <w:tc>
          <w:tcPr>
            <w:tcW w:type="dxa" w:w="2150"/>
            <w:tcMar>
              <w:top w:type="dxa" w:w="60"/>
              <w:left w:type="dxa" w:w="100"/>
              <w:bottom w:type="dxa" w:w="60"/>
              <w:right w:type="dxa" w:w="100"/>
            </w:tcMar>
            <w:vAlign w:val="top"/>
          </w:tcPr>
          <w:p>
            <w:pPr>
              <w:spacing w:after="0"/>
            </w:pPr>
            <w:r>
              <w:rPr>
                <w:sz w:val="17"/>
                <w:szCs w:val="17"/>
              </w:rPr>
              <w:t xml:space="preserve">El caso</w:t>
            </w:r>
          </w:p>
        </w:tc>
        <w:tc>
          <w:tcPr>
            <w:tcW w:type="dxa" w:w="2560"/>
            <w:tcMar>
              <w:top w:type="dxa" w:w="60"/>
              <w:left w:type="dxa" w:w="100"/>
              <w:bottom w:type="dxa" w:w="60"/>
              <w:right w:type="dxa" w:w="100"/>
            </w:tcMar>
            <w:vAlign w:val="top"/>
          </w:tcPr>
          <w:p>
            <w:pPr>
              <w:spacing w:after="0"/>
            </w:pPr>
            <w:r>
              <w:rPr>
                <w:sz w:val="17"/>
                <w:szCs w:val="17"/>
              </w:rPr>
              <w:t xml:space="preserve">Compresión con calificadores semánticos</w:t>
            </w:r>
          </w:p>
        </w:tc>
        <w:tc>
          <w:tcPr>
            <w:tcW w:type="dxa" w:w="2560"/>
            <w:tcMar>
              <w:top w:type="dxa" w:w="60"/>
              <w:left w:type="dxa" w:w="100"/>
              <w:bottom w:type="dxa" w:w="60"/>
              <w:right w:type="dxa" w:w="100"/>
            </w:tcMar>
            <w:vAlign w:val="top"/>
          </w:tcPr>
          <w:p>
            <w:pPr>
              <w:spacing w:after="0"/>
            </w:pPr>
            <w:r>
              <w:rPr>
                <w:sz w:val="17"/>
                <w:szCs w:val="17"/>
              </w:rPr>
              <w:t xml:space="preserve">Procedencia, límites, decisión y reapertura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Illness scripts</w:t>
            </w:r>
          </w:p>
        </w:tc>
        <w:tc>
          <w:tcPr>
            <w:tcW w:type="dxa" w:w="2150"/>
            <w:tcMar>
              <w:top w:type="dxa" w:w="60"/>
              <w:left w:type="dxa" w:w="100"/>
              <w:bottom w:type="dxa" w:w="60"/>
              <w:right w:type="dxa" w:w="100"/>
            </w:tcMar>
            <w:vAlign w:val="top"/>
          </w:tcPr>
          <w:p>
            <w:pPr>
              <w:spacing w:after="0"/>
            </w:pPr>
            <w:r>
              <w:rPr>
                <w:sz w:val="17"/>
                <w:szCs w:val="17"/>
              </w:rPr>
              <w:t xml:space="preserve">El conocimiento experto</w:t>
            </w:r>
          </w:p>
        </w:tc>
        <w:tc>
          <w:tcPr>
            <w:tcW w:type="dxa" w:w="2560"/>
            <w:tcMar>
              <w:top w:type="dxa" w:w="60"/>
              <w:left w:type="dxa" w:w="100"/>
              <w:bottom w:type="dxa" w:w="60"/>
              <w:right w:type="dxa" w:w="100"/>
            </w:tcMar>
            <w:vAlign w:val="top"/>
          </w:tcPr>
          <w:p>
            <w:pPr>
              <w:spacing w:after="0"/>
            </w:pPr>
            <w:r>
              <w:rPr>
                <w:sz w:val="17"/>
                <w:szCs w:val="17"/>
              </w:rPr>
              <w:t xml:space="preserve">Condiciones, mecanismo y consecuencias</w:t>
            </w:r>
          </w:p>
        </w:tc>
        <w:tc>
          <w:tcPr>
            <w:tcW w:type="dxa" w:w="2560"/>
            <w:tcMar>
              <w:top w:type="dxa" w:w="60"/>
              <w:left w:type="dxa" w:w="100"/>
              <w:bottom w:type="dxa" w:w="60"/>
              <w:right w:type="dxa" w:w="100"/>
            </w:tcMar>
            <w:vAlign w:val="top"/>
          </w:tcPr>
          <w:p>
            <w:pPr>
              <w:spacing w:after="0"/>
            </w:pPr>
            <w:r>
              <w:rPr>
                <w:sz w:val="17"/>
                <w:szCs w:val="17"/>
              </w:rPr>
              <w:t xml:space="preserve">Audita su aplicación al paciente singular</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Doble proceso</w:t>
            </w:r>
          </w:p>
        </w:tc>
        <w:tc>
          <w:tcPr>
            <w:tcW w:type="dxa" w:w="2150"/>
            <w:tcMar>
              <w:top w:type="dxa" w:w="60"/>
              <w:left w:type="dxa" w:w="100"/>
              <w:bottom w:type="dxa" w:w="60"/>
              <w:right w:type="dxa" w:w="100"/>
            </w:tcMar>
            <w:vAlign w:val="top"/>
          </w:tcPr>
          <w:p>
            <w:pPr>
              <w:spacing w:after="0"/>
            </w:pPr>
            <w:r>
              <w:rPr>
                <w:sz w:val="17"/>
                <w:szCs w:val="17"/>
              </w:rPr>
              <w:t xml:space="preserve">Los modos de procesamiento</w:t>
            </w:r>
          </w:p>
        </w:tc>
        <w:tc>
          <w:tcPr>
            <w:tcW w:type="dxa" w:w="2560"/>
            <w:tcMar>
              <w:top w:type="dxa" w:w="60"/>
              <w:left w:type="dxa" w:w="100"/>
              <w:bottom w:type="dxa" w:w="60"/>
              <w:right w:type="dxa" w:w="100"/>
            </w:tcMar>
            <w:vAlign w:val="top"/>
          </w:tcPr>
          <w:p>
            <w:pPr>
              <w:spacing w:after="0"/>
            </w:pPr>
            <w:r>
              <w:rPr>
                <w:sz w:val="17"/>
                <w:szCs w:val="17"/>
              </w:rPr>
              <w:t xml:space="preserve">Rapidez, intuición y deliberación</w:t>
            </w:r>
          </w:p>
        </w:tc>
        <w:tc>
          <w:tcPr>
            <w:tcW w:type="dxa" w:w="2560"/>
            <w:tcMar>
              <w:top w:type="dxa" w:w="60"/>
              <w:left w:type="dxa" w:w="100"/>
              <w:bottom w:type="dxa" w:w="60"/>
              <w:right w:type="dxa" w:w="100"/>
            </w:tcMar>
            <w:vAlign w:val="top"/>
          </w:tcPr>
          <w:p>
            <w:pPr>
              <w:spacing w:after="0"/>
            </w:pPr>
            <w:r>
              <w:rPr>
                <w:sz w:val="17"/>
                <w:szCs w:val="17"/>
              </w:rPr>
              <w:t xml:space="preserve">No infiere el proceso sólo desde el producto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Reflexión deliberada</w:t>
            </w:r>
          </w:p>
        </w:tc>
        <w:tc>
          <w:tcPr>
            <w:tcW w:type="dxa" w:w="2150"/>
            <w:tcMar>
              <w:top w:type="dxa" w:w="60"/>
              <w:left w:type="dxa" w:w="100"/>
              <w:bottom w:type="dxa" w:w="60"/>
              <w:right w:type="dxa" w:w="100"/>
            </w:tcMar>
            <w:vAlign w:val="top"/>
          </w:tcPr>
          <w:p>
            <w:pPr>
              <w:spacing w:after="0"/>
            </w:pPr>
            <w:r>
              <w:rPr>
                <w:sz w:val="17"/>
                <w:szCs w:val="17"/>
              </w:rPr>
              <w:t xml:space="preserve">Las hipótesis rivales</w:t>
            </w:r>
          </w:p>
        </w:tc>
        <w:tc>
          <w:tcPr>
            <w:tcW w:type="dxa" w:w="2560"/>
            <w:tcMar>
              <w:top w:type="dxa" w:w="60"/>
              <w:left w:type="dxa" w:w="100"/>
              <w:bottom w:type="dxa" w:w="60"/>
              <w:right w:type="dxa" w:w="100"/>
            </w:tcMar>
            <w:vAlign w:val="top"/>
          </w:tcPr>
          <w:p>
            <w:pPr>
              <w:spacing w:after="0"/>
            </w:pPr>
            <w:r>
              <w:rPr>
                <w:sz w:val="17"/>
                <w:szCs w:val="17"/>
              </w:rPr>
              <w:t xml:space="preserve">Evidencia a favor y en contra</w:t>
            </w:r>
          </w:p>
        </w:tc>
        <w:tc>
          <w:tcPr>
            <w:tcW w:type="dxa" w:w="2560"/>
            <w:tcMar>
              <w:top w:type="dxa" w:w="60"/>
              <w:left w:type="dxa" w:w="100"/>
              <w:bottom w:type="dxa" w:w="60"/>
              <w:right w:type="dxa" w:w="100"/>
            </w:tcMar>
            <w:vAlign w:val="top"/>
          </w:tcPr>
          <w:p>
            <w:pPr>
              <w:spacing w:after="0"/>
            </w:pPr>
            <w:r>
              <w:rPr>
                <w:sz w:val="17"/>
                <w:szCs w:val="17"/>
              </w:rPr>
              <w:t xml:space="preserve">Umbral, acción, responsabilidad y reevaluación</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Modelo metacognitivo</w:t>
            </w:r>
          </w:p>
        </w:tc>
        <w:tc>
          <w:tcPr>
            <w:tcW w:type="dxa" w:w="2150"/>
            <w:tcMar>
              <w:top w:type="dxa" w:w="60"/>
              <w:left w:type="dxa" w:w="100"/>
              <w:bottom w:type="dxa" w:w="60"/>
              <w:right w:type="dxa" w:w="100"/>
            </w:tcMar>
            <w:vAlign w:val="top"/>
          </w:tcPr>
          <w:p>
            <w:pPr>
              <w:spacing w:after="0"/>
            </w:pPr>
            <w:r>
              <w:rPr>
                <w:sz w:val="17"/>
                <w:szCs w:val="17"/>
              </w:rPr>
              <w:t xml:space="preserve">El monitoreo y la regulación</w:t>
            </w:r>
          </w:p>
        </w:tc>
        <w:tc>
          <w:tcPr>
            <w:tcW w:type="dxa" w:w="2560"/>
            <w:tcMar>
              <w:top w:type="dxa" w:w="60"/>
              <w:left w:type="dxa" w:w="100"/>
              <w:bottom w:type="dxa" w:w="60"/>
              <w:right w:type="dxa" w:w="100"/>
            </w:tcMar>
            <w:vAlign w:val="top"/>
          </w:tcPr>
          <w:p>
            <w:pPr>
              <w:spacing w:after="0"/>
            </w:pPr>
            <w:r>
              <w:rPr>
                <w:sz w:val="17"/>
                <w:szCs w:val="17"/>
              </w:rPr>
              <w:t xml:space="preserve">Supervisa confianza y estrategia</w:t>
            </w:r>
          </w:p>
        </w:tc>
        <w:tc>
          <w:tcPr>
            <w:tcW w:type="dxa" w:w="2560"/>
            <w:tcMar>
              <w:top w:type="dxa" w:w="60"/>
              <w:left w:type="dxa" w:w="100"/>
              <w:bottom w:type="dxa" w:w="60"/>
              <w:right w:type="dxa" w:w="100"/>
            </w:tcMar>
            <w:vAlign w:val="top"/>
          </w:tcPr>
          <w:p>
            <w:pPr>
              <w:spacing w:after="0"/>
            </w:pPr>
            <w:r>
              <w:rPr>
                <w:sz w:val="17"/>
                <w:szCs w:val="17"/>
              </w:rPr>
              <w:t xml:space="preserve">Examina el producto lingüístico, documental y colectivo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Seguridad diagnóstica</w:t>
            </w:r>
          </w:p>
        </w:tc>
        <w:tc>
          <w:tcPr>
            <w:tcW w:type="dxa" w:w="2150"/>
            <w:tcMar>
              <w:top w:type="dxa" w:w="60"/>
              <w:left w:type="dxa" w:w="100"/>
              <w:bottom w:type="dxa" w:w="60"/>
              <w:right w:type="dxa" w:w="100"/>
            </w:tcMar>
            <w:vAlign w:val="top"/>
          </w:tcPr>
          <w:p>
            <w:pPr>
              <w:spacing w:after="0"/>
            </w:pPr>
            <w:r>
              <w:rPr>
                <w:sz w:val="17"/>
                <w:szCs w:val="17"/>
              </w:rPr>
              <w:t xml:space="preserve">La trayectoria y el sistema</w:t>
            </w:r>
          </w:p>
        </w:tc>
        <w:tc>
          <w:tcPr>
            <w:tcW w:type="dxa" w:w="2560"/>
            <w:tcMar>
              <w:top w:type="dxa" w:w="60"/>
              <w:left w:type="dxa" w:w="100"/>
              <w:bottom w:type="dxa" w:w="60"/>
              <w:right w:type="dxa" w:w="100"/>
            </w:tcMar>
            <w:vAlign w:val="top"/>
          </w:tcPr>
          <w:p>
            <w:pPr>
              <w:spacing w:after="0"/>
            </w:pPr>
            <w:r>
              <w:rPr>
                <w:sz w:val="17"/>
                <w:szCs w:val="17"/>
              </w:rPr>
              <w:t xml:space="preserve">Previene pérdidas y demoras</w:t>
            </w:r>
          </w:p>
        </w:tc>
        <w:tc>
          <w:tcPr>
            <w:tcW w:type="dxa" w:w="2560"/>
            <w:tcMar>
              <w:top w:type="dxa" w:w="60"/>
              <w:left w:type="dxa" w:w="100"/>
              <w:bottom w:type="dxa" w:w="60"/>
              <w:right w:type="dxa" w:w="100"/>
            </w:tcMar>
            <w:vAlign w:val="top"/>
          </w:tcPr>
          <w:p>
            <w:pPr>
              <w:spacing w:after="0"/>
            </w:pPr>
            <w:r>
              <w:rPr>
                <w:sz w:val="17"/>
                <w:szCs w:val="17"/>
              </w:rPr>
              <w:t xml:space="preserve">Gramática microclínica de la afirmación</w:t>
            </w:r>
          </w:p>
        </w:tc>
      </w:tr>
    </w:tbl>
    <w:p>
      <w:pPr>
        <w:spacing w:after="120"/>
      </w:pPr>
    </w:p>
    <w:p>
      <w:pPr>
        <w:pStyle w:val="BodyJ"/>
        <w:keepNext w:val="false"/>
      </w:pPr>
      <w:r>
        <w:t xml:space="preserve">HII-D no reemplaza a ninguno: opera como una capa de auditoría que puede usarse dentro de una nota SOAP, de una representación del problema, de una discusión diagnóstica o de una revisión de seguridad. Si un servicio ya trabaja bien con alguno de estos marcos, HII-D no le pide cambiarlo; le pide que cada afirmación importante pueda responder de dónde viene, cuánto pesa y qué la haría caer.</w:t>
      </w:r>
    </w:p>
    <w:p>
      <w:pPr>
        <w:pStyle w:val="BodyJ"/>
        <w:keepNext w:val="false"/>
      </w:pPr>
      <w:r>
        <w:t xml:space="preserve">El léxico de certeza tampoco nace aquí. En 1964, Sherman Kent propuso a los analistas de inteligencia de su país una escala de palabras con probabilidades asignadas —«casi seguro», alrededor de 93%; «probable», alrededor de 75%— después de comprobar que los miembros de un mismo comité habían leído «una posibilidad seria» como cualquier cosa entre 20% y 80% (Kent, 1964). En radiología, el servicio que creó un léxico así lo incluye en cada informe desde 2009 (Panicek &amp; Hricak, 2016). Cuando se preguntó a 142 radiólogos de un mismo hospital qué frase preferían para cada grado de certeza, el acuerdo fue bajo (alfa de Krippendorff de 0,217) (Shinagare et al., 2019), y una escala con porcentajes adoptada después por doce radiólogos voluntarios aumentó el uso de los términos recomendados de 80,0% a 85,8% (Shinagare et al., 2020). En población general, una revisión sistemática encontró que el valor atribuido a una misma palabra varía tanto que «raro» significó en promedio entre 7% y 21% según el estudio, y que en diez de doce muestras la mayoría prefería cifras, solas o junto a las palabras (Andreadis et al., 2021). Dos diferencias con esas escalas son deliberadas y conviene declararlas: este léxico gradúa inferencias dentro de la nota clínica y todavía no asigna números a sus palabras —esa traducción es parte del piloto pendiente—, y usa «posible» como un peldaño, cuando Kent lo dejaba a propósito fuera de la escala, sin probabilidad asignada.</w:t>
      </w:r>
    </w:p>
    <w:p>
      <w:pPr>
        <w:pStyle w:val="Heading3"/>
        <w:keepNext/>
        <w:keepLines/>
        <w:spacing w:after="120" w:before="280"/>
      </w:pPr>
      <w:r>
        <w:rPr>
          <w:rFonts w:ascii="Gelasio" w:cs="Gelasio" w:eastAsia="Gelasio" w:hAnsi="Gelasio"/>
          <w:b/>
          <w:bCs/>
          <w:color w:val="2B2B2B"/>
          <w:sz w:val="25"/>
          <w:szCs w:val="25"/>
        </w:rPr>
        <w:t xml:space="preserve">Paso 1. Definir la pregunta</w:t>
      </w:r>
    </w:p>
    <w:p>
      <w:pPr>
        <w:pStyle w:val="BodyJ"/>
        <w:keepNext w:val="false"/>
      </w:pPr>
      <w:r>
        <w:t xml:space="preserve">Antes de ordenar datos, precise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keepNext w:val="false"/>
      </w:pPr>
      <w:r>
        <w:t xml:space="preserve">La misma información adquiere distinta relevancia según la pregunta. Definirla evita estudiar todo sin jerarquía. Para Carmen, al tercer día, la pregunta no era «¿qué tiene?» sino «¿qué pasa si vuelve a ocurrir?», y de esa pregunta dependía si la hernia se opera o se sigue esperando.</w:t>
      </w:r>
    </w:p>
    <w:p>
      <w:pPr>
        <w:pStyle w:val="Heading3"/>
        <w:keepNext/>
        <w:keepLines/>
        <w:spacing w:after="120" w:before="280"/>
      </w:pPr>
      <w:r>
        <w:rPr>
          <w:rFonts w:ascii="Gelasio" w:cs="Gelasio" w:eastAsia="Gelasio" w:hAnsi="Gelasio"/>
          <w:b/>
          <w:bCs/>
          <w:color w:val="2B2B2B"/>
          <w:sz w:val="25"/>
          <w:szCs w:val="25"/>
        </w:rPr>
        <w:t xml:space="preserve">Paso 2. Inventariar hechos y procedencia</w:t>
      </w:r>
    </w:p>
    <w:p>
      <w:pPr>
        <w:pStyle w:val="BodyJ"/>
        <w:keepNext w:val="false"/>
      </w:pPr>
      <w:r>
        <w:t xml:space="preserve">Se seleccionan hechos capaces de modificar la respuesta. Cada uno conserva fuente, fecha, tendencia y limitación. Debe distinguirse dato presente, hallazgo negativo, dato ausente y dato no evaluable.</w:t>
      </w:r>
    </w:p>
    <w:p>
      <w:pPr>
        <w:pStyle w:val="BodyJ"/>
        <w:keepNext w:val="false"/>
      </w:pPr>
      <w:r>
        <w:t xml:space="preserve">Una técnica útil es escribir primero sin diagnósticos: edad y contexto; temporalidad; fisiología; examen; microbiología; imagen; respuesta; antecedentes que modifican prior. Esta suspensión breve impide que la etiqueta ordene retroactivamente los datos. Los hechos decisivos de Carmen caben en una línea cada uno, con su fuente: cuarto episodio en doce meses; presión arterial media de 55 mmHg y 112 latidos por minuto; lactato de 3,9 mmol/L a las 04:15 y de 2,3 en el control; llene capilar de tres a cuatro segundos medido por Marcela; hemocultivos positivos a las 12 horas; tomografía sin isquemia; y la frase textual «esta vez la hernia no se dejó acomodar».</w:t>
      </w:r>
    </w:p>
    <w:p>
      <w:pPr>
        <w:pStyle w:val="Heading3"/>
        <w:keepNext/>
        <w:keepLines/>
        <w:spacing w:after="120" w:before="280"/>
      </w:pPr>
      <w:r>
        <w:rPr>
          <w:rFonts w:ascii="Gelasio" w:cs="Gelasio" w:eastAsia="Gelasio" w:hAnsi="Gelasio"/>
          <w:b/>
          <w:bCs/>
          <w:color w:val="2B2B2B"/>
          <w:sz w:val="25"/>
          <w:szCs w:val="25"/>
        </w:rPr>
        <w:t xml:space="preserve">Paso 3. Formular inferencias graduadas</w:t>
      </w:r>
    </w:p>
    <w:p>
      <w:pPr>
        <w:pStyle w:val="BodyJ"/>
        <w:keepNext w:val="false"/>
      </w:pPr>
      <w:r>
        <w:t xml:space="preserve">Se propone una representación principal y, si importa, alternativas. Cada inferencia se acompaña de una fuerza verbal proporcional: demostrado, altamente probable, probable, posible o no demostrado. Deben explicitarse los enlaces causales no observados.</w:t>
      </w:r>
    </w:p>
    <w:p>
      <w:pPr>
        <w:pStyle w:val="BodyJ"/>
        <w:keepNext w:val="false"/>
      </w:pPr>
      <w:r>
        <w:t xml:space="preserve">Una inferencia clínica útil explica por qué los hechos se agrupan y qué predice. Si no cambia comprensión, conducta o vigilancia, quizá sea sólo un nombre. En Carmen, tres inferencias con tres grados: obstrucción mecánica, demostrada; sepsis de foco abdominal, altamente probable; isquemia parietal transitoria, posible. Una nota apurada las habría escrito con el mismo verbo.</w:t>
      </w:r>
    </w:p>
    <w:p>
      <w:pPr>
        <w:pStyle w:val="Heading3"/>
        <w:keepNext/>
        <w:keepLines/>
        <w:spacing w:after="120" w:before="280"/>
      </w:pPr>
      <w:r>
        <w:rPr>
          <w:rFonts w:ascii="Gelasio" w:cs="Gelasio" w:eastAsia="Gelasio" w:hAnsi="Gelasio"/>
          <w:b/>
          <w:bCs/>
          <w:color w:val="2B2B2B"/>
          <w:sz w:val="25"/>
          <w:szCs w:val="25"/>
        </w:rPr>
        <w:t xml:space="preserve">Paso 4. Mapear incertidumbre</w:t>
      </w:r>
    </w:p>
    <w:p>
      <w:pPr>
        <w:pStyle w:val="BodyJ"/>
        <w:keepNext w:val="false"/>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keepNext w:val="false"/>
      </w:pPr>
      <w:r>
        <w:t xml:space="preserve">Aquí se reconoce la diferencia entre «no sé la etiología exacta» y «no sé si existe una amenaza inmediata». La segunda suele dominar la acción. La incertidumbre peligrosa de Carmen no era etiológica sino pronóstica: cuándo volverá a obstruirse y con qué gravedad. Ningún examen la reduce; la trayectoria la desplazó.</w:t>
      </w:r>
    </w:p>
    <w:p>
      <w:pPr>
        <w:pStyle w:val="Heading3"/>
        <w:keepNext/>
        <w:keepLines/>
        <w:spacing w:after="120" w:before="280"/>
      </w:pPr>
      <w:r>
        <w:rPr>
          <w:rFonts w:ascii="Gelasio" w:cs="Gelasio" w:eastAsia="Gelasio" w:hAnsi="Gelasio"/>
          <w:b/>
          <w:bCs/>
          <w:color w:val="2B2B2B"/>
          <w:sz w:val="25"/>
          <w:szCs w:val="25"/>
        </w:rPr>
        <w:t xml:space="preserve">Paso 5. Decidir por umbral y consecuencias</w:t>
      </w:r>
    </w:p>
    <w:p>
      <w:pPr>
        <w:pStyle w:val="BodyJ"/>
        <w:keepNext w:val="false"/>
      </w:pPr>
      <w:r>
        <w:t xml:space="preserve">La decisión integra probabilidad, gravedad, tiempo, reversibilidad, capacidad de monitorización y valores, y también el contexto global del paciente: funcionalidad basal, pronóstico de fondo, red de apoyo y fines declarados, los hechos que el capítulo 10 llamó de pleno derecho. Debe poder formularse: «aunque X no está demostrado, actúo porque…» o «aunque X es posible, no actúo todavía porque…». Esta frase obliga a distinguir compromiso práctico de certeza epistémica. Y ante intervenciones mayores, la pregunta de proporcionalidad cierra la capa: ¿esta medida guarda proporción con el pronóstico y con los fines de este enfermo?</w:t>
      </w:r>
    </w:p>
    <w:p>
      <w:pPr>
        <w:pStyle w:val="BodyJ"/>
        <w:keepNext w:val="false"/>
      </w:pPr>
      <w:r>
        <w:t xml:space="preserve">Toda decisión incluye un plan de reapertura: criterio clínico, resultado pendiente, plazo o evento. Sin él, HII-D queda incompleto. Así quedó escrita la de Carmen: reparación electiva tras la recuperación, porque el costo esperado de un quinto episodio fuera del hospital supera el riesgo de una cirugía programada; reevaluar si aparece dolor desproporcionado, fiebre o íleo antes de pabellón; responsable, el equipo tratante. La plantilla condensada que recoge estas ocho líneas está en el Apéndice A, y el Interludio I es su primera versión completa.</w:t>
      </w:r>
    </w:p>
    <w:p>
      <w:pPr>
        <w:pStyle w:val="TallerHead"/>
        <w:keepNext/>
        <w:keepLines/>
      </w:pPr>
      <w:r>
        <w:t xml:space="preserve">Caja de herramientas. HII-D en sesenta segundos</w:t>
      </w:r>
    </w:p>
    <w:p>
      <w:pPr>
        <w:pStyle w:val="BodyJ"/>
        <w:keepNext/>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keepNext/>
        <w:numPr>
          <w:ilvl w:val="0"/>
          <w:numId w:val="20"/>
        </w:numPr>
      </w:pPr>
      <w:r>
        <w:rPr>
          <w:b/>
          <w:bCs/>
        </w:rPr>
        <w:t xml:space="preserve">¿Qué vi y qué me contaron?</w:t>
      </w:r>
      <w:r>
        <w:t xml:space="preserve"> (un hecho decisivo, con su fuente)</w:t>
      </w:r>
    </w:p>
    <w:p>
      <w:pPr>
        <w:pStyle w:val="BodyJ"/>
        <w:keepNext/>
        <w:numPr>
          <w:ilvl w:val="0"/>
          <w:numId w:val="20"/>
        </w:numPr>
      </w:pPr>
      <w:r>
        <w:rPr>
          <w:b/>
          <w:bCs/>
        </w:rPr>
        <w:t xml:space="preserve">¿Qué creo y cuánto derecho tengo a creerlo?</w:t>
      </w:r>
      <w:r>
        <w:t xml:space="preserve"> (la inferencia principal, con su grado)</w:t>
      </w:r>
    </w:p>
    <w:p>
      <w:pPr>
        <w:pStyle w:val="BodyJ"/>
        <w:keepNext/>
        <w:numPr>
          <w:ilvl w:val="0"/>
          <w:numId w:val="20"/>
        </w:numPr>
      </w:pPr>
      <w:r>
        <w:rPr>
          <w:b/>
          <w:bCs/>
        </w:rPr>
        <w:t xml:space="preserve">¿Qué daño importante podría producir si estoy equivocado?</w:t>
      </w:r>
      <w:r>
        <w:t xml:space="preserve"> (la incertidumbre peligrosa, no todas)</w:t>
      </w:r>
    </w:p>
    <w:p>
      <w:pPr>
        <w:pStyle w:val="BodyJ"/>
        <w:keepNext w:val="false"/>
        <w:numPr>
          <w:ilvl w:val="0"/>
          <w:numId w:val="20"/>
        </w:numPr>
      </w:pPr>
      <w:r>
        <w:rPr>
          <w:b/>
          <w:bCs/>
        </w:rPr>
        <w:t xml:space="preserve">¿Qué hago y qué me haría cambiar antes del próximo control?</w:t>
      </w:r>
      <w:r>
        <w:t xml:space="preserve"> (decisión con criterio de reapertura)</w:t>
      </w:r>
    </w:p>
    <w:p>
      <w:pPr>
        <w:pStyle w:val="BodyJ"/>
        <w:keepNext w:val="false"/>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keepNext/>
        <w:keepLines/>
        <w:spacing w:after="120" w:before="280"/>
      </w:pPr>
      <w:r>
        <w:rPr>
          <w:rFonts w:ascii="Gelasio" w:cs="Gelasio" w:eastAsia="Gelasio" w:hAnsi="Gelasio"/>
          <w:b/>
          <w:bCs/>
          <w:color w:val="2B2B2B"/>
          <w:sz w:val="25"/>
          <w:szCs w:val="25"/>
        </w:rPr>
        <w:t xml:space="preserve">Uso en equipo, calibración y auditoría</w:t>
      </w:r>
    </w:p>
    <w:p>
      <w:pPr>
        <w:pStyle w:val="BodyJ"/>
        <w:keepNext w:val="false"/>
      </w:pPr>
      <w:r>
        <w:t xml:space="preserve">En una visita de sala,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keepNext w:val="false"/>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BodyJ"/>
        <w:keepNext w:val="false"/>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keepNext w:val="false"/>
      </w:pPr>
      <w:r>
        <w:t xml:space="preserve">La calibración requiere comparar predicciones con resultados. Cuando sea posible, registre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keepNext/>
        <w:keepLines/>
        <w:spacing w:after="120" w:before="280"/>
      </w:pPr>
      <w:r>
        <w:rPr>
          <w:rFonts w:ascii="Gelasio" w:cs="Gelasio" w:eastAsia="Gelasio" w:hAnsi="Gelasio"/>
          <w:b/>
          <w:bCs/>
          <w:color w:val="2B2B2B"/>
          <w:sz w:val="25"/>
          <w:szCs w:val="25"/>
        </w:rPr>
        <w:t xml:space="preserve">Qué evidencia me haría abandonar este método</w:t>
      </w:r>
    </w:p>
    <w:p>
      <w:pPr>
        <w:pStyle w:val="BodyJ"/>
        <w:keepNext w:val="false"/>
      </w:pPr>
      <w:r>
        <w:t xml:space="preserve">Un libro que exige compromisos observables a cada hipótesis clínica debe formular los suyos. Estos son los míos.</w:t>
      </w:r>
    </w:p>
    <w:p>
      <w:pPr>
        <w:pStyle w:val="BodyJ"/>
        <w:keepNext w:val="false"/>
      </w:pPr>
      <w:r>
        <w:t xml:space="preserve">Primero: si clínicos entrenados no logran un acuerdo razonable al clasificar las frases de una nota en hechos, inferencias e incertidumbre, la distinción central del método es subjetiva en la práctica, y HII-D debe reformularse o abandonarse. Medirlo no exige más que notas reales y dos o tres lectores: la unidad es la proposición (cada cláusula que afirma algo), cada lector la asigna por separado a una capa, y el acuerdo se mide con un índice corregido por azar, como kappa, contra un umbral fijado antes de mirar los datos; un kappa bajo 0,6 bastaría para reabrir el método. La trazabilidad que promete depende de que las capas sean reconocibles entre lectores, no sólo para quien escribe.</w:t>
      </w:r>
    </w:p>
    <w:p>
      <w:pPr>
        <w:pStyle w:val="BodyJ"/>
        <w:keepNext w:val="false"/>
      </w:pPr>
      <w:r>
        <w:t xml:space="preserve">Segundo: si las notas escritas con esta disciplina no difieren de las convencionales en instrumentos validados de calidad de registro, como el PDQI-9 (Stetson et al., 2012), ni en la capacidad de otro clínico para reconstruir el razonamiento a partir de ellas, el método es cosmética con nombre propio. La segunda prueba es la que importa: un clínico que no conoce al paciente lee la nota y escribe qué se sabe, qué se cree y con cuánta fuerza, y qué haría cambiar el plan; un evaluador que no sabe con qué formato se escribió compara esas respuestas con las del autor.</w:t>
      </w:r>
    </w:p>
    <w:p>
      <w:pPr>
        <w:pStyle w:val="BodyJ"/>
        <w:keepNext w:val="false"/>
      </w:pPr>
      <w:r>
        <w:t xml:space="preserve">Tercero: si un servicio que adopta el léxico de certeza no mueve en seis meses ninguno de los tres indicadores del Apéndice C, medidos en una muestra mensual de fichas antes y después de adoptarlo —ningún «se descarta» reconvertido, ningún criterio de reapertura agregado, ninguna vigilancia activada que antes no existía—, el léxico es un póster, no una herramienta.</w:t>
      </w:r>
    </w:p>
    <w:p>
      <w:pPr>
        <w:pStyle w:val="BodyJ"/>
        <w:keepNext w:val="false"/>
      </w:pPr>
      <w:r>
        <w:t xml:space="preserve">Cuarto: si los minutos que la versión completa agrega a cada nota, cronometrados, no se pagan con cambios en las tres pruebas anteriores, la respuesta racional no es la fe sino la poda: quedarse con la versión de sesenta segundos, o con nada.</w:t>
      </w:r>
    </w:p>
    <w:p>
      <w:pPr>
        <w:pStyle w:val="BodyJ"/>
        <w:keepNext w:val="false"/>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keepNext/>
        <w:keepLines/>
        <w:spacing w:after="120" w:before="280"/>
      </w:pPr>
      <w:r>
        <w:rPr>
          <w:rFonts w:ascii="Gelasio" w:cs="Gelasio" w:eastAsia="Gelasio" w:hAnsi="Gelasio"/>
          <w:b/>
          <w:bCs/>
          <w:color w:val="2B2B2B"/>
          <w:sz w:val="25"/>
          <w:szCs w:val="25"/>
        </w:rPr>
        <w:t xml:space="preserve">Límites</w:t>
      </w:r>
    </w:p>
    <w:p>
      <w:pPr>
        <w:pStyle w:val="BodyJ"/>
        <w:keepNext w:val="false"/>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pide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keepNext w:val="false"/>
      </w:pPr>
      <w:r>
        <w:t xml:space="preserve">El valor del método depende de una actitud: aceptar que la claridad no consiste en eliminar la complejidad, sino en ordenar qué tipo de conocimiento representa cada afirmación.</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keepNext/>
        <w:spacing w:after="80" w:before="160"/>
      </w:pPr>
      <w:r>
        <w:rPr>
          <w:b/>
          <w:bCs/>
        </w:rPr>
        <w:t xml:space="preserve">Tres preguntas para la próxima visita.</w:t>
      </w:r>
    </w:p>
    <w:p>
      <w:pPr>
        <w:pStyle w:val="BodyJ"/>
        <w:keepNext/>
        <w:numPr>
          <w:ilvl w:val="0"/>
          <w:numId w:val="21"/>
        </w:numPr>
      </w:pPr>
      <w:r>
        <w:t xml:space="preserve">¿Cuál es la pregunta operativa de mi caso más difícil —la decisión real en juego, no «el diagnóstico»—?</w:t>
      </w:r>
    </w:p>
    <w:p>
      <w:pPr>
        <w:pStyle w:val="BodyJ"/>
        <w:keepNext/>
        <w:numPr>
          <w:ilvl w:val="0"/>
          <w:numId w:val="21"/>
        </w:numPr>
      </w:pPr>
      <w:r>
        <w:t xml:space="preserve">¿Mi nota de hoy permite a otro médico reconstruir mis cuatro capas, o sólo mi conclusión?</w:t>
      </w:r>
    </w:p>
    <w:p>
      <w:pPr>
        <w:pStyle w:val="BodyJ"/>
        <w:keepNext w:val="false"/>
        <w:numPr>
          <w:ilvl w:val="0"/>
          <w:numId w:val="21"/>
        </w:numPr>
      </w:pPr>
      <w:r>
        <w:t xml:space="preserve">¿Qué decisión de esta semana tomé sin criterio de reapertura, y todavía estoy a tiempo de escribirlo?</w:t>
      </w:r>
    </w:p>
    <w:p>
      <w:pPr>
        <w:pStyle w:val="Heading2"/>
        <w:keepNext/>
        <w:keepLines/>
        <w:pageBreakBefore/>
        <w:spacing w:after="300" w:before="600"/>
      </w:pPr>
      <w:r>
        <w:rPr>
          <w:rFonts w:ascii="Gelasio" w:cs="Gelasio" w:eastAsia="Gelasio" w:hAnsi="Gelasio"/>
          <w:b/>
          <w:bCs/>
          <w:color w:val="8C2F2F"/>
          <w:sz w:val="22"/>
          <w:szCs w:val="22"/>
        </w:rPr>
        <w:t xml:space="preserve">Cuaderno de casos</w:t>
      </w:r>
      <w:r>
        <w:rPr>
          <w:rFonts w:ascii="Gelasio" w:cs="Gelasio" w:eastAsia="Gelasio" w:hAnsi="Gelasio"/>
          <w:b/>
          <w:bCs/>
          <w:color w:val="3D5A6C"/>
          <w:sz w:val="32"/>
          <w:szCs w:val="32"/>
        </w:rPr>
        <w:br/>
        <w:t xml:space="preserve">Ocho viñetas para una lectura metacognitiva</w:t>
      </w:r>
    </w:p>
    <w:p>
      <w:pPr>
        <w:pStyle w:val="BodyJ"/>
        <w:keepNext w:val="false"/>
      </w:pPr>
      <w:r>
        <w:t xml:space="preserve">Las viñetas siguientes son composiciones docentes. Cada una se presenta con la estructura HII-D y una frase medular, salvo las dos primeras: vuelven a casos que el libro ya escribió en capas (el Interludio I y el capítulo 12) y guardan sólo lo que esas versiones no tienen. No son casos «resueltos»: son casos representados. La invitación es leer cada uno dos veces —primero como clínico, buscando la conducta; después como lector metacognitivo, observando qué hace cada capa—.</w:t>
      </w:r>
    </w:p>
    <w:p>
      <w:pPr>
        <w:pStyle w:val="Heading3"/>
        <w:keepNext/>
        <w:keepLines/>
        <w:spacing w:after="120" w:before="280"/>
      </w:pPr>
      <w:r>
        <w:rPr>
          <w:rFonts w:ascii="Gelasio" w:cs="Gelasio" w:eastAsia="Gelasio" w:hAnsi="Gelasio"/>
          <w:b/>
          <w:bCs/>
          <w:color w:val="2B2B2B"/>
          <w:sz w:val="25"/>
          <w:szCs w:val="25"/>
        </w:rPr>
        <w:t xml:space="preserve">Viñeta 1. Carmen: obstrucción recurrente y cambio cualitativo de riesgo</w:t>
      </w:r>
    </w:p>
    <w:p>
      <w:pPr>
        <w:pStyle w:val="BodyJ"/>
        <w:keepNext w:val="false"/>
      </w:pPr>
      <w:r>
        <w:t xml:space="preserve">La historia de Carmen atraviesa todo este libro. Sus datos y sus cuatro capas están escritos en el Interludio I, y no se repiten aquí; esta viñeta guarda lo que cabe en una entrega de turno y el final que el libro le debía.</w:t>
      </w:r>
    </w:p>
    <w:p>
      <w:pPr>
        <w:pStyle w:val="BodyJ"/>
        <w:keepNext w:val="false"/>
      </w:pPr>
      <w:r>
        <w:t xml:space="preserve">Mujer de 61 años con hernia incisional de la línea media y tres suboclusiones en el último año, resueltas con manejo médico. Ingresa por un cuarto episodio, esta vez con shock séptico y bacteriemia por gramnegativos, que responde en pocas horas a la reanimación y a los antibióticos; la tomografía no muestra isquemia ni perforación, y el abdomen no tiene signos peritoneales. La cirugía de urgencia no está indicada; la pregunta es otra: qué pasa si vuelve a ocurrir.</w:t>
      </w:r>
    </w:p>
    <w:p>
      <w:pPr>
        <w:pStyle w:val="BodyJ"/>
        <w:keepNext w:val="false"/>
      </w:pPr>
      <w:r>
        <w:rPr>
          <w:i/>
          <w:iCs/>
        </w:rPr>
        <w:t xml:space="preserve">Frase medular:</w:t>
      </w:r>
      <w:r>
        <w:t xml:space="preserve"> «Obstrucción intestinal recurrente por hernia incisional, por primera vez complicada con shock séptico y bacteriemia, sin isquemia aguda en tomografía. El salto cualitativo de gravedad modifica el umbral terapéutico y justifica priorizar la reparación electiva tras la recuperación fisiológica.»</w:t>
      </w:r>
    </w:p>
    <w:p>
      <w:pPr>
        <w:pStyle w:val="BodyJ"/>
        <w:keepNext w:val="false"/>
      </w:pPr>
      <w:r>
        <w:rPr>
          <w:i/>
          <w:iCs/>
        </w:rPr>
        <w:t xml:space="preserve">Epílogo.</w:t>
      </w:r>
      <w:r>
        <w:t xml:space="preserve"> Carmen fue operada de forma programada seis semanas después. En pabellón se encontraron adherencias firmes y un anillo herniario estrecho, reparado sin incidentes mayores. En su control ambulatorio al mes, Carmen formuló su propio balance del proceso: «Esta vez el dolor tenía una explicación clara, y saber qué estábamos haciendo lo cambió todo». Su buena evolución no demuestra, por sí sola, que la indicación haya sido acertada: un desenlace feliz nunca valida retroactivamente un proceso defectuoso. Lo que cuenta es que la decisión era defendible antes de conocer el resultado, que es todo lo que puede exigírsele al juicio médico. La anotación rápida de su primera madrugada en urgencias —«cuadro habitual, manejo habitual»— permaneció en la ficha como testimonio de lo que una semana de trabajo epistémico permitió transformar.</w:t>
      </w:r>
    </w:p>
    <w:p>
      <w:pPr>
        <w:pStyle w:val="Heading3"/>
        <w:keepNext/>
        <w:keepLines/>
        <w:spacing w:after="120" w:before="280"/>
      </w:pPr>
      <w:r>
        <w:rPr>
          <w:rFonts w:ascii="Gelasio" w:cs="Gelasio" w:eastAsia="Gelasio" w:hAnsi="Gelasio"/>
          <w:b/>
          <w:bCs/>
          <w:color w:val="2B2B2B"/>
          <w:sz w:val="25"/>
          <w:szCs w:val="25"/>
        </w:rPr>
        <w:t xml:space="preserve">Viñeta 2. Bacteriuria en paciente con sonda permanente</w:t>
      </w:r>
    </w:p>
    <w:p>
      <w:pPr>
        <w:pStyle w:val="BodyJ"/>
        <w:keepNext w:val="false"/>
      </w:pPr>
      <w:r>
        <w:t xml:space="preserve">Es el paciente de la cama 12 del capítulo 8, cuya ficha el capítulo 12 ordenó entera en la matriz HII-D: hombre con lesión medular completa, sonda Foley permanente y un cáncer renal metastásico en progresión, con orina turbia, piuria y urocultivo positivo tras un recambio traumático de sonda, afebril y estable, y con antecedente de colonización por enterobacteria productora de BLEE. Las cuatro capas no se repiten; esta viñeta guarda lo que cabe en una entrega de turno y una lectura del antecedente que suele hacerse al revés.</w:t>
      </w:r>
    </w:p>
    <w:p>
      <w:pPr>
        <w:pStyle w:val="BodyJ"/>
        <w:keepNext w:val="false"/>
      </w:pPr>
      <w:r>
        <w:rPr>
          <w:i/>
          <w:iCs/>
        </w:rPr>
        <w:t xml:space="preserve">Frase medular:</w:t>
      </w:r>
      <w:r>
        <w:t xml:space="preserve"> «Urocultivo positivo y piuria tras recambio de sonda Foley en paciente con lesión medular y antecedente de colonización por BLEE, sin respuesta sistémica ni signos autonómicos que configuren infección activa. Se interpreta como bacteriuria asociada a catéter; se suspende el antibiótico, con vigilancia clínica estricta y criterios explícitos de reapertura.»</w:t>
      </w:r>
    </w:p>
    <w:p>
      <w:pPr>
        <w:pStyle w:val="BodyJ"/>
        <w:keepNext w:val="false"/>
      </w:pPr>
      <w:r>
        <w:rPr>
          <w:i/>
          <w:iCs/>
        </w:rPr>
        <w:t xml:space="preserve">Qué se vigila, por escrito:</w:t>
      </w:r>
      <w:r>
        <w:t xml:space="preserve"> fiebre nueva, inestabilidad hemodinámica, aumento súbito de espasticidad, sudoración o malestar general inexplicable. Son los equivalentes de una respuesta sistémica o autonómica en quien no puede sentir la disuria ni el dolor lumbar.</w:t>
      </w:r>
    </w:p>
    <w:p>
      <w:pPr>
        <w:pStyle w:val="BodyJ"/>
        <w:keepNext w:val="false"/>
      </w:pPr>
      <w:r>
        <w:rPr>
          <w:i/>
          <w:iCs/>
        </w:rPr>
        <w:t xml:space="preserve">Lectura metacognitiva.</w:t>
      </w:r>
      <w:r>
        <w:t xml:space="preserve"> El antecedente de BLEE suele leerse como un gatillo para prescribir antes, y es al revés: como un tratamiento dirigido probablemente exigiría carbapenémicos, de alto impacto ecológico y toxicidad potencial, el umbral para reiniciar antibióticos debe ser más exigente, no menos. Y ni la turbidez ni la piuria discriminan, por sí solas, entre colonización e infección en un paciente sondado.</w:t>
      </w:r>
    </w:p>
    <w:p>
      <w:pPr>
        <w:pStyle w:val="Heading3"/>
        <w:keepNext/>
        <w:keepLines/>
        <w:spacing w:after="120" w:before="280"/>
      </w:pPr>
      <w:r>
        <w:rPr>
          <w:rFonts w:ascii="Gelasio" w:cs="Gelasio" w:eastAsia="Gelasio" w:hAnsi="Gelasio"/>
          <w:b/>
          <w:bCs/>
          <w:color w:val="2B2B2B"/>
          <w:sz w:val="25"/>
          <w:szCs w:val="25"/>
        </w:rPr>
        <w:t xml:space="preserve">Viñeta 3. Tres de la mañana: decidir con el reloj en contra</w:t>
      </w:r>
    </w:p>
    <w:p>
      <w:pPr>
        <w:pStyle w:val="BodyJ"/>
        <w:keepNext w:val="false"/>
      </w:pPr>
      <w:r>
        <w:t xml:space="preserve">Servicio de urgencias, 03:10. Hombre de 54 años, tabáquico activo, consulta por dolor retroesternal opresivo de 40 minutos de evolución, acompañado de diaforesis fría. El electrocardiograma de ingreso muestra alteraciones inespecíficas de la repolarización, sin supradesnivel del ST. La primera troponina está en proceso en el laboratorio. En la sala de espera hay nueve pacientes pendientes de atención y queda un solo cupo en el box de reanimación. Bajo esta presión asistencial no hay margen para redactar una plantilla extensa, pero sí hay sesenta segundos para estructurar el juicio.</w:t>
      </w:r>
    </w:p>
    <w:p>
      <w:pPr>
        <w:pStyle w:val="BodyJ"/>
        <w:keepNext w:val="false"/>
      </w:pPr>
      <w:r>
        <w:rPr>
          <w:i/>
          <w:iCs/>
        </w:rPr>
        <w:t xml:space="preserve">¿Qué vi y qué me contaron? (Hechos)</w:t>
      </w:r>
      <w:r>
        <w:t xml:space="preserve"> Dolor torácico visceral opresivo con signos autonómicos objetivos (diaforesis fría presenciada en el triage) y un ECG inicial anormal aunque no diagnóstico.</w:t>
      </w:r>
    </w:p>
    <w:p>
      <w:pPr>
        <w:pStyle w:val="BodyJ"/>
        <w:keepNext w:val="false"/>
      </w:pPr>
      <w:r>
        <w:rPr>
          <w:i/>
          <w:iCs/>
        </w:rPr>
        <w:t xml:space="preserve">¿Qué creo y cuánto derecho tengo a creerlo? (Inferencia)</w:t>
      </w:r>
      <w:r>
        <w:t xml:space="preserve"> Síndrome coronario agudo (SCA) probable; la semiología isquémica típica y el perfil de riesgo tienen mayor peso pretest que un primer trazado electrocardiográfico no concluyente. Diagnóstico aún no demostrado.</w:t>
      </w:r>
    </w:p>
    <w:p>
      <w:pPr>
        <w:pStyle w:val="BodyJ"/>
        <w:keepNext w:val="false"/>
      </w:pPr>
      <w:r>
        <w:rPr>
          <w:i/>
          <w:iCs/>
        </w:rPr>
        <w:t xml:space="preserve">¿Qué daño importante podría producir si estoy equivocado? (Incertidumbre crítica)</w:t>
      </w:r>
      <w:r>
        <w:t xml:space="preserve"> Rotularlo como «dolor torácico atípico con ECG sin isquemia aguda» y enviarlo a esperar la troponina en una silla de la sala común mientras cursa una oclusión coronaria dinámica. La incertidumbre peligrosa no es la etiqueta nominal; es la ventana de tiempo de miocardio salvable.</w:t>
      </w:r>
    </w:p>
    <w:p>
      <w:pPr>
        <w:pStyle w:val="BodyJ"/>
        <w:keepNext w:val="false"/>
      </w:pPr>
      <w:r>
        <w:rPr>
          <w:i/>
          <w:iCs/>
        </w:rPr>
        <w:t xml:space="preserve">¿Qué hago y qué me haría cambiar antes del próximo control? (Decisión)</w:t>
      </w:r>
      <w:r>
        <w:t xml:space="preserve"> Cama monitorizada, vía venosa, antiagregación inicial según protocolo, ECG seriado cada 15–30 minutos y rescate rápido de la troponina. Activar hemodinamia de inmediato si el trazado evoluciona a supradesnivel o si el dolor se vuelve refractario. Queda escrito: «SCA en evolución, no demostrado; manejo y monitorización continua por asimetría de consecuencias ante el riesgo vital de omisión».</w:t>
      </w:r>
    </w:p>
    <w:p>
      <w:pPr>
        <w:pStyle w:val="BodyJ"/>
        <w:keepNext w:val="false"/>
      </w:pPr>
      <w:r>
        <w:rPr>
          <w:i/>
          <w:iCs/>
        </w:rPr>
        <w:t xml:space="preserve">Frase medular:</w:t>
      </w:r>
      <w:r>
        <w:t xml:space="preserve"> «Dolor torácico de perfil anginoso con descarga adrenérgica y ECG inicial no concluyente: se maneja como SCA probable bajo monitorización continua, por asimetría de consecuencias, mientras la seriación electrocardiográfica y enzimática confirma o degrada la hipótesis.»</w:t>
      </w:r>
    </w:p>
    <w:p>
      <w:pPr>
        <w:pStyle w:val="BodyJ"/>
        <w:keepNext w:val="false"/>
      </w:pPr>
      <w:r>
        <w:rPr>
          <w:i/>
          <w:iCs/>
        </w:rPr>
        <w:t xml:space="preserve">Lectura metacognitiva.</w:t>
      </w:r>
      <w:r>
        <w:t xml:space="preserve"> En urgencias, el fallo catastrófico rara vez es intelectual: casi todo médico piensa en el infarto. Suele ser logístico y de diseño: la hipótesis correcta («probable SCA») sin un circuito cerrado de reevaluación. ¿Quién toma y quién mira el segundo ECG a los 15 minutos si el turno colapsa? Fijar el criterio de reapertura con plazo y responsable es la mitad del tratamiento.</w:t>
      </w:r>
    </w:p>
    <w:p>
      <w:pPr>
        <w:pStyle w:val="Heading3"/>
        <w:keepNext/>
        <w:keepLines/>
        <w:spacing w:after="120" w:before="280"/>
      </w:pPr>
      <w:r>
        <w:rPr>
          <w:rFonts w:ascii="Gelasio" w:cs="Gelasio" w:eastAsia="Gelasio" w:hAnsi="Gelasio"/>
          <w:b/>
          <w:bCs/>
          <w:color w:val="2B2B2B"/>
          <w:sz w:val="25"/>
          <w:szCs w:val="25"/>
        </w:rPr>
        <w:t xml:space="preserve">Viñeta 4. La consulta ambulatoria y el chequeo reciente</w:t>
      </w:r>
    </w:p>
    <w:p>
      <w:pPr>
        <w:pStyle w:val="BodyJ"/>
        <w:keepNext w:val="false"/>
      </w:pPr>
      <w:r>
        <w:t xml:space="preserve">Policlínico de atención primaria. Mujer de 47 años consulta por fatiga persistente de tres meses de evolución. Acude con exámenes de sangre «normales de hace poquito»: un hemograma y un perfil bioquímico tomados hace cinco meses en un chequeo preventivo, dos meses antes de que comenzara el cansancio. Al interrogatorio dirigido agrega sudoración nocturna ocasional —que ella atribuye al inicio de la menopausia— y una baja de peso involuntaria de unos tres kilos que explica «porque he tenido menos apetito». La agenda médica está copada, con bloques de doce minutos por paciente.</w:t>
      </w:r>
    </w:p>
    <w:p>
      <w:pPr>
        <w:pStyle w:val="BodyJ"/>
        <w:keepNext w:val="false"/>
      </w:pPr>
      <w:r>
        <w:rPr>
          <w:i/>
          <w:iCs/>
        </w:rPr>
        <w:t xml:space="preserve">Hechos:</w:t>
      </w:r>
      <w:r>
        <w:t xml:space="preserve"> fatiga progresiva de tres meses (relato consistente); exámenes de laboratorio normales cuya fecha precede en dos meses al inicio del síntoma; sudoración nocturna y baja ponderal referidas con atribuciones benignas propuestas por la propia paciente. Examen físico segmentario de hoy sin adenopatías periféricas ni visceromegalias palpables, en una exploración acotada por el tiempo de consulta.</w:t>
      </w:r>
    </w:p>
    <w:p>
      <w:pPr>
        <w:pStyle w:val="BodyJ"/>
        <w:keepNext w:val="false"/>
      </w:pPr>
      <w:r>
        <w:rPr>
          <w:i/>
          <w:iCs/>
        </w:rPr>
        <w:t xml:space="preserve">Inferencia:</w:t>
      </w:r>
      <w:r>
        <w:t xml:space="preserve"> por prevalencia, la mayoría de las fatigas en atención primaria son funcionales, carenciales o adaptativas. Pero fatiga prolongada, sudoración nocturna y baja de peso configuran un síndrome constitucional que impide el cierre diagnóstico. Los exámenes que trae la paciente no descartan patología orgánica actual por una razón temporal simple: fueron tomados cuando la enfermedad aún no se manifestaba.</w:t>
      </w:r>
    </w:p>
    <w:p>
      <w:pPr>
        <w:pStyle w:val="BodyJ"/>
        <w:keepNext w:val="false"/>
      </w:pPr>
      <w:r>
        <w:rPr>
          <w:i/>
          <w:iCs/>
        </w:rPr>
        <w:t xml:space="preserve">Incertidumbre:</w:t>
      </w:r>
      <w:r>
        <w:t xml:space="preserve"> la duda relevante hoy no es determinar la etiología exacta en doce minutos, sino responder si subyace un proceso sistémico, inflamatorio o neoplásico en curso. Esa incertidumbre no se reduce alargando la entrevista de hoy, sino actualizando el laboratorio y utilizando el seguimiento longitudinal.</w:t>
      </w:r>
    </w:p>
    <w:p>
      <w:pPr>
        <w:pStyle w:val="BodyJ"/>
        <w:keepNext w:val="false"/>
      </w:pPr>
      <w:r>
        <w:rPr>
          <w:i/>
          <w:iCs/>
        </w:rPr>
        <w:t xml:space="preserve">Decisión:</w:t>
      </w:r>
      <w:r>
        <w:t xml:space="preserve"> estudio actualizado dirigido (hemograma con frotis, VHS, PCR, TSH, glicemia, perfil hepático y renal, LDH) y control presencial en dos semanas con la misma médica. Red de seguridad por escrito (safety-netting): adelantar la consulta si aparece fiebre cuantificada, aumento de volumen ganglionar, dolor óseo localizado o progresión de la baja de peso.</w:t>
      </w:r>
    </w:p>
    <w:p>
      <w:pPr>
        <w:pStyle w:val="BodyJ"/>
        <w:keepNext w:val="false"/>
      </w:pPr>
      <w:r>
        <w:rPr>
          <w:i/>
          <w:iCs/>
        </w:rPr>
        <w:t xml:space="preserve">Frase medular:</w:t>
      </w:r>
      <w:r>
        <w:t xml:space="preserve"> «Fatiga de tres meses asociada a sudoración nocturna y baja ponderal leve; dado que el laboratorio normal previo antecede al inicio de los síntomas y no cubre el período actual, se solicita estudio actualizado y se programa control longitudinal con pauta escrita de signos de alarma.»</w:t>
      </w:r>
    </w:p>
    <w:p>
      <w:pPr>
        <w:pStyle w:val="BodyJ"/>
        <w:keepNext w:val="false"/>
      </w:pPr>
      <w:r>
        <w:rPr>
          <w:i/>
          <w:iCs/>
        </w:rPr>
        <w:t xml:space="preserve">Lectura metacognitiva.</w:t>
      </w:r>
      <w:r>
        <w:t xml:space="preserve"> Evidencia caducada: «tiene exámenes normales recientes» es un hecho cierto cuya fecha lo vuelve irrelevante para el problema nuevo. Y el tiempo longitudinal, la ventaja comparativa de la atención primaria, sólo es una herramienta diagnóstica cuando tiene fecha de reevaluación y criterios de reconsulta; sin ese diseño, dejar pasar el tiempo es apostar a que el cuadro sea benigno.</w:t>
      </w:r>
    </w:p>
    <w:p>
      <w:pPr>
        <w:pStyle w:val="Heading3"/>
        <w:keepNext/>
        <w:keepLines/>
        <w:spacing w:after="120" w:before="280"/>
      </w:pPr>
      <w:r>
        <w:rPr>
          <w:rFonts w:ascii="Gelasio" w:cs="Gelasio" w:eastAsia="Gelasio" w:hAnsi="Gelasio"/>
          <w:b/>
          <w:bCs/>
          <w:color w:val="2B2B2B"/>
          <w:sz w:val="25"/>
          <w:szCs w:val="25"/>
        </w:rPr>
        <w:t xml:space="preserve">Viñeta 5. Pronóstico incierto al final de la vida</w:t>
      </w:r>
    </w:p>
    <w:p>
      <w:pPr>
        <w:pStyle w:val="BodyJ"/>
        <w:keepNext w:val="false"/>
      </w:pPr>
      <w:r>
        <w:t xml:space="preserve">Hombre de 78 años con adenocarcinoma de páncreas metastásico en progresión tras tres líneas de quimioterapia. Ingresa al servicio de medicina interna por un deterioro funcional acelerado en las últimas tres semanas —pasó de caminar con apoyo dentro de su casa a permanecer postrado en cama—, sumado a una neumonía aguda hipoxémica. En el pasillo, la familia pregunta angustiada cuánto tiempo de vida le queda. Una de las hijas exige «que se le haga todo lo necesario para sacarlo adelante». Oncología anota en su interconsulta que, superado el cuadro infeccioso, «eventualmente podría evaluarse una ventana para una cuarta línea paliativa». El paciente, durante sus períodos de lucidez, repite que se siente profundamente agotado.</w:t>
      </w:r>
    </w:p>
    <w:p>
      <w:pPr>
        <w:pStyle w:val="BodyJ"/>
        <w:keepNext w:val="false"/>
      </w:pPr>
      <w:r>
        <w:rPr>
          <w:i/>
          <w:iCs/>
        </w:rPr>
        <w:t xml:space="preserve">Hechos:</w:t>
      </w:r>
      <w:r>
        <w:t xml:space="preserve"> neoplasia pancreática metastásica con progresión documentada bajo tercera línea oncológica; declive funcional severo y rápido en las últimas semanas (objetivable con una escala de fragilidad y de desempeño); neumonía bacteriana aguda superpuesta; manifestación reiterada de cansancio vital por parte del paciente en al menos dos entrevistas clínicas lúcidas.</w:t>
      </w:r>
    </w:p>
    <w:p>
      <w:pPr>
        <w:pStyle w:val="BodyJ"/>
        <w:keepNext w:val="false"/>
      </w:pPr>
      <w:r>
        <w:rPr>
          <w:i/>
          <w:iCs/>
        </w:rPr>
        <w:t xml:space="preserve">Inferencia:</w:t>
      </w:r>
      <w:r>
        <w:t xml:space="preserve"> la neumonía es tratable en lo inmediato. La pendiente funcional previa indica, en cambio, una trayectoria irreversible de final de vida, con una sobrevida estimable en semanas a pocos meses. En ese escenario, «podría haber ventana para otra línea» no es una expectativa fundada en la evolución real, sino la mención abstracta de un fármaco disponible.</w:t>
      </w:r>
    </w:p>
    <w:p>
      <w:pPr>
        <w:pStyle w:val="BodyJ"/>
        <w:keepNext w:val="false"/>
      </w:pPr>
      <w:r>
        <w:rPr>
          <w:i/>
          <w:iCs/>
        </w:rPr>
        <w:t xml:space="preserve">Incertidumbre:</w:t>
      </w:r>
      <w:r>
        <w:t xml:space="preserve"> el plazo exacto es incognoscible (incertidumbre aleatoria irreductible); lo honesto es comunicar la dirección de la pendiente y los escenarios probables. Pero la incertidumbre que domina el caso no es pronóstica sino de metas: ¿cómo quiere vivir este hombre el tiempo que le queda, qué cargas terapéuticas está dispuesto a tolerar y está en condiciones de decidirlo él mismo?</w:t>
      </w:r>
    </w:p>
    <w:p>
      <w:pPr>
        <w:pStyle w:val="BodyJ"/>
        <w:keepNext w:val="false"/>
      </w:pPr>
      <w:r>
        <w:rPr>
          <w:i/>
          <w:iCs/>
        </w:rPr>
        <w:t xml:space="preserve">Decisión:</w:t>
      </w:r>
      <w:r>
        <w:t xml:space="preserve"> antibióticos endovenosos y oxigenoterapia no invasiva con un objetivo explícito de alivio sintomático y eventual retorno a su casa (medidas reversibles y proporcionadas). Evaluar su capacidad de decidir en un período de lucidez —si comprende su situación y las opciones, si aprecia que se aplican a él, si razona sobre ellas y si puede expresar una elección (Appelbaum, 2007)— y, si la tiene, preguntarle a él antes que a la familia. La cuarta línea no se cierra en el pasillo ni en la interconsulta: se discute en una reunión familiar estructurada cuyo objeto es conocer y respetar la voluntad del paciente. Reevaluación a las 72 horas según respuesta funcional y confort.</w:t>
      </w:r>
    </w:p>
    <w:p>
      <w:pPr>
        <w:pStyle w:val="BodyJ"/>
        <w:keepNext w:val="false"/>
      </w:pPr>
      <w:r>
        <w:rPr>
          <w:i/>
          <w:iCs/>
        </w:rPr>
        <w:t xml:space="preserve">Frase medular:</w:t>
      </w:r>
      <w:r>
        <w:t xml:space="preserve"> «Neumonía aguda potencialmente reversible en paciente con cáncer de páncreas metastásico refractario y declive funcional acelerado hacia el final de la vida. Se trata la parte reversible con metas de alivio, se comunica la trayectoria sin fingir exactitud de plazos, se evalúa su capacidad de decidir en la próxima ventana de lucidez y las medidas invasivas se subordinan a sus preferencias.»</w:t>
      </w:r>
    </w:p>
    <w:p>
      <w:pPr>
        <w:pStyle w:val="BodyJ"/>
        <w:keepNext w:val="false"/>
      </w:pPr>
      <w:r>
        <w:rPr>
          <w:i/>
          <w:iCs/>
        </w:rPr>
        <w:t xml:space="preserve">Lectura metacognitiva.</w:t>
      </w:r>
      <w:r>
        <w:t xml:space="preserve"> La pregunta «¿cuánto tiempo le queda?» tienta a dos respuestas simétricas y malas: una cifra inventada (certeza retórica) o un «eso sólo Dios lo sabe» que desorienta a la familia (abandono comunicacional). Y el caso expone la confusión cotidiana entre lo técnicamente factible —una cuarta línea, intubar— y lo clínicamente proporcionado: el juicio de proporcionalidad del capítulo 10 empieza por reconocer el declive basal como un hecho clínico duro. Un paciente lúcido a ratos tampoco es un paciente sin voz: la capacidad se evalúa para cada decisión y en el momento en que se toma, y no se presume perdida porque fluctúe.</w:t>
      </w:r>
    </w:p>
    <w:p>
      <w:pPr>
        <w:pStyle w:val="Heading3"/>
        <w:keepNext/>
        <w:keepLines/>
        <w:spacing w:after="120" w:before="280"/>
      </w:pPr>
      <w:r>
        <w:rPr>
          <w:rFonts w:ascii="Gelasio" w:cs="Gelasio" w:eastAsia="Gelasio" w:hAnsi="Gelasio"/>
          <w:b/>
          <w:bCs/>
          <w:color w:val="2B2B2B"/>
          <w:sz w:val="25"/>
          <w:szCs w:val="25"/>
        </w:rPr>
        <w:t xml:space="preserve">Viñeta 6. Anatomía de un error consumado</w:t>
      </w:r>
    </w:p>
    <w:p>
      <w:pPr>
        <w:pStyle w:val="BodyJ"/>
        <w:keepNext w:val="false"/>
      </w:pPr>
      <w:r>
        <w:t xml:space="preserve">Esta viñeta reconstruye un error completo con la disciplina de los capítulos 7 y 8. Sin pegar la etiqueta de un sesgo, y sin dejar que el desenlace conocido distorsione lo que era exigible saber en el momento de la consulta.</w:t>
      </w:r>
    </w:p>
    <w:p>
      <w:pPr>
        <w:pStyle w:val="BodyJ"/>
        <w:keepNext w:val="false"/>
      </w:pPr>
      <w:r>
        <w:rPr>
          <w:i/>
          <w:iCs/>
        </w:rPr>
        <w:t xml:space="preserve">El caso.</w:t>
      </w:r>
      <w:r>
        <w:t xml:space="preserve"> Mujer de 29 años consulta en urgencias a las 23:40 por disnea de inicio súbito hace dos horas, palpitaciones y «sensación inminente de que me voy a morir». Registra antecedente de trastorno de pánico en control; la hoja de categorización del triage anota: «paciente ansiosa, cursa crisis de pánico conocida». Sus signos vitales de ingreso muestran frecuencia cardiaca de 118 lpm, presión arterial normal, saturación de oxígeno de 94% ambiental y auscultación cardiopulmonar descrita como «sin hallazgos patológicos». La evolución médica consigna: «Crisis de pánico en paciente con antecedente conocido. Se administra lorazepam sublingual, cede angustia. Alta con indicación de control en salud mental». A las 36 horas reingresa al reanimador traída por su pareja tras sufrir un síncope en el baño: el angioTAC confirma un tromboembolismo pulmonar (TEP) bilateral masivo con disfunción ventricular derecha aguda. Sobrevive tras trombólisis sistémica.</w:t>
      </w:r>
    </w:p>
    <w:p>
      <w:pPr>
        <w:pStyle w:val="BodyJ"/>
        <w:keepNext/>
      </w:pPr>
      <w:r>
        <w:rPr>
          <w:i/>
          <w:iCs/>
        </w:rPr>
        <w:t xml:space="preserve">Reconstrucción epistémica por capas.</w:t>
      </w:r>
    </w:p>
    <w:p>
      <w:pPr>
        <w:pStyle w:val="BodyJ"/>
        <w:keepNext w:val="false"/>
      </w:pPr>
      <w:r>
        <w:rPr>
          <w:b/>
          <w:bCs/>
        </w:rPr>
        <w:t xml:space="preserve">Hechos disponibles la primera noche:</w:t>
      </w:r>
      <w:r>
        <w:t xml:space="preserve"> disnea de instalación brusca con hora de inicio precisa (relato consistente). Taquicardia sinusal de 118 lpm al ingreso, que persistía en 112 lpm en el control de enfermería previo al alta, una hora después del lorazepam y con la paciente ya tranquila. Dato medido, registrado en la hoja de signos vitales y omitido en la nota médica. Saturación de 94% a aire ambiental, que alguien en el turno minimizó como «esperable porque está hiperventilando»; la hiperventilación por ansiedad eleva la presión arterial de oxígeno y lleva la saturación hacia 99–100%, nunca la baja a 94%. Uso de anticonceptivos orales combinados y un viaje interurbano en bus de nueve horas tres días antes: dos factores protrombóticos presentes en la historia reciente, que nadie interrogó porque nunca se abrió una hipótesis vascular. Y una etiqueta heredada desde la admisión («crisis de pánico conocida»), que entró a la ficha médica con rango de diagnóstico antes de que el clínico pusiera el fonendoscopio sobre el tórax.</w:t>
      </w:r>
    </w:p>
    <w:p>
      <w:pPr>
        <w:pStyle w:val="BodyJ"/>
        <w:keepNext w:val="false"/>
      </w:pPr>
      <w:r>
        <w:rPr>
          <w:b/>
          <w:bCs/>
        </w:rPr>
        <w:t xml:space="preserve">Inferencia de la primera noche:</w:t>
      </w:r>
      <w:r>
        <w:t xml:space="preserve"> «crisis de pánico» fue redactada como un hecho consumado, cuando su fuerza epistémica real era apenas la de una hipótesis posible, sustentada únicamente en el antecedente psiquiátrico y la similitud superficial del relato.</w:t>
      </w:r>
    </w:p>
    <w:p>
      <w:pPr>
        <w:pStyle w:val="BodyJ"/>
        <w:keepNext w:val="false"/>
      </w:pPr>
      <w:r>
        <w:rPr>
          <w:b/>
          <w:bCs/>
        </w:rPr>
        <w:t xml:space="preserve">Incertidumbre nunca formulada:</w:t>
      </w:r>
      <w:r>
        <w:t xml:space="preserve"> ¿qué proceso fisiopatológico explica que una mujer de 29 años mantenga una frecuencia cardiaca de 112 lpm estando ya sedada y sin angustia, junto con una saturación de 94% que contradice una hiperventilación psicógena? Para este escenario exacto se diseñaron y validaron los criterios PERC (Pulmonary Embolism Rule-out Criteria): ocho variables que permiten excluir razonablemente un TEP sin dímero D, sólo cuando un paciente de baja sospecha no cumple ninguna (Kline et al., 2004). Esta paciente incumplía tres: frecuencia cardiaca ≥100 lpm, saturación &lt;95% y uso de estrógenos. La regla no falló esa noche; nunca fue convocada, porque el cierre prematuro impidió sospechar que había algo que descartar.</w:t>
      </w:r>
    </w:p>
    <w:p>
      <w:pPr>
        <w:pStyle w:val="BodyJ"/>
        <w:keepNext w:val="false"/>
      </w:pPr>
      <w:r>
        <w:rPr>
          <w:b/>
          <w:bCs/>
        </w:rPr>
        <w:t xml:space="preserve">Decisión de la primera noche:</w:t>
      </w:r>
      <w:r>
        <w:t xml:space="preserve"> la benzodiacepina era defendible como tratamiento sintomático inicial. El alta sin estudio adicional y sin una línea de signos de alarma —qué debía hacerla volver antes del «control en salud mental»— fue un cierre indefendible.</w:t>
      </w:r>
    </w:p>
    <w:p>
      <w:pPr>
        <w:pStyle w:val="BodyJ"/>
        <w:keepNext w:val="false"/>
      </w:pPr>
      <w:r>
        <w:rPr>
          <w:i/>
          <w:iCs/>
        </w:rPr>
        <w:t xml:space="preserve">Dónde estuvo el punto de intercepción.</w:t>
      </w:r>
      <w:r>
        <w:t xml:space="preserve"> En la lectura de los signos vitales previos al egreso. Una taquicardia persistente de 112 lpm en una paciente que ya no luce angustiada era la gran discordancia de la madrugada. Si la hipótesis del pánico hubiese sido verdadera, el control de la ansiedad debía normalizar la descarga simpática y bajar el pulso. La pregunta de desaceleración antes de firmar el alta —«¿qué dato objetivo de esta paciente no explica una crisis de pánico?»— tenía en ese minuto su máximo rendimiento y su mínimo costo. Habrían bastado dos preguntas de anamnesis dirigida, la regla PERC al lado de la camilla y un dímero D. Treinta y seis horas más tarde, la pregunta no formulada la respondió el síncope.</w:t>
      </w:r>
    </w:p>
    <w:p>
      <w:pPr>
        <w:pStyle w:val="BodyJ"/>
        <w:keepNext w:val="false"/>
      </w:pPr>
      <w:r>
        <w:rPr>
          <w:i/>
          <w:iCs/>
        </w:rPr>
        <w:t xml:space="preserve">Lo que no debe concluirse.</w:t>
      </w:r>
      <w:r>
        <w:t xml:space="preserve"> El desenlace no demuestra que toda disnea en una paciente con trastorno de pánico sea una embolia, ni que el médico fuera incompetente: con la información de la primera noche, la crisis de pánico era la explicación más frecuente. Lo indefendible era la arquitectura: una etiqueta de triage convertida en diagnóstico antes del examen, un dato medido —la taquicardia persistente— registrado sin que nadie le pidiera explicación, dos preguntas de anamnesis que la etiqueta volvió innecesarias y un alta sin criterio de reapertura. El mismo proceso con desenlace benigno —una crisis de pánico real— habría dejado la misma vulnerabilidad instalada para la siguiente paciente a la que se le cree menos por su diagnóstico.</w:t>
      </w:r>
    </w:p>
    <w:p>
      <w:pPr>
        <w:pStyle w:val="BodyJ"/>
        <w:keepNext w:val="false"/>
      </w:pPr>
      <w:r>
        <w:rPr>
          <w:i/>
          <w:iCs/>
        </w:rPr>
        <w:t xml:space="preserve">Frase medular (la que faltó la primera noche):</w:t>
      </w:r>
      <w:r>
        <w:t xml:space="preserve"> «Disnea súbita y taquicardia persistente (112 tras ansiolisis) en mujer de 29 años con trastorno de pánico y anticonceptivos orales: crisis de pánico posible, pero la taquicardia y la saturación de 94% no están explicadas. Probabilidad clínica no alta y PERC no cumplido (frecuencia cardiaca, saturación, estrógenos): no procede el alta sin estudiar embolia pulmonar. Dímero D ahora y angioTAC si resulta elevado; si la probabilidad clínica fuera alta, angioTAC directo, sin dímero D. Reconsulta inmediata, por escrito, ante síncope, dolor torácico o disnea en reposo.»</w:t>
      </w:r>
    </w:p>
    <w:p>
      <w:pPr>
        <w:pStyle w:val="BodyJ"/>
        <w:keepNext w:val="false"/>
      </w:pPr>
      <w:r>
        <w:rPr>
          <w:i/>
          <w:iCs/>
        </w:rPr>
        <w:t xml:space="preserve">Lectura metacognitiva.</w:t>
      </w:r>
      <w:r>
        <w:t xml:space="preserve"> La frase que faltó no requería más conocimiento del que cualquier médico de urgencias ya tiene: requería que el antecedente psiquiátrico no descontara el valor de dos signos medidos. Esta viñeta es el capítulo 14 en su forma más silenciosa: la injusticia testimonial no le dijo a la paciente que no le creía; simplemente dejó de preguntar. Y es también el capítulo 10: la regla PERC es un umbral explícito, y los umbrales explícitos sólo protegen a quien recuerda que hay una hipótesis que someterles. La disciplina de escritura habría bastado: separar el hecho (taquicardia persistente no explicada) de la etiqueta (pánico), conservar la incertidumbre y programar la reapertura.</w:t>
      </w:r>
    </w:p>
    <w:p>
      <w:pPr>
        <w:pStyle w:val="Heading3"/>
        <w:keepNext/>
        <w:keepLines/>
        <w:spacing w:after="120" w:before="280"/>
      </w:pPr>
      <w:r>
        <w:rPr>
          <w:rFonts w:ascii="Gelasio" w:cs="Gelasio" w:eastAsia="Gelasio" w:hAnsi="Gelasio"/>
          <w:b/>
          <w:bCs/>
          <w:color w:val="2B2B2B"/>
          <w:sz w:val="25"/>
          <w:szCs w:val="25"/>
        </w:rPr>
        <w:t xml:space="preserve">Viñeta 7. «Lo veo raro»: el testimonio de la madre</w:t>
      </w:r>
    </w:p>
    <w:p>
      <w:pPr>
        <w:pStyle w:val="BodyJ"/>
        <w:keepNext w:val="false"/>
      </w:pPr>
      <w:r>
        <w:t xml:space="preserve">Un lactante de cinco meses llega a urgencias a las 22:30. Afebril tras paracetamol en casa, signos vitales dentro de rangos para la edad, examen segmentario sin foco. La madre insiste: «No es él. No se ríe, no me busca, está como apagado». La sala está llena y el registro de triage dice «lactante febril en buenas condiciones generales».</w:t>
      </w:r>
    </w:p>
    <w:p>
      <w:pPr>
        <w:pStyle w:val="BodyJ"/>
        <w:keepNext w:val="false"/>
      </w:pPr>
      <w:r>
        <w:rPr>
          <w:i/>
          <w:iCs/>
        </w:rPr>
        <w:t xml:space="preserve">Hechos:</w:t>
      </w:r>
      <w:r>
        <w:t xml:space="preserve"> temperatura normalizada bajo antipirético (dato medido, pero bajo intervención); examen sin foco en una evaluación puntual; y un relato de tercero que describe un cambio conductual respecto del basal —información longitudinal a la que ningún examen de veinte minutos accede—.</w:t>
      </w:r>
    </w:p>
    <w:p>
      <w:pPr>
        <w:pStyle w:val="BodyJ"/>
        <w:keepNext w:val="false"/>
      </w:pPr>
      <w:r>
        <w:rPr>
          <w:i/>
          <w:iCs/>
        </w:rPr>
        <w:t xml:space="preserve">Inferencia:</w:t>
      </w:r>
      <w:r>
        <w:t xml:space="preserve"> cuadro viral banal es lo más probable por prevalencia. Pero la preocupación parental por «no ser él mismo» no es ruido afectivo, sino una observación experta sobre el único basal disponible, y la evidencia le da rango de señal. En series de atención primaria, la intuición del clínico de que «algo anda mal», muchas veces gatillada por la inquietud de los padres, tuvo mayor valor diagnóstico que la mayoría de los signos aislados para detectar infección grave (Van den Bruel et al., 2012).</w:t>
      </w:r>
    </w:p>
    <w:p>
      <w:pPr>
        <w:pStyle w:val="BodyJ"/>
        <w:keepNext w:val="false"/>
      </w:pPr>
      <w:r>
        <w:rPr>
          <w:i/>
          <w:iCs/>
        </w:rPr>
        <w:t xml:space="preserve">Incertidumbre:</w:t>
      </w:r>
      <w:r>
        <w:t xml:space="preserve"> la peligrosa es una sola: infección bacteriana grave en fase temprana, cuando el examen todavía no la muestra. Reducible sólo parcialmente con laboratorio; la evolución de las próximas horas es la mejor prueba disponible.</w:t>
      </w:r>
    </w:p>
    <w:p>
      <w:pPr>
        <w:pStyle w:val="BodyJ"/>
        <w:keepNext w:val="false"/>
      </w:pPr>
      <w:r>
        <w:rPr>
          <w:i/>
          <w:iCs/>
        </w:rPr>
        <w:t xml:space="preserve">Decisión:</w:t>
      </w:r>
      <w:r>
        <w:t xml:space="preserve"> el dato que gobierna la conducta no es la temperatura sino el cambio de comportamiento reportado. Observación prolongada en urgencias con reevaluación seriada del estado general, umbral bajo para laboratorio, y —si se decide alta— red de seguridad explícita y verificada con la madre: qué mirar, cuándo volver, por qué vía. «Se va tranquila» no es un criterio de alta; «sabe exactamente qué la haría volver» sí.</w:t>
      </w:r>
    </w:p>
    <w:p>
      <w:pPr>
        <w:pStyle w:val="BodyJ"/>
        <w:keepNext w:val="false"/>
      </w:pPr>
      <w:r>
        <w:rPr>
          <w:i/>
          <w:iCs/>
        </w:rPr>
        <w:t xml:space="preserve">Frase medular:</w:t>
      </w:r>
      <w:r>
        <w:t xml:space="preserve"> «Lactante afebril bajo antipiréticos y sin foco al examen, con cambio conductual significativo según su madre; el testimonio del cuidador se registra como observación del basal y gobierna la vigilancia: reevaluación seriada antes de decidir alta, con red de seguridad verificada.»</w:t>
      </w:r>
    </w:p>
    <w:p>
      <w:pPr>
        <w:pStyle w:val="BodyJ"/>
        <w:keepNext w:val="false"/>
      </w:pPr>
      <w:r>
        <w:rPr>
          <w:i/>
          <w:iCs/>
        </w:rPr>
        <w:t xml:space="preserve">Lectura metacognitiva.</w:t>
      </w:r>
      <w:r>
        <w:t xml:space="preserve"> La pediatría radicaliza el capítulo 1: el paciente no habla, y el «hecho» más valioso es un testimonio de tercero sobre un basal que el equipo no conoce. Descartar la preocupación materna como ansiedad es injusticia testimonial en versión pediátrica y, además, simplemente mala medicina: pocas fuentes de información tienen mejor razón señal-ruido que quien mira a ese niño todos los días.</w:t>
      </w:r>
    </w:p>
    <w:p>
      <w:pPr>
        <w:pStyle w:val="Heading3"/>
        <w:keepNext/>
        <w:keepLines/>
        <w:spacing w:after="120" w:before="280"/>
      </w:pPr>
      <w:r>
        <w:rPr>
          <w:rFonts w:ascii="Gelasio" w:cs="Gelasio" w:eastAsia="Gelasio" w:hAnsi="Gelasio"/>
          <w:b/>
          <w:bCs/>
          <w:color w:val="2B2B2B"/>
          <w:sz w:val="25"/>
          <w:szCs w:val="25"/>
        </w:rPr>
        <w:t xml:space="preserve">Viñeta 8. El dolor abdominal de la paciente que «somatiza»</w:t>
      </w:r>
    </w:p>
    <w:p>
      <w:pPr>
        <w:pStyle w:val="BodyJ"/>
        <w:keepNext w:val="false"/>
      </w:pPr>
      <w:r>
        <w:t xml:space="preserve">Una mujer de 34 años con esquizofrenia en tratamiento consulta por dolor abdominal de dos días. En el box, habla poco y evita la mirada; la nota de derivación dice «consultas frecuentes, quejas somáticas múltiples». Taquicardia de 110, abdomen difícil de evaluar —la paciente tolera mal la palpación y su tratamiento antipsicótico puede atenuar la expresión del dolor y enlentecer el tránsito—.</w:t>
      </w:r>
    </w:p>
    <w:p>
      <w:pPr>
        <w:pStyle w:val="BodyJ"/>
        <w:keepNext w:val="false"/>
      </w:pPr>
      <w:r>
        <w:rPr>
          <w:i/>
          <w:iCs/>
        </w:rPr>
        <w:t xml:space="preserve">Hechos:</w:t>
      </w:r>
      <w:r>
        <w:t xml:space="preserve"> taquicardia sostenida (medida, reproducible); dos días de dolor según relato coherente en sus términos; examen abdominal técnicamente limitado —no negativo: limitado—; antecedente psiquiátrico que modifica la expresión clínica y farmacológica del cuadro; una etiqueta heredada («somatiza») sin procedencia verificable.</w:t>
      </w:r>
    </w:p>
    <w:p>
      <w:pPr>
        <w:pStyle w:val="BodyJ"/>
        <w:keepNext w:val="false"/>
      </w:pPr>
      <w:r>
        <w:rPr>
          <w:i/>
          <w:iCs/>
        </w:rPr>
        <w:t xml:space="preserve">Inferencia:</w:t>
      </w:r>
      <w:r>
        <w:t xml:space="preserve"> la explicación «queja somática en contexto de patología psiquiátrica» es posible, pero está recibiendo un peso que no proviene de los datos de hoy sino del estigma: nada en la taquicardia es psiquiátrico. El fenómeno tiene nombre —ensombrecimiento diagnóstico (diagnostic overshadowing): atribuir los síntomas físicos a la enfermedad mental— y consecuencias medibles: las personas con enfermedad mental grave mueren 15 a 20 años antes, en gran parte por enfermedad física subdiagnosticada y subtratada (Thornicroft, 2011).</w:t>
      </w:r>
    </w:p>
    <w:p>
      <w:pPr>
        <w:pStyle w:val="BodyJ"/>
        <w:keepNext w:val="false"/>
      </w:pPr>
      <w:r>
        <w:rPr>
          <w:i/>
          <w:iCs/>
        </w:rPr>
        <w:t xml:space="preserve">Incertidumbre:</w:t>
      </w:r>
      <w:r>
        <w:t xml:space="preserve"> la peligrosa es un abdomen quirúrgico enmascarado —por el antipsicótico, por la dificultad comunicativa y por la disposición del equipo a cerrar temprano—. Es el caso donde el examen «poco confiable» obliga a más objetividad, no a menos: laboratorio e imagen deciden lo que la palpación no puede.</w:t>
      </w:r>
    </w:p>
    <w:p>
      <w:pPr>
        <w:pStyle w:val="BodyJ"/>
        <w:keepNext w:val="false"/>
      </w:pPr>
      <w:r>
        <w:rPr>
          <w:i/>
          <w:iCs/>
        </w:rPr>
        <w:t xml:space="preserve">Decisión:</w:t>
      </w:r>
      <w:r>
        <w:t xml:space="preserve"> el mismo estándar que para cualquier paciente con dolor abdominal y taquicardia —laboratorio completo, imagen según hallazgos, reevaluación programada— y uno adicional. Documentar que la evaluación fue limitada y por qué, para que el siguiente lector no herede «abdomen negativo» donde hubo «abdomen no evaluable». La etiqueta «somatiza» no entra a la ficha sin procedencia.</w:t>
      </w:r>
    </w:p>
    <w:p>
      <w:pPr>
        <w:pStyle w:val="BodyJ"/>
        <w:keepNext w:val="false"/>
      </w:pPr>
      <w:r>
        <w:rPr>
          <w:i/>
          <w:iCs/>
        </w:rPr>
        <w:t xml:space="preserve">Frase medular:</w:t>
      </w:r>
      <w:r>
        <w:t xml:space="preserve"> «Dolor abdominal y taquicardia sostenida en paciente con esquizofrenia: examen abdominal limitado —no negativo— y expresión clínica posiblemente atenuada por antipsicóticos; se estudia con el estándar completo, dejando registrado que la atribución psiquiátrica del cuadro exigiría primero excluir lo que la taquicardia sugiere.»</w:t>
      </w:r>
    </w:p>
    <w:p>
      <w:pPr>
        <w:pStyle w:val="BodyJ"/>
        <w:keepNext w:val="false"/>
      </w:pPr>
      <w:r>
        <w:rPr>
          <w:i/>
          <w:iCs/>
        </w:rPr>
        <w:t xml:space="preserve">Lectura metacognitiva.</w:t>
      </w:r>
      <w:r>
        <w:t xml:space="preserve"> Aquí la injusticia testimonial —descontar el relato por quién lo dice— tiene mortalidad: no es sólo un agravio moral sino un mecanismo causal de la brecha de 15 a 20 años de vida. Nótese el movimiento epistémico central: cuando el testimonio y el examen valen menos de lo habitual, el estándar de estudio objetivo sube en compensación. El ensombrecimiento hace lo contrario —usa la dificultad como excusa para bajar el estándar— y por eso mata.</w:t>
      </w:r>
    </w:p>
    <w:p>
      <w:pPr>
        <w:pStyle w:val="Heading3"/>
        <w:keepNext/>
        <w:keepLines/>
        <w:spacing w:after="120" w:before="280"/>
      </w:pPr>
      <w:r>
        <w:rPr>
          <w:rFonts w:ascii="Gelasio" w:cs="Gelasio" w:eastAsia="Gelasio" w:hAnsi="Gelasio"/>
          <w:b/>
          <w:bCs/>
          <w:color w:val="2B2B2B"/>
          <w:sz w:val="25"/>
          <w:szCs w:val="25"/>
        </w:rPr>
        <w:t xml:space="preserve">Lo común a las ocho viñetas</w:t>
      </w:r>
    </w:p>
    <w:p>
      <w:pPr>
        <w:pStyle w:val="BodyJ"/>
        <w:keepNext w:val="false"/>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la decisión termina con la misma cláusula: qué la haría cambiar, quién lo detectará y cuándo. De la urgencia de las 3:00 al final de la vida; del lactante que no habla a la paciente a la que no se le cree.</w:t>
      </w:r>
    </w:p>
    <w:p>
      <w:pPr>
        <w:pStyle w:val="Heading2"/>
        <w:keepNext/>
        <w:keepLines/>
        <w:pageBreakBefore/>
        <w:spacing w:after="300" w:before="600"/>
      </w:pPr>
      <w:r>
        <w:rPr>
          <w:rFonts w:ascii="Gelasio" w:cs="Gelasio" w:eastAsia="Gelasio" w:hAnsi="Gelasio"/>
          <w:b/>
          <w:bCs/>
          <w:color w:val="8C2F2F"/>
          <w:sz w:val="22"/>
          <w:szCs w:val="22"/>
        </w:rPr>
        <w:t xml:space="preserve">Capítulo 16</w:t>
      </w:r>
      <w:r>
        <w:rPr>
          <w:rFonts w:ascii="Gelasio" w:cs="Gelasio" w:eastAsia="Gelasio" w:hAnsi="Gelasio"/>
          <w:b/>
          <w:bCs/>
          <w:color w:val="3D5A6C"/>
          <w:sz w:val="32"/>
          <w:szCs w:val="32"/>
        </w:rPr>
        <w:br/>
        <w:t xml:space="preserve">Enseñar y organizar la metacognición clínica</w:t>
      </w:r>
    </w:p>
    <w:p>
      <w:pPr>
        <w:pStyle w:val="BodyJ"/>
        <w:keepNext w:val="false"/>
      </w:pPr>
      <w:r>
        <w:t xml:space="preserve">Una jefa de servicio que quiera «instalar metacognición» en su equipo no puede indicarla como se indica un antibiótico. Puede, en cambio, cambiar tres cosas que ve todas las semanas: qué se pregunta en la visita de sala, qué estructura tiene la ficha y qué pasa después de un error. Este capítulo trata de esas palancas.</w:t>
      </w:r>
    </w:p>
    <w:p>
      <w:pPr>
        <w:pStyle w:val="Heading3"/>
        <w:keepNext/>
        <w:keepLines/>
        <w:spacing w:after="120" w:before="280"/>
      </w:pPr>
      <w:r>
        <w:rPr>
          <w:rFonts w:ascii="Gelasio" w:cs="Gelasio" w:eastAsia="Gelasio" w:hAnsi="Gelasio"/>
          <w:b/>
          <w:bCs/>
          <w:color w:val="2B2B2B"/>
          <w:sz w:val="25"/>
          <w:szCs w:val="25"/>
        </w:rPr>
        <w:t xml:space="preserve">De la virtud individual al diseño institucional</w:t>
      </w:r>
    </w:p>
    <w:p>
      <w:pPr>
        <w:pStyle w:val="BodyJ"/>
        <w:keepNext w:val="false"/>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 Y esa infraestructura incluye los turnos: un servicio que deja las decisiones mayores para la hora veinte de una guardia está decidiendo con un instrumento degradado (capítulo 8), y el diseño de los horarios es, en consecuencia, una decisión epistémica antes que administrativa.</w:t>
      </w:r>
    </w:p>
    <w:p>
      <w:pPr>
        <w:pStyle w:val="BodyJ"/>
        <w:keepNext w:val="false"/>
      </w:pPr>
      <w:r>
        <w:t xml:space="preserve">Las National Academies recomendaron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keepNext/>
        <w:keepLines/>
        <w:spacing w:after="120" w:before="280"/>
      </w:pPr>
      <w:r>
        <w:rPr>
          <w:rFonts w:ascii="Gelasio" w:cs="Gelasio" w:eastAsia="Gelasio" w:hAnsi="Gelasio"/>
          <w:b/>
          <w:bCs/>
          <w:color w:val="2B2B2B"/>
          <w:sz w:val="25"/>
          <w:szCs w:val="25"/>
        </w:rPr>
        <w:t xml:space="preserve">Enseñar representaciones, no sólo respuestas</w:t>
      </w:r>
    </w:p>
    <w:p>
      <w:pPr>
        <w:pStyle w:val="BodyJ"/>
        <w:keepNext w:val="false"/>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keepNext w:val="false"/>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 Y la evaluación debe mirar lo mismo que la enseñanza. Premiar el diagnóstico correcto obtenido por un proceso frágil, y castigar el incorrecto con incertidumbre bien calibrada, enseña a ocultar dudas y a reconstruir narrativas retrospectivas. Pedir la confianza antes de conocer la respuesta, y el plan de revisión junto con el diagnóstico, corrige ese incentivo.</w:t>
      </w:r>
    </w:p>
    <w:p>
      <w:pPr>
        <w:pStyle w:val="Heading3"/>
        <w:keepNext/>
        <w:keepLines/>
        <w:spacing w:after="120" w:before="280"/>
      </w:pPr>
      <w:r>
        <w:rPr>
          <w:rFonts w:ascii="Gelasio" w:cs="Gelasio" w:eastAsia="Gelasio" w:hAnsi="Gelasio"/>
          <w:b/>
          <w:bCs/>
          <w:color w:val="2B2B2B"/>
          <w:sz w:val="25"/>
          <w:szCs w:val="25"/>
        </w:rPr>
        <w:t xml:space="preserve">Un debate honesto: ¿se puede enseñar a pensar mejor?</w:t>
      </w:r>
    </w:p>
    <w:p>
      <w:pPr>
        <w:pStyle w:val="BodyJ"/>
        <w:keepNext w:val="false"/>
      </w:pPr>
      <w:r>
        <w:t xml:space="preserve">Este libro toma posición en una controversia real de la educación médica, y la declara. De un lado, Croskerry y su tradición sostienen que conocer los sesgos y entrenar estrategias de debiasing mejora el diagnóstico (Croskerry, 2003; Croskerry et al., 2013a, 2013b). Del otro, Norman, Monteiro y colegas han acumulado evidencia incómoda. Los errores nacen tanto del pensamiento rápido como del lento; el vínculo entre los sesgos que se inducen en experimentos y los errores reales no está establecido; enseñar a reconocer sesgos no ha reducido los errores, mientras que reorganizar el conocimiento da beneficios pequeños pero constantes; los cursos de «pensamiento crítico» generalizable transfieren poco; y obligar a reflexionar sistemáticamente sobre casos fáciles no mejora la precisión y consume tiempo (Norman et al., 2017; Monteiro &amp; Norman, 2013; Monteiro et al., 2020).</w:t>
      </w:r>
    </w:p>
    <w:p>
      <w:pPr>
        <w:pStyle w:val="BodyJ"/>
        <w:keepNext w:val="false"/>
      </w:pPr>
      <w:r>
        <w:t xml:space="preserve">La posición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se propone aquí no es vigilancia interna permanente ni listas universales, las versiones que la evidencia ha desinflado, sino artefactos externos y selectivos. Un lenguaje que obliga a graduar afirmaciones; una estructura de nota que conserva las capas; pausas activadas por disparadores definidos; circuitos de feedback que conviertan experiencia en calibración. Es una apuesta con compromisos observables (véase el capítulo 15):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keepNext/>
        <w:keepLines/>
        <w:spacing w:after="120" w:before="280"/>
      </w:pPr>
      <w:r>
        <w:rPr>
          <w:rFonts w:ascii="Gelasio" w:cs="Gelasio" w:eastAsia="Gelasio" w:hAnsi="Gelasio"/>
          <w:b/>
          <w:bCs/>
          <w:color w:val="2B2B2B"/>
          <w:sz w:val="25"/>
          <w:szCs w:val="25"/>
        </w:rPr>
        <w:t xml:space="preserve">Tres palancas: la visita, la revisión de errores y la ficha</w:t>
      </w:r>
    </w:p>
    <w:p>
      <w:pPr>
        <w:pStyle w:val="BodyJ"/>
        <w:keepNext w:val="false"/>
      </w:pPr>
      <w:r>
        <w:t xml:space="preserve">Las tres palancas prometidas al inicio son, por orden de costo, la visita, la revisión de errores y la ficha. Una visita de sala puede incorporar una pausa breve en casos seleccionados, y no hace falta inventarle preguntas: las cuatro de la versión de sesenta segundos (capítulo 15) bastan, y el Apéndice C dice con qué disparadores instalarlas, en cuántas semanas y qué medir. Lo que este capítulo aporta es el porqué: la pausa en voz alta es el único momento en que el equipo entero mira la misma representación del problema, y quien dirige la visita la enseña modelándola, no interrogando.</w:t>
      </w:r>
    </w:p>
    <w:p>
      <w:pPr>
        <w:pStyle w:val="BodyJ"/>
        <w:keepNext w:val="false"/>
      </w:pPr>
      <w:r>
        <w:t xml:space="preserve">La entrega de turno debe transmitir tareas epistémicas, no sólo tratamientos. «Pendiente observar si…» y «si ocurre X, reabrir Y» son componentes de seguridad.</w:t>
      </w:r>
    </w:p>
    <w:p>
      <w:pPr>
        <w:pStyle w:val="BodyJ"/>
        <w:keepNext w:val="false"/>
      </w:pPr>
      <w:r>
        <w:t xml:space="preserve">La segunda palanca es la revisión de errores, y tiene una forma pública y otra privada. 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6 del cuaderno de casos es un ejemplo del formato: capas, oportunidades y barreras, sin moralismo retrospectivo.</w:t>
      </w:r>
    </w:p>
    <w:p>
      <w:pPr>
        <w:pStyle w:val="BodyJ"/>
        <w:keepNext w:val="false"/>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BodyJ"/>
        <w:keepNext w:val="false"/>
      </w:pPr>
      <w:r>
        <w:t xml:space="preserve">La forma privada es el feedback diagnóstico: 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keepNext w:val="false"/>
      </w:pPr>
      <w:r>
        <w:t xml:space="preserve">Un portafolio privado puede registrar: hipótesis principal, confianza aproximada, alternativa relevante, desenlace y aprendizaje. No busca puntuar moralmente; busca detectar patrones: sobreconfianza en un dominio, subestimación de recurrencias, tendencia a tratar cultivos sin síndrome o dificultad para reconocer diagnósticos funcionales. El portafolio de calibración del capítulo 5 es su versión mínima. El portafolio como instrumento docente tiene además desarrollo propio en la educación médica latinoamericana, incluida la validación en español de instrumentos para evaluar su uso (Riquelme et al., 2011).</w:t>
      </w:r>
    </w:p>
    <w:p>
      <w:pPr>
        <w:pStyle w:val="BodyJ"/>
        <w:keepNext w:val="false"/>
      </w:pPr>
      <w:r>
        <w:t xml:space="preserve">La tercera palanca es la ficha, y su primera forma es la plantilla. Las plantillas de ficha pueden apoyar o degradar el pensamiento. Campos obligatorios interminables producen copia; campos demasiado libres ocultan información crítica. Una plantilla equilibrada incluye problema, hechos nuevos, evaluación con grado de certeza, plan y criterios de reapertura. La tecnología debería facilitar comparación temporal y procedencia de datos, no sólo acumular texto.</w:t>
      </w:r>
    </w:p>
    <w:p>
      <w:pPr>
        <w:pStyle w:val="BodyJ"/>
        <w:keepNext w:val="false"/>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keepNext/>
        <w:keepLines/>
        <w:spacing w:after="120" w:before="280"/>
      </w:pPr>
      <w:r>
        <w:rPr>
          <w:rFonts w:ascii="Gelasio" w:cs="Gelasio" w:eastAsia="Gelasio" w:hAnsi="Gelasio"/>
          <w:b/>
          <w:bCs/>
          <w:color w:val="2B2B2B"/>
          <w:sz w:val="25"/>
          <w:szCs w:val="25"/>
        </w:rPr>
        <w:t xml:space="preserve">Una competencia profesional</w:t>
      </w:r>
    </w:p>
    <w:p>
      <w:pPr>
        <w:pStyle w:val="BodyJ"/>
        <w:keepNext w:val="false"/>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keepNext w:val="false"/>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keepNext w:val="false"/>
      </w:pPr>
      <w:r>
        <w:t xml:space="preserve">Enseñar metacognición es enseñar una relación con el conocimiento: suficiente confianza para actuar, suficiente humildad para revisar y suficiente precisión para explicar por qué.</w:t>
      </w:r>
    </w:p>
    <w:p>
      <w:pPr>
        <w:pStyle w:val="EnUnaFrase"/>
      </w:pPr>
      <w:r>
        <w:rPr>
          <w:b/>
          <w:bCs/>
        </w:rPr>
        <w:t xml:space="preserve">En una frase.</w:t>
      </w:r>
      <w:r>
        <w:t xml:space="preserve"> La metacognición clínica se enseña con representaciones y feedback, y se organiza con visitas de sala, fichas y revisiones diseñadas para hacer visible el pensamiento —no se decreta—.</w:t>
      </w:r>
    </w:p>
    <w:p>
      <w:pPr>
        <w:pStyle w:val="BodyJ"/>
        <w:keepNext/>
        <w:spacing w:after="80" w:before="160"/>
      </w:pPr>
      <w:r>
        <w:rPr>
          <w:b/>
          <w:bCs/>
        </w:rPr>
        <w:t xml:space="preserve">Tres preguntas para la próxima visita.</w:t>
      </w:r>
    </w:p>
    <w:p>
      <w:pPr>
        <w:pStyle w:val="BodyJ"/>
        <w:keepNext/>
        <w:numPr>
          <w:ilvl w:val="0"/>
          <w:numId w:val="22"/>
        </w:numPr>
      </w:pPr>
      <w:r>
        <w:t xml:space="preserve">La última vez que enseñé un caso, ¿pedí el diagnóstico o pedí primero la representación del problema?</w:t>
      </w:r>
    </w:p>
    <w:p>
      <w:pPr>
        <w:pStyle w:val="BodyJ"/>
        <w:keepNext/>
        <w:numPr>
          <w:ilvl w:val="0"/>
          <w:numId w:val="22"/>
        </w:numPr>
      </w:pPr>
      <w:r>
        <w:t xml:space="preserve">¿Qué pasó con el último paciente que derivé o di de alta con diagnóstico incierto —y cómo podría enterarme sistemáticamente—?</w:t>
      </w:r>
    </w:p>
    <w:p>
      <w:pPr>
        <w:pStyle w:val="BodyJ"/>
        <w:keepNext w:val="false"/>
        <w:numPr>
          <w:ilvl w:val="0"/>
          <w:numId w:val="22"/>
        </w:numPr>
      </w:pPr>
      <w:r>
        <w:t xml:space="preserve">Si mañana dirigiera mi servicio, ¿cuál de las tres palancas (visita de sala, ficha, revisión de errores) cambiaría primero, y qué costaría?</w:t>
      </w:r>
    </w:p>
    <w:p>
      <w:pPr>
        <w:pStyle w:val="Heading2"/>
        <w:keepNext/>
        <w:keepLines/>
        <w:pageBreakBefore/>
        <w:spacing w:after="300" w:before="600"/>
      </w:pPr>
      <w:r>
        <w:rPr>
          <w:rFonts w:ascii="Gelasio" w:cs="Gelasio" w:eastAsia="Gelasio" w:hAnsi="Gelasio"/>
          <w:b/>
          <w:bCs/>
          <w:color w:val="8C2F2F"/>
          <w:sz w:val="22"/>
          <w:szCs w:val="22"/>
        </w:rPr>
        <w:t xml:space="preserve">Capítulo 17</w:t>
      </w:r>
      <w:r>
        <w:rPr>
          <w:rFonts w:ascii="Gelasio" w:cs="Gelasio" w:eastAsia="Gelasio" w:hAnsi="Gelasio"/>
          <w:b/>
          <w:bCs/>
          <w:color w:val="3D5A6C"/>
          <w:sz w:val="32"/>
          <w:szCs w:val="32"/>
        </w:rPr>
        <w:br/>
        <w:t xml:space="preserve">La inteligencia artificial en el proceso clínico: roles, riesgos y defensas</w:t>
      </w:r>
    </w:p>
    <w:p>
      <w:pPr>
        <w:pStyle w:val="BodyJ"/>
        <w:keepNext w:val="false"/>
      </w:pPr>
      <w:r>
        <w:t xml:space="preserve">Un residente pega la historia de un paciente en un asistente de lenguaje y recibe, en ocho segundos, una evaluación impecablemente redactada: diagnóstico probable, diferenciales ordenados, plan sugerido. Todo suena verosímil. Este capítulo hace tres preguntas, en orden: qué puede hacer realmente esta tecnología en el proceso diagnóstico y terapéutico; qué riesgos trae —no en abstracto, sino con la evidencia ya disponible—; y cómo enfrentarlos sin renunciar a la herramienta ni al juicio. Y sostiene una tesis transversal: casi ninguno de estos riesgos es nuevo. Cada uno es un sesgo ya descrito en capítulos anteriores, ahora con amplificador.</w:t>
      </w:r>
    </w:p>
    <w:p>
      <w:pPr>
        <w:pStyle w:val="Heading3"/>
        <w:keepNext/>
        <w:keepLines/>
        <w:spacing w:after="120" w:before="280"/>
      </w:pPr>
      <w:r>
        <w:rPr>
          <w:rFonts w:ascii="Gelasio" w:cs="Gelasio" w:eastAsia="Gelasio" w:hAnsi="Gelasio"/>
          <w:b/>
          <w:bCs/>
          <w:color w:val="2B2B2B"/>
          <w:sz w:val="25"/>
          <w:szCs w:val="25"/>
        </w:rPr>
        <w:t xml:space="preserve">Lenguaje plausible y verdad</w:t>
      </w:r>
    </w:p>
    <w:p>
      <w:pPr>
        <w:pStyle w:val="BodyJ"/>
        <w:keepNext w:val="false"/>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al contenido generado que carece de sentido o es infiel a su fuente, sea un documento o, en las preguntas abiertas, el conocimiento del mundo (Ji et al., 2023). El término es metafórico: el modelo no tiene una experiencia perceptiva que se desorganice como en la alucinación humana.</w:t>
      </w:r>
    </w:p>
    <w:p>
      <w:pPr>
        <w:pStyle w:val="BodyJ"/>
        <w:keepNext w:val="false"/>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keepNext/>
        <w:keepLines/>
        <w:spacing w:after="120" w:before="280"/>
      </w:pPr>
      <w:r>
        <w:rPr>
          <w:rFonts w:ascii="Gelasio" w:cs="Gelasio" w:eastAsia="Gelasio" w:hAnsi="Gelasio"/>
          <w:b/>
          <w:bCs/>
          <w:color w:val="2B2B2B"/>
          <w:sz w:val="25"/>
          <w:szCs w:val="25"/>
        </w:rPr>
        <w:t xml:space="preserve">El rol en el proceso diagnóstico</w:t>
      </w:r>
    </w:p>
    <w:p>
      <w:pPr>
        <w:pStyle w:val="BodyJ"/>
        <w:keepNext w:val="false"/>
      </w:pPr>
      <w:r>
        <w:t xml:space="preserve">Los sistemas actuales hacen bien tareas delimitadas de reconocimiento: señalar pólipos durante una colonoscopía, priorizar radiografías con probable neumotórax, graduar una retinopatía diabética. En esas tareas el patrón está en la imagen y el estándar de referencia es relativamente estable. Los modelos de lenguaje agregaron otra capa: generan diferenciales, resumen historias y responden preguntas clínicas con un conocimiento médico codificado que, en exámenes y casos seleccionados, alcanza rendimiento alto (Singhal et al., 2023; Lee et al., 2023).</w:t>
      </w:r>
    </w:p>
    <w:p>
      <w:pPr>
        <w:pStyle w:val="BodyJ"/>
        <w:keepNext w:val="false"/>
      </w:pPr>
      <w:r>
        <w:t xml:space="preserve">Pero el dato más instructivo sobre el rol diagnóstico real es otro: un ensayo aleatorizado entregó a médicos de medicina interna, familiar y de urgencias un modelo de lenguaje como apoyo para resolver casos clínicos. El grupo con el modelo no diagnosticó mejor que el grupo sin él —y el modelo solo, sin médico, superó a ambos (Goh et al., 2024)—. La lectura fácil («la máquina ya es mejor») pasa por alto la lección metacognitiva: el eslabón débil no fue el modelo ni el médico, sino la conversación entre ambos. El ensayo no midió cómo la usaron; la lectura más plausible, que es una inferencia, es que la usaron como oráculo de confirmación —pegarle el caso y mirar si coincide con lo que ya pensaban— en vez de usarla para lo que mejor hace: ampliar el espacio de hipótesis, proponer el contraejemplo, señalar el dato que no encaja. La generación de alternativas es el momento creativo del diagnóstico; usada ahí, la IA es un multiplicador. Usada como confirmadora rápida, es un espejo del anclaje. El resultado, además, no es uniforme entre tareas. En un ensayo posterior del mismo grupo, sobre decisiones de manejo en cinco viñetas, los médicos con el modelo obtuvieron 6,5 puntos porcentuales más que con recursos convencionales (IC 95%, 2,7 a 10,2) y dedicaron más tiempo a cada caso (Goh et al., 2025). En 302 casos clínico-patológicos difíciles, los internistas asistidos por un modelo optimizado para el diagnóstico diferencial incluyeron el diagnóstico correcto entre sus diez primeros con más frecuencia que los asistidos por buscadores: 51,7% frente a 44,4% (McDuff et al., 2025). Ninguno de los tres trabajó con pacientes reales; muestran lo que la herramienta puede aportar, no lo que aporta en la sala.</w:t>
      </w:r>
    </w:p>
    <w:p>
      <w:pPr>
        <w:pStyle w:val="Heading3"/>
        <w:keepNext/>
        <w:keepLines/>
        <w:spacing w:after="120" w:before="280"/>
      </w:pPr>
      <w:r>
        <w:rPr>
          <w:rFonts w:ascii="Gelasio" w:cs="Gelasio" w:eastAsia="Gelasio" w:hAnsi="Gelasio"/>
          <w:b/>
          <w:bCs/>
          <w:color w:val="2B2B2B"/>
          <w:sz w:val="25"/>
          <w:szCs w:val="25"/>
        </w:rPr>
        <w:t xml:space="preserve">El rol en el proceso terapéutico</w:t>
      </w:r>
    </w:p>
    <w:p>
      <w:pPr>
        <w:pStyle w:val="BodyJ"/>
        <w:keepNext w:val="false"/>
      </w:pPr>
      <w:r>
        <w:t xml:space="preserve">En la terapéutica la IA llega antes y por caminos menos visibles: alertas de deterioro, predictores de sepsis, sugerencias de dosis, detección de interacciones, estratificaciones de riesgo que deciden quién entra a un programa de cuidados. Aquí la evidencia ya dejó una parábola completa. Un modelo propietario de predicción de sepsis, desplegado en cientos de hospitales, fue validado externamente recién después de su adopción masiva: discriminaba mal, calibraba peor y generaba una carga de alertas capaz de fatigar a cualquier equipo (Wong et al., 2021). La falla profunda no fue estadística sino epistemológica: el sistema se adoptó sin exigirle la evidencia local que se le pide a cualquier afirmación clínica: ¿funciona aquí, con estos pacientes, con esta prevalencia? Una herramienta no hereda la validez de su marca, y la validación externa no es un trámite, sino la diferencia entre una alerta y un ruido.</w:t>
      </w:r>
    </w:p>
    <w:p>
      <w:pPr>
        <w:pStyle w:val="BodyJ"/>
        <w:keepNext w:val="false"/>
      </w:pPr>
      <w:r>
        <w:t xml:space="preserve">Hay un segundo límite terapéutico más silencioso. Una recomendación de intervención generada por IA opera sobre lo que está escrito, y el capítulo 10 mostró que lo menos escrito de la ficha es precisamente el contexto global —funcionalidad basal, pronóstico de fondo, red de apoyo, fines del paciente—. Un sistema que no ve esos hechos no puede ponderarlos: recomendará la intervención «indicada» para la enfermedad documentada, que es el error de la indicación aislada. La IA no exime del cruce con la bioética; lo vuelve más urgente, porque automatiza la mitad técnica del razonamiento y deja la otra mitad —la que juzga si la intervención es proporcionada para este enfermo— enteramente del lado humano.</w:t>
      </w:r>
    </w:p>
    <w:p>
      <w:pPr>
        <w:pStyle w:val="Heading3"/>
        <w:keepNext/>
        <w:keepLines/>
        <w:spacing w:after="120" w:before="280"/>
      </w:pPr>
      <w:r>
        <w:rPr>
          <w:rFonts w:ascii="Gelasio" w:cs="Gelasio" w:eastAsia="Gelasio" w:hAnsi="Gelasio"/>
          <w:b/>
          <w:bCs/>
          <w:color w:val="2B2B2B"/>
          <w:sz w:val="25"/>
          <w:szCs w:val="25"/>
        </w:rPr>
        <w:t xml:space="preserve">El catálogo de riesgos</w:t>
      </w:r>
    </w:p>
    <w:p>
      <w:pPr>
        <w:pStyle w:val="BodyJ"/>
        <w:keepNext/>
      </w:pPr>
      <w:r>
        <w:t xml:space="preserve">Los riesgos de la IA clínica ya no son especulación: tienen literatura propia, y las advertencias sobre las consecuencias no intencionadas del aprendizaje automático —automatizar los sesgos de los datos, erosionar habilidades por deferencia— preceden a los modelos generativos (Cabitza et al., 2017). Vale tenerlos en catálogo, con su parentesco epistémico a la vista:</w:t>
      </w:r>
    </w:p>
    <w:p>
      <w:pPr>
        <w:pStyle w:val="BodyJ"/>
        <w:keepNext w:val="false"/>
        <w:numPr>
          <w:ilvl w:val="0"/>
          <w:numId w:val="5"/>
        </w:numPr>
      </w:pPr>
      <w:r>
        <w:rPr>
          <w:b/>
          <w:bCs/>
        </w:rPr>
        <w:t xml:space="preserve">Confabulación.</w:t>
      </w:r>
      <w:r>
        <w:t xml:space="preserve"> Contenido que contradice la fuente o que ésta no permite verificar, presentado con coherencia (Ji et al., 2023). Es la certeza retórica industrializada: prosa donde los hechos, las inferencias y lo inventado llegan con la misma sintaxis.</w:t>
      </w:r>
    </w:p>
    <w:p>
      <w:pPr>
        <w:pStyle w:val="BodyJ"/>
        <w:keepNext w:val="false"/>
        <w:numPr>
          <w:ilvl w:val="0"/>
          <w:numId w:val="5"/>
        </w:numPr>
      </w:pPr>
      <w:r>
        <w:rPr>
          <w:b/>
          <w:bCs/>
        </w:rPr>
        <w:t xml:space="preserve">Sesgo de automatización.</w:t>
      </w:r>
      <w:r>
        <w:t xml:space="preserve"> La tendencia a aceptar la salida de un sistema por venir de un sistema, documentada en los apoyos a la decisión clínica desde mucho antes de los modelos generativos: los sistemas corrigen errores humanos e introducen errores nuevos —el usuario que habría acertado solo y se equivoca por deferencia (Goddard et al., 2012)—. La versión de la era de los modelos de lenguaje ya tiene ensayo aleatorizado: médicos que habían completado veinte horas de alfabetización en IA, expuestos a recomendaciones de un modelo con errores deliberados, perdieron catorce puntos de exactitud diagnóstica frente a quienes recibieron recomendaciones correctas (Qazi et al., 2026). La alfabetización general no inmuniza; la vigilancia caso a caso no se delega en un curso. Es el anclaje más la autoridad no interrogada, con interfaz.</w:t>
      </w:r>
    </w:p>
    <w:p>
      <w:pPr>
        <w:pStyle w:val="BodyJ"/>
        <w:keepNext w:val="false"/>
        <w:numPr>
          <w:ilvl w:val="0"/>
          <w:numId w:val="5"/>
        </w:numPr>
      </w:pPr>
      <w:r>
        <w:rPr>
          <w:b/>
          <w:bCs/>
        </w:rPr>
        <w:t xml:space="preserve">Atrofia de la pericia.</w:t>
      </w:r>
      <w:r>
        <w:t xml:space="preserve"> La evidencia más inquietante es reciente: endoscopistas expuestos durante meses a la detección asistida de pólipos detectaron significativamente menos adenomas al volver a trabajar sin asistencia —seis puntos absolutos menos que antes de la exposición (Budzyń et al., 2025)—. La pericia perceptual se mantiene con práctica; si la máquina practica por el clínico, la cuenta llega en la primera guardia sin máquina.</w:t>
      </w:r>
    </w:p>
    <w:p>
      <w:pPr>
        <w:pStyle w:val="BodyJ"/>
        <w:keepNext w:val="false"/>
        <w:numPr>
          <w:ilvl w:val="0"/>
          <w:numId w:val="5"/>
        </w:numPr>
      </w:pPr>
      <w:r>
        <w:rPr>
          <w:b/>
          <w:bCs/>
        </w:rPr>
        <w:t xml:space="preserve">Sesgo algorítmico.</w:t>
      </w:r>
      <w:r>
        <w:t xml:space="preserve"> Un algoritmo aplicado a millones de pacientes en Estados Unidos asignaba menos cuidados a pacientes negros igual de enfermos, porque fue entrenado para predecir gasto sanitario como sustituto de necesidad —y en poblaciones históricamente subatendidas se gasta menos (Obermeyer et al., 2019)—. El error no estaba en la matemática sino en la elección del sustituto. Ningún dato de entrenamiento es neutro; alguien decidió qué medir.</w:t>
      </w:r>
    </w:p>
    <w:p>
      <w:pPr>
        <w:pStyle w:val="BodyJ"/>
        <w:keepNext w:val="false"/>
        <w:numPr>
          <w:ilvl w:val="0"/>
          <w:numId w:val="5"/>
        </w:numPr>
      </w:pPr>
      <w:r>
        <w:rPr>
          <w:b/>
          <w:bCs/>
        </w:rPr>
        <w:t xml:space="preserve">Sobreconfianza no calibrada.</w:t>
      </w:r>
      <w:r>
        <w:t xml:space="preserve"> La confianza que los modelos expresan con palabras tiende a la sobreconfianza (Xiong et al., 2024), aunque las probabilidades que asignan a sus propias respuestas pueden estar bien calibradas cuando se les pregunta en el formato adecuado (Kadavath et al., 2022): el «estoy bastante seguro» del modelo es tono, no calibración —la sobreconfianza humana, sin siquiera un historial propio de errores que la eduque—. Y cuando el modelo «critica» o «revisa» su propia respuesta, esa autocrítica puede ser otra generación entrenada para imitar la evaluación: la pregunta práctica no es si el sistema sabe que sabe, sino si sus señales de confianza están empíricamente calibradas.</w:t>
      </w:r>
    </w:p>
    <w:p>
      <w:pPr>
        <w:pStyle w:val="BodyJ"/>
        <w:keepNext w:val="false"/>
        <w:numPr>
          <w:ilvl w:val="0"/>
          <w:numId w:val="5"/>
        </w:numPr>
      </w:pPr>
      <w:r>
        <w:rPr>
          <w:b/>
          <w:bCs/>
        </w:rPr>
        <w:t xml:space="preserve">Degradación silenciosa.</w:t>
      </w:r>
      <w:r>
        <w:t xml:space="preserve"> Los modelos se despliegan sobre poblaciones que cambian: prevalencias, prácticas, codificaciones. El rendimiento decae sin anunciarse, porque el software no siente que está fallando. Sin monitoreo activo, la validación de ayer es la superstición de mañana.</w:t>
      </w:r>
    </w:p>
    <w:p>
      <w:pPr>
        <w:pStyle w:val="BodyJ"/>
        <w:keepNext w:val="false"/>
      </w:pPr>
      <w:r>
        <w:t xml:space="preserve">La columna vertebral del catálogo es una sola observación: la IA no introdujo errores nuevos en la medicina. Automatizó los que ya teníamos y les quitó los frenos naturales —la lentitud, la duda, el cansancio que a veces obligaba a pedir ayuda—. La Figura 15 pone cada riesgo junto al sesgo que amplifica.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19750" cy="4276725"/>
                          </a:xfrm>
                          <a:prstGeom prst="rect">
                            <a:avLst/>
                          </a:prstGeom>
                        </pic:spPr>
                      </pic:pic>
                    </a:graphicData>
                  </a:graphic>
                </wp:inline>
              </w:drawing>
            </w:r>
          </w:p>
          <w:p>
            <w:pPr>
              <w:pStyle w:val="Caption"/>
            </w:pPr>
            <w:r>
              <w:t xml:space="preserve">Figura 15. Parentescos: cada riesgo de la IA clínica junto al sesgo ya descrito y el capítulo donde vive; la captura cognitiva se describe en el apartado siguiente. Ningún riesgo es nuevo; la novedad es el amplificador.</w:t>
            </w:r>
          </w:p>
        </w:tc>
      </w:tr>
    </w:tbl>
    <w:p>
      <w:pPr>
        <w:spacing w:after="60"/>
      </w:pPr>
    </w:p>
    <w:p>
      <w:pPr>
        <w:pStyle w:val="Heading3"/>
        <w:keepNext/>
        <w:keepLines/>
        <w:spacing w:after="120" w:before="280"/>
      </w:pPr>
      <w:r>
        <w:rPr>
          <w:rFonts w:ascii="Gelasio" w:cs="Gelasio" w:eastAsia="Gelasio" w:hAnsi="Gelasio"/>
          <w:b/>
          <w:bCs/>
          <w:color w:val="2B2B2B"/>
          <w:sz w:val="25"/>
          <w:szCs w:val="25"/>
        </w:rPr>
        <w:t xml:space="preserve">El riesgo de fondo: la formación del razonador</w:t>
      </w:r>
    </w:p>
    <w:p>
      <w:pPr>
        <w:pStyle w:val="BodyJ"/>
        <w:keepNext w:val="false"/>
      </w:pPr>
      <w:r>
        <w:t xml:space="preserve">Hay un riesgo más lento que todos los del catálogo, y puede importar más: el efecto de la IA sobre quien todavía está aprendiendo a razonar. La educación médica ya le puso nombres a la tríada (Abdulnour et al., 2025). </w:t>
      </w:r>
      <w:r>
        <w:rPr>
          <w:i/>
          <w:iCs/>
        </w:rPr>
        <w:t xml:space="preserve">Deskilling</w:t>
      </w:r>
      <w:r>
        <w:t xml:space="preserve">: sé razonar, delego repetidamente, dejo de ejercitar, la capacidad se deteriora. </w:t>
      </w:r>
      <w:r>
        <w:rPr>
          <w:i/>
          <w:iCs/>
        </w:rPr>
        <w:t xml:space="preserve">Never-skilling</w:t>
      </w:r>
      <w:r>
        <w:t xml:space="preserve">: la IA estuvo disponible desde el inicio de la formación, la operación cognitiva nunca se ejecutó las veces necesarias, la competencia nunca se consolidó. </w:t>
      </w:r>
      <w:r>
        <w:rPr>
          <w:i/>
          <w:iCs/>
        </w:rPr>
        <w:t xml:space="preserve">Mis-skilling</w:t>
      </w:r>
      <w:r>
        <w:t xml:space="preserve">: se aprendió, pero patrones incorrectos, imitando salidas que nadie auditaba. El segundo es el más grave porque es invisible: la habilidad perdida deja un recuerdo y una alarma; la que nunca se construyó no deja nada que echar de menos.</w:t>
      </w:r>
    </w:p>
    <w:p>
      <w:pPr>
        <w:pStyle w:val="BodyJ"/>
        <w:keepNext w:val="false"/>
      </w:pPr>
      <w:r>
        <w:t xml:space="preserve">El mecanismo es preciso. Escribir la nota clínica no es registrar un pensamiento terminado: seleccionar qué dato importa, jerarquizarlo y estructurarlo es parte del proceso mismo de pensar —la ficha como instrumento de pensamiento—. De ahí que la automatización completa de la escritura clínica no ahorre sólo tiempo: puede eliminar la instancia en la que el clínico construye su razonamiento, degradando el registro y al registrador a la vez (McCoy et al., 2024). La ecuación hay que escribirla entera: ahorro de trabajo cognitivo inmediato, a cambio de las operaciones mediante las cuales se construye la competencia.</w:t>
      </w:r>
    </w:p>
    <w:p>
      <w:pPr>
        <w:pStyle w:val="BodyJ"/>
        <w:keepNext w:val="false"/>
      </w:pPr>
      <w:r>
        <w:t xml:space="preserve">Hay un tercer fenómeno que ni siquiera exige que la IA se equivoque: la captura cognitiva. Quien ve primero la respuesta del modelo ya no genera hipótesis desde el caso: su búsqueda de alternativas, su lectura de los datos y su ponderación posterior quedan condicionadas por lo que ya leyó. Es el anclaje de siempre, con la diferencia de que aquí el ancla puede llegar antes que el paciente. Una IA excelente que entrega demasiado pronto la hipótesis, la síntesis o la inferencia que el aprendiz debía producir no daña la respuesta de hoy; daña la arquitectura del aprendizaje. Porque el valor cognitivo de un caso no está sólo en llegar a la conclusión correcta: está en ejecutar las operaciones que permiten llegar a ella, revisarla y, cuando corresponde, abandonarla. Una herramienta que aumenta el porcentaje de respuestas correctas puede, paradójicamente, mejorar el desempeño de hoy mientras empeora al razonador de mañana.</w:t>
      </w:r>
    </w:p>
    <w:p>
      <w:pPr>
        <w:pStyle w:val="BodyJ"/>
        <w:keepNext w:val="false"/>
      </w:pPr>
      <w:r>
        <w:t xml:space="preserve">La aviación conoce esta trampa con nombre propio: la paradoja de la automatización (automation paradox) —cuanto más competente es el sistema, menos ejercita el humano las habilidades necesarias para detectar cuándo falla, que es cuando más se lo necesita (Abdulnour et al., 2026)—. La respuesta pedagógica propuesta frente a ella coincide, casi palabra por palabra, con lo que vienen pidiendo los capítulos anteriores: razonar primero de forma independiente, consultar después, y usar la IA para desafiar, ampliar o refinar ese razonamiento —nunca para reemplazar su ejecución—.</w:t>
      </w:r>
    </w:p>
    <w:p>
      <w:pPr>
        <w:pStyle w:val="Heading3"/>
        <w:keepNext/>
        <w:keepLines/>
        <w:spacing w:after="120" w:before="280"/>
      </w:pPr>
      <w:r>
        <w:rPr>
          <w:rFonts w:ascii="Gelasio" w:cs="Gelasio" w:eastAsia="Gelasio" w:hAnsi="Gelasio"/>
          <w:b/>
          <w:bCs/>
          <w:color w:val="2B2B2B"/>
          <w:sz w:val="25"/>
          <w:szCs w:val="25"/>
        </w:rPr>
        <w:t xml:space="preserve">Del copiado humano al fósil algorítmico: los escribas ambientales</w:t>
      </w:r>
    </w:p>
    <w:p>
      <w:pPr>
        <w:pStyle w:val="BodyJ"/>
        <w:keepNext w:val="false"/>
      </w:pPr>
      <w:r>
        <w:t xml:space="preserve">Hay una aplicación que ya está en las consultas y que toca el nervio de este libro: los escribas ambientales. Un micrófono escucha la conversación y un modelo redacta la nota. La adopción fue rápida: en un sistema integrado de Estados Unidos, cerca de 3.400 médicos usaron la herramienta en unas 300.000 consultas durante las diez semanas posteriores a su despliegue, con menos tiempo de documentación y mayor satisfacción (Tierney et al., 2024). El atractivo es real: devuelve al médico la mirada que la pantalla le robaba. Pero una conversación clínica no viene con capas. El médico dice «esto parece una neumonía, pero no me cierra la saturación», y la nota generada a partir de esa frase puede decir «neumonía». La duda dicha en voz alta se vuelve afirmación impresa; la modalidad epistémica —el «parece», el «no me cierra»— es lo que un resumen tiende a aplanar. Los primeros estudios con encuentros simulados sugieren que el problema no es sólo teórico. Al poner a prueba dos productos comerciales sobre once consultas guionadas, 31 de las 44 notas generadas contenían al menos un error, con una media de casi tres por nota. El tipo dominante fue la omisión, lo dicho en la consulta y ausente en la nota: 83% de los errores de un producto y 54% de los del otro, seguida de contenido agregado o incorrecto (Biro et al., 2025). Los primeros ensayos aleatorizados, publicados en 2025, piden el mismo tono mesurado. En uno, con 238 médicos ambulatorios, uno de los dos escribas probados redujo en 9,5% el tiempo dedicado a escribir la nota y el otro no lo cambió; las encuestas sugirieron menos agotamiento, y los usuarios vieron inexactitudes clínicamente relevantes «ocasionalmente», la más citada de ellas, otra vez, la omisión (Lukac et al., 2025). En otro, con 66 profesionales, bajaron el agotamiento y el tiempo dedicado a las notas (Afshar et al., 2025).</w:t>
      </w:r>
    </w:p>
    <w:p>
      <w:pPr>
        <w:pStyle w:val="BodyJ"/>
        <w:keepNext w:val="false"/>
      </w:pPr>
      <w:r>
        <w:t xml:space="preserve">De ahí una regla de diseño, dicha en el vocabulario de las capas. Un escriba ambiental (ambient scribe) puede redactar el borrador de la capa H —qué se dijo, qué se midió, con hora y fuente—, a veces mejor que un humano cansado; pero ese borrador se verifica antes de firmar, porque el error dominante en las notas generadas fue la omisión, y lo omitido no se ve leyendo lo escrito: se ve contrastándolo con lo que pasó en la consulta. No debería autocompletar la capa D ni la frase medular: la decisión, el criterio de reapertura y el grado de la inferencia tienen que salir de la mano del clínico, porque escribirlos es la instancia en que se piensan (McCoy et al., 2024). Donde la herramienta llene las cuatro capas, el never-skilling del apartado anterior tiene su vía de entrada más cómoda: notas impecables firmadas por médicos que ya no las construyen. La prueba de un buen escriba no es que la nota se lea bien; es que conserve el «no me cierra».</w:t>
      </w:r>
    </w:p>
    <w:p>
      <w:pPr>
        <w:pStyle w:val="Heading3"/>
        <w:keepNext/>
        <w:keepLines/>
        <w:spacing w:after="120" w:before="280"/>
      </w:pPr>
      <w:r>
        <w:rPr>
          <w:rFonts w:ascii="Gelasio" w:cs="Gelasio" w:eastAsia="Gelasio" w:hAnsi="Gelasio"/>
          <w:b/>
          <w:bCs/>
          <w:color w:val="2B2B2B"/>
          <w:sz w:val="25"/>
          <w:szCs w:val="25"/>
        </w:rPr>
        <w:t xml:space="preserve">Cómo enfrentarlos: las defensas del clínico</w:t>
      </w:r>
    </w:p>
    <w:p>
      <w:pPr>
        <w:pStyle w:val="BodyJ"/>
        <w:keepNext/>
      </w:pPr>
      <w:r>
        <w:t xml:space="preserve">La primera defensa ya está escrita en los capítulos anteriores. El clínico responsable puede distinguir «lo vi», «lo infiero» y «no lo sé»; un modelo suele mezclar esas capas si nadie le exige separación, y puede transformar ausencia de información en un detalle probable, porque su objetivo generativo favorece la continuidad. La matriz HII-D funciona entonces como protocolo de auditoría de cualquier salida de IA:</w:t>
      </w:r>
    </w:p>
    <w:p>
      <w:pPr>
        <w:pStyle w:val="BodyJ"/>
        <w:keepNext w:val="false"/>
        <w:numPr>
          <w:ilvl w:val="0"/>
          <w:numId w:val="5"/>
        </w:numPr>
      </w:pPr>
      <w:r>
        <w:t xml:space="preserve">¿qué hechos provienen realmente del caso?;</w:t>
      </w:r>
    </w:p>
    <w:p>
      <w:pPr>
        <w:pStyle w:val="BodyJ"/>
        <w:keepNext w:val="false"/>
        <w:numPr>
          <w:ilvl w:val="0"/>
          <w:numId w:val="5"/>
        </w:numPr>
      </w:pPr>
      <w:r>
        <w:t xml:space="preserve">¿qué información agregó el modelo?;</w:t>
      </w:r>
    </w:p>
    <w:p>
      <w:pPr>
        <w:pStyle w:val="BodyJ"/>
        <w:keepNext w:val="false"/>
        <w:numPr>
          <w:ilvl w:val="0"/>
          <w:numId w:val="5"/>
        </w:numPr>
      </w:pPr>
      <w:r>
        <w:t xml:space="preserve">¿qué inferencias formula y con qué respaldo?;</w:t>
      </w:r>
    </w:p>
    <w:p>
      <w:pPr>
        <w:pStyle w:val="BodyJ"/>
        <w:keepNext w:val="false"/>
        <w:numPr>
          <w:ilvl w:val="0"/>
          <w:numId w:val="5"/>
        </w:numPr>
      </w:pPr>
      <w:r>
        <w:t xml:space="preserve">¿qué incertidumbres omitió?;</w:t>
      </w:r>
    </w:p>
    <w:p>
      <w:pPr>
        <w:pStyle w:val="BodyJ"/>
        <w:keepNext w:val="false"/>
        <w:numPr>
          <w:ilvl w:val="0"/>
          <w:numId w:val="5"/>
        </w:numPr>
      </w:pPr>
      <w:r>
        <w:t xml:space="preserve">¿qué decisión propone y cuáles serían sus riesgos?;</w:t>
      </w:r>
    </w:p>
    <w:p>
      <w:pPr>
        <w:pStyle w:val="BodyJ"/>
        <w:keepNext w:val="false"/>
        <w:numPr>
          <w:ilvl w:val="0"/>
          <w:numId w:val="5"/>
        </w:numPr>
      </w:pPr>
      <w:r>
        <w:t xml:space="preserve">¿qué fuente primaria permite verificar la afirmación?</w:t>
      </w:r>
    </w:p>
    <w:p>
      <w:pPr>
        <w:pStyle w:val="BodyJ"/>
        <w:keepNext/>
      </w:pPr>
      <w:r>
        <w:t xml:space="preserve">De esa auditoría se desprenden reglas de uso que caben en una tarjeta:</w:t>
      </w:r>
    </w:p>
    <w:p>
      <w:pPr>
        <w:pStyle w:val="BodyJ"/>
        <w:keepNext w:val="false"/>
        <w:numPr>
          <w:ilvl w:val="0"/>
          <w:numId w:val="23"/>
        </w:numPr>
      </w:pPr>
      <w:r>
        <w:rPr>
          <w:b/>
          <w:bCs/>
        </w:rPr>
        <w:t xml:space="preserve">Razonar antes de consultar.</w:t>
      </w:r>
      <w:r>
        <w:t xml:space="preserve"> Formular la propia hipótesis y el propio plan antes de abrir el asistente: la respuesta vista primero captura la búsqueda posterior. La IA se usa contra un borrador propio, no en su lugar.</w:t>
      </w:r>
    </w:p>
    <w:p>
      <w:pPr>
        <w:pStyle w:val="BodyJ"/>
        <w:keepNext w:val="false"/>
        <w:numPr>
          <w:ilvl w:val="0"/>
          <w:numId w:val="23"/>
        </w:numPr>
      </w:pPr>
      <w:r>
        <w:rPr>
          <w:b/>
          <w:bCs/>
        </w:rPr>
        <w:t xml:space="preserve">Verificar la afirmación decisiva contra una fuente primaria antes de actuar.</w:t>
      </w:r>
      <w:r>
        <w:t xml:space="preserve"> No todas: la decisiva —la que, de ser falsa, cambia la conducta—.</w:t>
      </w:r>
    </w:p>
    <w:p>
      <w:pPr>
        <w:pStyle w:val="BodyJ"/>
        <w:keepNext w:val="false"/>
        <w:numPr>
          <w:ilvl w:val="0"/>
          <w:numId w:val="23"/>
        </w:numPr>
      </w:pPr>
      <w:r>
        <w:rPr>
          <w:b/>
          <w:bCs/>
        </w:rPr>
        <w:t xml:space="preserve">Usar la herramienta para abrir, no para cerrar.</w:t>
      </w:r>
      <w:r>
        <w:t xml:space="preserve"> Pedir alternativas, contraejemplos y «qué no encaja con este diagnóstico» aprovecha lo que el ensayo de Goh mostró que los médicos desaprovechan; pedirle confirmación de la hipótesis propia industrializa el anclaje.</w:t>
      </w:r>
    </w:p>
    <w:p>
      <w:pPr>
        <w:pStyle w:val="BodyJ"/>
        <w:keepNext w:val="false"/>
        <w:numPr>
          <w:ilvl w:val="0"/>
          <w:numId w:val="23"/>
        </w:numPr>
      </w:pPr>
      <w:r>
        <w:rPr>
          <w:b/>
          <w:bCs/>
        </w:rPr>
        <w:t xml:space="preserve">Tratar su confianza como tono, no como evidencia.</w:t>
      </w:r>
      <w:r>
        <w:t xml:space="preserve"> La seguridad de la prosa no informa la probabilidad de corrección —igual que la seguridad de un colega no sustituye sus razones—.</w:t>
      </w:r>
    </w:p>
    <w:p>
      <w:pPr>
        <w:pStyle w:val="BodyJ"/>
        <w:keepNext w:val="false"/>
        <w:numPr>
          <w:ilvl w:val="0"/>
          <w:numId w:val="23"/>
        </w:numPr>
      </w:pPr>
      <w:r>
        <w:rPr>
          <w:b/>
          <w:bCs/>
        </w:rPr>
        <w:t xml:space="preserve">Nunca pegar y firmar.</w:t>
      </w:r>
      <w:r>
        <w:t xml:space="preserve"> Lo que entra a la ficha bajo la firma propia es afirmación propia: una confabulación copiada se convierte en hecho heredado para el siguiente lector, y la síntesis delegada es, además, pensamiento que no ocurrió (McCoy et al., 2024).</w:t>
      </w:r>
    </w:p>
    <w:p>
      <w:pPr>
        <w:pStyle w:val="BodyJ"/>
        <w:keepNext w:val="false"/>
        <w:numPr>
          <w:ilvl w:val="0"/>
          <w:numId w:val="23"/>
        </w:numPr>
      </w:pPr>
      <w:r>
        <w:rPr>
          <w:b/>
          <w:bCs/>
        </w:rPr>
        <w:t xml:space="preserve">Conservar práctica sin asistencia.</w:t>
      </w:r>
      <w:r>
        <w:t xml:space="preserve"> La lección de los endoscopistas: alternar deliberadamente el trabajo con y sin la herramienta, como se conserva cualquier destreza que puede necesitarse a las tres de la mañana, con el sistema caído.</w:t>
      </w:r>
    </w:p>
    <w:p>
      <w:pPr>
        <w:pStyle w:val="BodyJ"/>
        <w:keepNext w:val="false"/>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keepNext/>
        <w:keepLines/>
        <w:spacing w:after="120" w:before="280"/>
      </w:pPr>
      <w:r>
        <w:rPr>
          <w:rFonts w:ascii="Gelasio" w:cs="Gelasio" w:eastAsia="Gelasio" w:hAnsi="Gelasio"/>
          <w:b/>
          <w:bCs/>
          <w:color w:val="2B2B2B"/>
          <w:sz w:val="25"/>
          <w:szCs w:val="25"/>
        </w:rPr>
        <w:t xml:space="preserve">Cómo enfrentarlos: las defensas de la institución</w:t>
      </w:r>
    </w:p>
    <w:p>
      <w:pPr>
        <w:pStyle w:val="BodyJ"/>
        <w:keepNext/>
      </w:pPr>
      <w:r>
        <w:t xml:space="preserve">Las defensas individuales no bastan, porque varios riesgos del catálogo operan a escala de sistema. Una institución que despliega IA clínica contrae obligaciones epistémicas precisas:</w:t>
      </w:r>
    </w:p>
    <w:p>
      <w:pPr>
        <w:pStyle w:val="BodyJ"/>
        <w:keepNext w:val="false"/>
        <w:numPr>
          <w:ilvl w:val="0"/>
          <w:numId w:val="5"/>
        </w:numPr>
      </w:pPr>
      <w:r>
        <w:rPr>
          <w:b/>
          <w:bCs/>
        </w:rPr>
        <w:t xml:space="preserve">Validación local antes de usar.</w:t>
      </w:r>
      <w:r>
        <w:t xml:space="preserve"> El desempeño publicado —o prometido— no es el desempeño aquí; la parábola del predictor de sepsis existe porque nadie hizo esta pregunta a tiempo (Wong et al., 2021).</w:t>
      </w:r>
    </w:p>
    <w:p>
      <w:pPr>
        <w:pStyle w:val="BodyJ"/>
        <w:keepNext w:val="false"/>
        <w:numPr>
          <w:ilvl w:val="0"/>
          <w:numId w:val="5"/>
        </w:numPr>
      </w:pPr>
      <w:r>
        <w:rPr>
          <w:b/>
          <w:bCs/>
        </w:rPr>
        <w:t xml:space="preserve">Monitoreo continuo con umbrales de retirada.</w:t>
      </w:r>
      <w:r>
        <w:t xml:space="preserve"> Definir antes del despliegue qué degradación obliga a recalibrar o apagar: la falsabilidad del capítulo 15, aplicada al software.</w:t>
      </w:r>
    </w:p>
    <w:p>
      <w:pPr>
        <w:pStyle w:val="BodyJ"/>
        <w:keepNext w:val="false"/>
        <w:numPr>
          <w:ilvl w:val="0"/>
          <w:numId w:val="5"/>
        </w:numPr>
      </w:pPr>
      <w:r>
        <w:rPr>
          <w:b/>
          <w:bCs/>
        </w:rPr>
        <w:t xml:space="preserve">Auditoría de equidad.</w:t>
      </w:r>
      <w:r>
        <w:t xml:space="preserve"> Desagregar el rendimiento por subgrupos y examinar los sustitutos con la pregunta de Obermeyer: ¿qué mide realmente esta variable, y para quién?</w:t>
      </w:r>
    </w:p>
    <w:p>
      <w:pPr>
        <w:pStyle w:val="BodyJ"/>
        <w:keepNext w:val="false"/>
        <w:numPr>
          <w:ilvl w:val="0"/>
          <w:numId w:val="5"/>
        </w:numPr>
      </w:pPr>
      <w:r>
        <w:rPr>
          <w:b/>
          <w:bCs/>
        </w:rPr>
        <w:t xml:space="preserve">Presupuesto de alertas.</w:t>
      </w:r>
      <w:r>
        <w:t xml:space="preserve"> Cada alarma nueva compite por la misma atención finita; una alerta de bajo valor predictivo no es inocua —es ruido que entrena a ignorar, y el equipo que aprendió a ignorar no distingue qué está ignorando—.</w:t>
      </w:r>
    </w:p>
    <w:p>
      <w:pPr>
        <w:pStyle w:val="BodyJ"/>
        <w:keepNext w:val="false"/>
        <w:numPr>
          <w:ilvl w:val="0"/>
          <w:numId w:val="5"/>
        </w:numPr>
      </w:pPr>
      <w:r>
        <w:rPr>
          <w:b/>
          <w:bCs/>
        </w:rPr>
        <w:t xml:space="preserve">Formación que supervise el uso, no sólo la respuesta.</w:t>
      </w:r>
      <w:r>
        <w:t xml:space="preserve"> En docencia, observar cómo el aprendiz usa cognitivamente la herramienta —cuándo consulta, qué acepta, qué verifica, qué habría respondido antes de mirar— y proteger espacios deliberados de práctica sin asistencia (Abdulnour et al., 2025): la competencia que nunca se construyó no se puede «recuperar».</w:t>
      </w:r>
    </w:p>
    <w:p>
      <w:pPr>
        <w:pStyle w:val="BodyJ"/>
        <w:keepNext w:val="false"/>
        <w:numPr>
          <w:ilvl w:val="0"/>
          <w:numId w:val="5"/>
        </w:numPr>
      </w:pPr>
      <w:r>
        <w:rPr>
          <w:b/>
          <w:bCs/>
        </w:rPr>
        <w:t xml:space="preserve">Responsabilidad trazable.</w:t>
      </w:r>
      <w:r>
        <w:t xml:space="preserve"> Cada recomendación automatizada necesita un dueño humano identificable, con tiempo, datos y autoridad para contradecirla. La OMS ha recomendado gobernanza, evaluación, transparencia y supervisión humana para estos sistemas, atendiendo riesgos de inexactitud, sesgo, privacidad y dependencia excesiva (World Health Organization, 2024); esa supervisión no puede ser una firma ritual al final del flujo.</w:t>
      </w:r>
    </w:p>
    <w:p>
      <w:pPr>
        <w:pStyle w:val="Quote1"/>
      </w:pPr>
      <w:r>
        <w:t xml:space="preserve">La IA puede ampliar el espacio de hipótesis; no puede asumir por sí sola la responsabilidad de transformar una hipótesis en conducta clínica.</w:t>
      </w:r>
    </w:p>
    <w:p>
      <w:pPr>
        <w:pStyle w:val="EnUnaFrase"/>
      </w:pPr>
      <w:r>
        <w:rPr>
          <w:b/>
          <w:bCs/>
        </w:rPr>
        <w:t xml:space="preserve">En una frase.</w:t>
      </w:r>
      <w:r>
        <w:t xml:space="preserve"> La IA generativa produce aquello contra lo que este libro entrena: prosa fluida donde hechos, inferencias e incertidumbre llegan mezclados —auditarla con HII-D es el mismo ejercicio que auditar la propia escritura—.</w:t>
      </w:r>
    </w:p>
    <w:p>
      <w:pPr>
        <w:pStyle w:val="BodyJ"/>
        <w:keepNext/>
        <w:spacing w:after="80" w:before="160"/>
      </w:pPr>
      <w:r>
        <w:rPr>
          <w:b/>
          <w:bCs/>
        </w:rPr>
        <w:t xml:space="preserve">Tres preguntas para la próxima visita.</w:t>
      </w:r>
    </w:p>
    <w:p>
      <w:pPr>
        <w:pStyle w:val="BodyJ"/>
        <w:keepNext/>
        <w:numPr>
          <w:ilvl w:val="0"/>
          <w:numId w:val="24"/>
        </w:numPr>
      </w:pPr>
      <w:r>
        <w:t xml:space="preserve">Si uso IA en este caso, ¿qué dato de su respuesta verifiqué contra una fuente primaria antes de actuar?</w:t>
      </w:r>
    </w:p>
    <w:p>
      <w:pPr>
        <w:pStyle w:val="BodyJ"/>
        <w:keepNext/>
        <w:numPr>
          <w:ilvl w:val="0"/>
          <w:numId w:val="24"/>
        </w:numPr>
      </w:pPr>
      <w:r>
        <w:t xml:space="preserve">¿Qué agregó el modelo que el caso no contenía?</w:t>
      </w:r>
    </w:p>
    <w:p>
      <w:pPr>
        <w:pStyle w:val="BodyJ"/>
        <w:keepNext w:val="false"/>
        <w:numPr>
          <w:ilvl w:val="0"/>
          <w:numId w:val="24"/>
        </w:numPr>
      </w:pPr>
      <w:r>
        <w:t xml:space="preserve">¿Estoy usando la herramienta para ampliar hipótesis o para confirmar rápido la que ya tenía?</w:t>
      </w:r>
    </w:p>
    <w:p>
      <w:pPr>
        <w:pStyle w:val="Heading2"/>
        <w:keepNext/>
        <w:keepLines/>
        <w:pageBreakBefore/>
        <w:spacing w:after="300" w:before="600"/>
      </w:pPr>
      <w:r>
        <w:rPr>
          <w:rFonts w:ascii="Gelasio" w:cs="Gelasio" w:eastAsia="Gelasio" w:hAnsi="Gelasio"/>
          <w:b/>
          <w:bCs/>
          <w:color w:val="8C2F2F"/>
          <w:sz w:val="22"/>
          <w:szCs w:val="22"/>
        </w:rPr>
        <w:t xml:space="preserve">Capítulo 18</w:t>
      </w:r>
      <w:r>
        <w:rPr>
          <w:rFonts w:ascii="Gelasio" w:cs="Gelasio" w:eastAsia="Gelasio" w:hAnsi="Gelasio"/>
          <w:b/>
          <w:bCs/>
          <w:color w:val="3D5A6C"/>
          <w:sz w:val="32"/>
          <w:szCs w:val="32"/>
        </w:rPr>
        <w:br/>
        <w:t xml:space="preserve">La palabra exacta: lo que la poesía sabe del juicio clínico</w:t>
      </w:r>
    </w:p>
    <w:p>
      <w:pPr>
        <w:pStyle w:val="BodyJ"/>
        <w:keepNext w:val="false"/>
      </w:pPr>
      <w:r>
        <w:t xml:space="preserve">Hay un momento que los tratados no describen y todo clínico conoce: tres hallazgos sueltos —una taquicardia sin fiebre, un abdomen que «no convence», una frase de la hija— se ordenan de golpe bajo una sola explicación, y algo hace clic. El placer de ese instante no es administrativo. Es físico, breve y sospechosamente parecido al de un verso que cae en su lugar. Este capítulo toma ese parecido en serio: no como adorno humanista, sino como información sobre cómo funciona —y cómo falla— el juicio.</w:t>
      </w:r>
    </w:p>
    <w:p>
      <w:pPr>
        <w:pStyle w:val="Heading3"/>
        <w:keepNext/>
        <w:keepLines/>
        <w:spacing w:after="120" w:before="280"/>
      </w:pPr>
      <w:r>
        <w:rPr>
          <w:rFonts w:ascii="Gelasio" w:cs="Gelasio" w:eastAsia="Gelasio" w:hAnsi="Gelasio"/>
          <w:b/>
          <w:bCs/>
          <w:color w:val="2B2B2B"/>
          <w:sz w:val="25"/>
          <w:szCs w:val="25"/>
        </w:rPr>
        <w:t xml:space="preserve">Dos oficios de la conexión</w:t>
      </w:r>
    </w:p>
    <w:p>
      <w:pPr>
        <w:pStyle w:val="BodyJ"/>
        <w:keepNext w:val="false"/>
      </w:pPr>
      <w:r>
        <w:t xml:space="preserve">El poeta trabaja buscando conexiones: entre palabras, entre una palabra y un sentido que todavía no tiene nombre, entre el sonido y aquello que el sonido vuelve visible. Su estado mental característico combina atención flotante, oído para lo que no encaja y una disposición rara: dejar que el material mande sobre el plan. El clínico que razona bien trabaja igual, con otros materiales: entre el hallazgo y el mecanismo, entre el mecanismo y la intervención que estabiliza, busca la conexión que convierta fragmentos en un caso inteligible.</w:t>
      </w:r>
    </w:p>
    <w:p>
      <w:pPr>
        <w:pStyle w:val="BodyJ"/>
        <w:keepNext w:val="false"/>
      </w:pPr>
      <w:r>
        <w:t xml:space="preserve">El parentesco es lógico antes que sentimental. Una metáfora es la hipótesis de que dos cosas lejanas comparten estructura; un diagnóstico es una metáfora que acepta ser puesta a prueba —«este cuadro es una colecistitis» apuesta a que lo que ocurre en este cuerpo comparte estructura con un patrón aprendido—. Ambos movimientos son la abducción del capítulo 2, y ambos requieren el estado que el capítulo 14 llamó humildad en funciones: sostener la conjetura con fuerza suficiente para trabajarla y soltura suficiente para dejarla caer. Bohm lo dijo desde la física: el acto creativo central —percibir un orden nuevo en lo que ya estaba a la vista— es el mismo en el arte y en la ciencia; cambian los materiales y el tribunal (Bohm, 1996).</w:t>
      </w:r>
    </w:p>
    <w:p>
      <w:pPr>
        <w:pStyle w:val="Heading3"/>
        <w:keepNext/>
        <w:keepLines/>
        <w:spacing w:after="120" w:before="280"/>
      </w:pPr>
      <w:r>
        <w:rPr>
          <w:rFonts w:ascii="Gelasio" w:cs="Gelasio" w:eastAsia="Gelasio" w:hAnsi="Gelasio"/>
          <w:b/>
          <w:bCs/>
          <w:color w:val="2B2B2B"/>
          <w:sz w:val="25"/>
          <w:szCs w:val="25"/>
        </w:rPr>
        <w:t xml:space="preserve">Huidobro, o la palabra que crea</w:t>
      </w:r>
    </w:p>
    <w:p>
      <w:pPr>
        <w:pStyle w:val="BodyJ"/>
        <w:keepNext w:val="false"/>
      </w:pPr>
      <w:r>
        <w:t xml:space="preserve">En 1916, Vicente Huidobro escribió el manifiesto de una poesía que no quería describir el mundo sino aumentarlo: «Por qué cantáis la rosa, ¡oh Poetas! / Hacedla florecer en el poema». Y remató con la línea más citada del creacionismo: «El poeta es un pequeño Dios» (Huidobro, 1916). El poema no canta la rosa: la crea. Como programa poético es glorioso. Como descripción de lo que el lenguaje puede hacer, es el peligro contra el que este libro lleva diecisiete capítulos escribiendo.</w:t>
      </w:r>
    </w:p>
    <w:p>
      <w:pPr>
        <w:pStyle w:val="BodyJ"/>
        <w:keepNext w:val="false"/>
      </w:pPr>
      <w:r>
        <w:t xml:space="preserve">Porque la ficha clínica también hace florecer rosas. La «neumonía aspirativa» del prefacio —dos palabras limpias que crearon un antecedente que nadie observó— es creacionismo puro; el «somatiza» de la viñeta 8, también. El mecanismo ya es conocido: la ficha produce lo visible, y sus criaturas verbales adquieren vida institucional. La diferencia con la poesía es brutal: las rosas de Huidobro viven en el poema; las nuestras reciben antibióticos, cirugías y altas. El lenguaje clínico descuidado es creacionista por defecto —y un servicio lleno de pequeños dioses es un lugar peligroso para estar enfermo—.</w:t>
      </w:r>
    </w:p>
    <w:p>
      <w:pPr>
        <w:pStyle w:val="Heading3"/>
        <w:keepNext/>
        <w:keepLines/>
        <w:spacing w:after="120" w:before="280"/>
      </w:pPr>
      <w:r>
        <w:rPr>
          <w:rFonts w:ascii="Gelasio" w:cs="Gelasio" w:eastAsia="Gelasio" w:hAnsi="Gelasio"/>
          <w:b/>
          <w:bCs/>
          <w:color w:val="2B2B2B"/>
          <w:sz w:val="25"/>
          <w:szCs w:val="25"/>
        </w:rPr>
        <w:t xml:space="preserve">Parra, o la deflación</w:t>
      </w:r>
    </w:p>
    <w:p>
      <w:pPr>
        <w:pStyle w:val="BodyJ"/>
        <w:keepNext w:val="false"/>
      </w:pPr>
      <w:r>
        <w:t xml:space="preserve">El antídoto también lo escribió un chileno, y no uno cualquiera: un profesor de mecánica racional que estudió cosmología en Oxford y sabía, por oficio diurno, lo que cuesta un dato. Nicanor Parra pasó su vida bajándole los humos a la palabra: primero con los antipoemas (Parra, 1954), después con un «Manifiesto» que es casi un léxico de certeza en verso: los poetas bajaron del Olimpo, la poesía debe escribirse en palabras de todos los días —y, con nombre y apellido implícitos, la condena de «la poesía de pequeño dios» (Parra, 1969)—. La réplica a Huidobro no es una interpretación: está en el texto.</w:t>
      </w:r>
    </w:p>
    <w:p>
      <w:pPr>
        <w:pStyle w:val="BodyJ"/>
        <w:keepNext w:val="false"/>
      </w:pPr>
      <w:r>
        <w:t xml:space="preserve">La antipoesía es un programa epistemológico completo: quitarle a la palabra los poderes que no puede sostener y devolverla al tamaño de la experiencia. Visto desde ahí, el léxico de certeza es antipoesía aplicada: «sin evidencia actual de» es un verso parriano —feo, honesto, exacto, imposible de recitar con voz engolada—. La ficha lúcida se escribe más cerca de Parra que de Huidobro: lengua de todos los días, dignidad del «no sé», desconfianza instintiva de toda frase que suene demasiado bien.</w:t>
      </w:r>
    </w:p>
    <w:p>
      <w:pPr>
        <w:pStyle w:val="Heading3"/>
        <w:keepNext/>
        <w:keepLines/>
        <w:spacing w:after="120" w:before="280"/>
      </w:pPr>
      <w:r>
        <w:rPr>
          <w:rFonts w:ascii="Gelasio" w:cs="Gelasio" w:eastAsia="Gelasio" w:hAnsi="Gelasio"/>
          <w:b/>
          <w:bCs/>
          <w:color w:val="2B2B2B"/>
          <w:sz w:val="25"/>
          <w:szCs w:val="25"/>
        </w:rPr>
        <w:t xml:space="preserve">La belleza como señal y como trampa</w:t>
      </w:r>
    </w:p>
    <w:p>
      <w:pPr>
        <w:pStyle w:val="BodyJ"/>
        <w:keepNext w:val="false"/>
      </w:pPr>
      <w:r>
        <w:t xml:space="preserve">El clic estético del diagnóstico existe y es información. La parsimonia, la convergencia, el encaje sin residuo son la forma sensible de la fuerza por convergencia: cuando una explicación ordena todos los hechos sin forzar ninguno, algo en nosotros lo registra como belleza antes de poder justificarlo. Esa señal vale: propone candidatos que el análisis no habría listado.</w:t>
      </w:r>
    </w:p>
    <w:p>
      <w:pPr>
        <w:pStyle w:val="BodyJ"/>
        <w:keepNext w:val="false"/>
      </w:pPr>
      <w:r>
        <w:t xml:space="preserve">Pero el lector ya conoció a la impostora. La historia coherente del hindsight, la narrativa atractiva que infla la confianza, la prosa fluida de los modelos de lenguaje: todas son bellas y ninguna es, por serlo, verdadera. La belleza no distingue entre orden hallado y orden impuesto —para eso están las pruebas severas—. La regla que concilia ambas caras cabe en una línea: la elegancia selecciona hipótesis; nunca las confirma. El verso puede quedarse bello para siempre; el diagnóstico tiene que amanecer verdadero, y la evolución lo audita cada mañana.</w:t>
      </w:r>
    </w:p>
    <w:p>
      <w:pPr>
        <w:pStyle w:val="BodyJ"/>
        <w:keepNext w:val="false"/>
      </w:pPr>
      <w:r>
        <w:t xml:space="preserve">Queda la belleza final, la que menos se nombra: la de hacer lo correcto en el contexto correcto. Una estabilización bien conducida tiene forma estética: nada sobró, nada faltó, cada intervención llegó a su hora; es la phronesis vuelta percepción. Pero es una belleza que sólo puede declararse retrospectivamente, y sólo si el proceso era defendible antes de conocer el desenlace. En medicina la estética es un subproducto del rigor. Cuando se la busca directamente —el diagnóstico brillante, la frase imponente—, se obtiene Huidobro en la ficha.</w:t>
      </w:r>
    </w:p>
    <w:p>
      <w:pPr>
        <w:pStyle w:val="Heading3"/>
        <w:keepNext/>
        <w:keepLines/>
        <w:spacing w:after="120" w:before="280"/>
      </w:pPr>
      <w:r>
        <w:rPr>
          <w:rFonts w:ascii="Gelasio" w:cs="Gelasio" w:eastAsia="Gelasio" w:hAnsi="Gelasio"/>
          <w:b/>
          <w:bCs/>
          <w:color w:val="2B2B2B"/>
          <w:sz w:val="25"/>
          <w:szCs w:val="25"/>
        </w:rPr>
        <w:t xml:space="preserve">Leer poesía como entrenamiento clínico</w:t>
      </w:r>
    </w:p>
    <w:p>
      <w:pPr>
        <w:pStyle w:val="BodyJ"/>
        <w:keepNext w:val="false"/>
      </w:pPr>
      <w:r>
        <w:t xml:space="preserve">Si el parentesco es real, leer poesía no es un lujo cultural del médico, sino gimnasio específico. Entrena la precisión léxica —el poeta agoniza entre dos palabras casi iguales, que es la distancia entre «descartado» y «sin evidencia actual de»—. Entrena la tolerancia a la ambigüedad sostenida: un poema no se «resuelve», se habita; como ciertas incertidumbres clínicas. Entrena el oído para el relato: la anamnesis tiene ritmo, silencios y palabras elegidas, y «esta vez la hernia no se dejó acomodar» es, técnicamente, un verso: el capítulo 1 pidió conservarlo textual por razones epistémicas; este capítulo agrega la razón estética, que es la misma. Y entrena, con Parra, la resistencia a la solemnidad: nadie que haya leído antipoesía vuelve a escribir «se procede a realizar manejo multidisciplinario integral» sin sonrojarse.</w:t>
      </w:r>
    </w:p>
    <w:p>
      <w:pPr>
        <w:pStyle w:val="BodyJ"/>
        <w:keepNext w:val="false"/>
      </w:pPr>
      <w:r>
        <w:t xml:space="preserve">No es casualidad que el investigador principal de la saga del capítulo 9 —el ensayo que enseñó a medio mundo a mirar la piel antes que el número— escriba también poesía. El oído que distingue una palabra que trabaja de una palabra que decora es el mismo que distingue un blanco de reanimación que informa de uno que sólo tranquiliza.</w:t>
      </w:r>
    </w:p>
    <w:p>
      <w:pPr>
        <w:pStyle w:val="Quote1"/>
      </w:pPr>
      <w:r>
        <w:t xml:space="preserve">El poeta busca la palabra que vuelva visible una conexión; el clínico, la conexión que sobreviva cuando la palabra sea puesta a prueba. Ambos fracasan de la misma manera: cuando la frase queda más bella que verdadera.</w:t>
      </w:r>
    </w:p>
    <w:p>
      <w:pPr>
        <w:pStyle w:val="EnUnaFrase"/>
      </w:pPr>
      <w:r>
        <w:rPr>
          <w:b/>
          <w:bCs/>
        </w:rPr>
        <w:t xml:space="preserve">En una frase.</w:t>
      </w:r>
      <w:r>
        <w:t xml:space="preserve"> La poesía y el juicio clínico comparten el arte de la conexión exacta y difieren en el tribunal —al poema lo juzga el oído, al diagnóstico lo juzga la evolución— y por eso la ficha lúcida se escribe con Parra, no con Huidobro.</w:t>
      </w:r>
    </w:p>
    <w:p>
      <w:pPr>
        <w:pStyle w:val="BodyJ"/>
        <w:keepNext/>
        <w:spacing w:after="80" w:before="160"/>
      </w:pPr>
      <w:r>
        <w:rPr>
          <w:b/>
          <w:bCs/>
        </w:rPr>
        <w:t xml:space="preserve">Tres preguntas para la próxima visita.</w:t>
      </w:r>
    </w:p>
    <w:p>
      <w:pPr>
        <w:pStyle w:val="BodyJ"/>
        <w:keepNext/>
        <w:numPr>
          <w:ilvl w:val="0"/>
          <w:numId w:val="25"/>
        </w:numPr>
      </w:pPr>
      <w:r>
        <w:t xml:space="preserve">¿Qué palabra de mi última nota está «haciendo florecer» algo que nadie observó?</w:t>
      </w:r>
    </w:p>
    <w:p>
      <w:pPr>
        <w:pStyle w:val="BodyJ"/>
        <w:keepNext/>
        <w:numPr>
          <w:ilvl w:val="0"/>
          <w:numId w:val="25"/>
        </w:numPr>
      </w:pPr>
      <w:r>
        <w:t xml:space="preserve">El diagnóstico que más me satisface hoy: ¿me convence por la evidencia o por lo bien que cierra la historia?</w:t>
      </w:r>
    </w:p>
    <w:p>
      <w:pPr>
        <w:pStyle w:val="BodyJ"/>
        <w:keepNext w:val="false"/>
        <w:numPr>
          <w:ilvl w:val="0"/>
          <w:numId w:val="25"/>
        </w:numPr>
      </w:pPr>
      <w:r>
        <w:t xml:space="preserve">¿Cuándo fue la última vez que leí algo —un poema, una página— sólo para afinar el oído con el que después escucho pacientes?</w:t>
      </w:r>
    </w:p>
    <w:p>
      <w:pPr>
        <w:pStyle w:val="Heading1"/>
        <w:keepNext/>
        <w:keepLines/>
        <w:pageBreakBefore/>
        <w:spacing w:after="320" w:before="720"/>
      </w:pPr>
      <w:r>
        <w:rPr>
          <w:rFonts w:ascii="Gelasio" w:cs="Gelasio" w:eastAsia="Gelasio" w:hAnsi="Gelasio"/>
          <w:b/>
          <w:bCs/>
          <w:color w:val="2B2B2B"/>
          <w:sz w:val="34"/>
          <w:szCs w:val="34"/>
        </w:rPr>
        <w:t xml:space="preserve">Conclusión. Una medicina lúcida</w:t>
      </w:r>
    </w:p>
    <w:p>
      <w:pPr>
        <w:pStyle w:val="BodyJ"/>
        <w:keepNext w:val="false"/>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keepNext w:val="false"/>
      </w:pPr>
      <w:r>
        <w:t xml:space="preserve">Esta tensión no es un defecto que pueda eliminarse mediante mayor seguridad retórica, sino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keepNext w:val="false"/>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keepNext w:val="false"/>
      </w:pPr>
      <w:r>
        <w:t xml:space="preserve">El lenguaje clínico es uno de sus instrumentos más poderosos. La frase medular no es la más breve ni la más elegante, sino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keepNext w:val="false"/>
      </w:pPr>
      <w:r>
        <w:t xml:space="preserve">El mapa del comienzo (Figura 1) prometió tres hilos: las capas del conocimiento, el camino de la conjetura a la humildad y la lengua que conserva o borra las capas. Tres nudos de ese tejido quedan a la vista. El primero va de la abducción a la humildad. Conjeturar, vigilar la conjetura y no cerrarla antes de tiempo son tres momentos de un mismo gesto, y el capítulo 14 le dio su nombre antiguo, phronesis. Lo que puede agregarse aquí es el orden de los fracasos: sin conjetura no hay diagnóstico; sin vigilancia, el diagnóstico se vuelve certeza; sin humildad, la certeza se vuelve ficha. El segundo va del dato al contexto: la funcionalidad, el pronóstico de fondo y la red de apoyo son hechos clínicos, y una decisión que los omitió no es más objetiva sino más incompleta. El tercero va de la ficha al razonador: escribir la nota es parte de pensar. Por eso la inteligencia artificial, que produce la prosa fluida contra la que entrena cada capítulo —hechos, inferencias e invenciones con la misma sintaxis—, no cambia la disciplina: la vuelve urgente, sobre todo para quien todavía está formando el juicio que la herramienta ofrece reemplazar. Ante una respuesta automática como ante la propia narrativa, la pregunta es la misma: qué proviene del caso, qué fue inferido, qué permanece incierto y qué responsabilidad implica actuar.</w:t>
      </w:r>
    </w:p>
    <w:p>
      <w:pPr>
        <w:pStyle w:val="BodyJ"/>
        <w:keepNext/>
      </w:pPr>
      <w:r>
        <w:t xml:space="preserve">HII-D resume una disciplina posible:</w:t>
      </w:r>
    </w:p>
    <w:p>
      <w:pPr>
        <w:pStyle w:val="BodyJ"/>
        <w:keepNext/>
        <w:numPr>
          <w:ilvl w:val="0"/>
          <w:numId w:val="5"/>
        </w:numPr>
      </w:pPr>
      <w:r>
        <w:rPr>
          <w:b/>
          <w:bCs/>
        </w:rPr>
        <w:t xml:space="preserve">Hechos</w:t>
      </w:r>
      <w:r>
        <w:t xml:space="preserve">: observar con procedencia y límites.</w:t>
      </w:r>
    </w:p>
    <w:p>
      <w:pPr>
        <w:pStyle w:val="BodyJ"/>
        <w:keepNext/>
        <w:numPr>
          <w:ilvl w:val="0"/>
          <w:numId w:val="5"/>
        </w:numPr>
      </w:pPr>
      <w:r>
        <w:rPr>
          <w:b/>
          <w:bCs/>
        </w:rPr>
        <w:t xml:space="preserve">Inferencias</w:t>
      </w:r>
      <w:r>
        <w:t xml:space="preserve">: explicar con fuerza proporcional.</w:t>
      </w:r>
    </w:p>
    <w:p>
      <w:pPr>
        <w:pStyle w:val="BodyJ"/>
        <w:keepNext/>
        <w:numPr>
          <w:ilvl w:val="0"/>
          <w:numId w:val="5"/>
        </w:numPr>
      </w:pPr>
      <w:r>
        <w:rPr>
          <w:b/>
          <w:bCs/>
        </w:rPr>
        <w:t xml:space="preserve">Incertidumbre</w:t>
      </w:r>
      <w:r>
        <w:t xml:space="preserve">: nombrar lo que puede cambiar el modelo o la conducta.</w:t>
      </w:r>
    </w:p>
    <w:p>
      <w:pPr>
        <w:pStyle w:val="BodyJ"/>
        <w:keepNext/>
        <w:numPr>
          <w:ilvl w:val="0"/>
          <w:numId w:val="5"/>
        </w:numPr>
      </w:pPr>
      <w:r>
        <w:rPr>
          <w:b/>
          <w:bCs/>
        </w:rPr>
        <w:t xml:space="preserve">Decisión</w:t>
      </w:r>
      <w:r>
        <w:t xml:space="preserve">: actuar por umbrales y consecuencias, no por necesidad de certeza.</w:t>
      </w:r>
    </w:p>
    <w:p>
      <w:pPr>
        <w:pStyle w:val="BodyJ"/>
        <w:keepNext w:val="false"/>
        <w:numPr>
          <w:ilvl w:val="0"/>
          <w:numId w:val="5"/>
        </w:numPr>
      </w:pPr>
      <w:r>
        <w:rPr>
          <w:b/>
          <w:bCs/>
        </w:rPr>
        <w:t xml:space="preserve">Reevaluación</w:t>
      </w:r>
      <w:r>
        <w:t xml:space="preserve">: devolver al mundo la capacidad de corregirnos.</w:t>
      </w:r>
    </w:p>
    <w:p>
      <w:pPr>
        <w:pStyle w:val="BodyJ"/>
        <w:keepNext w:val="false"/>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la propia representación más certeza de la que los hechos permiten, sin usar esa limitación como excusa para dejar de decidir.</w:t>
      </w:r>
    </w:p>
    <w:p>
      <w:pPr>
        <w:pStyle w:val="BodyJ"/>
        <w:keepNext w:val="false"/>
      </w:pPr>
      <w:r>
        <w:t xml:space="preserve">Una medicina científicamente seria y humanamente responsable no es la que nunca duda. Es la que sabe qué hacer con su duda. Y pensar bien —con la evidencia que hay, en el estado en que uno está, con los instrumentos que suplen lo que falta— no es un lujo de la medicina: es la primera de sus obligaciones, de la que parte todo lo demás.</w:t>
      </w:r>
    </w:p>
    <w:p>
      <w:pPr>
        <w:pStyle w:val="Heading3"/>
        <w:keepNext/>
        <w:keepLines/>
        <w:spacing w:after="120" w:before="280"/>
      </w:pPr>
      <w:r>
        <w:rPr>
          <w:rFonts w:ascii="Gelasio" w:cs="Gelasio" w:eastAsia="Gelasio" w:hAnsi="Gelasio"/>
          <w:b/>
          <w:bCs/>
          <w:color w:val="2B2B2B"/>
          <w:sz w:val="25"/>
          <w:szCs w:val="25"/>
        </w:rPr>
        <w:t xml:space="preserve">Una disciplina cotidiana</w:t>
      </w:r>
    </w:p>
    <w:p>
      <w:pPr>
        <w:pStyle w:val="BodyJ"/>
        <w:keepNext w:val="false"/>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 El Apéndice C los convierte en un plan de tres meses para un servicio: el lenguaje primero, la pausa en la visita después, la ficha y el circuito de aprendizaje al final.</w:t>
      </w:r>
    </w:p>
    <w:p>
      <w:pPr>
        <w:pStyle w:val="BodyJ"/>
        <w:keepNext w:val="false"/>
      </w:pPr>
      <w:r>
        <w:t xml:space="preserve">La medicina necesita afirmaciones suficientemente firmes para coordinar acciones y suficientemente abiertas para admitir corrección. Esa doble exigencia no es una contradicción que deba resolverse eligiendo seguridad o duda, sino la forma propia del juicio clínico.</w:t>
      </w:r>
    </w:p>
    <w:p>
      <w:pPr>
        <w:pStyle w:val="BodyJ"/>
        <w:keepNext w:val="false"/>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keepNext/>
        <w:keepLines/>
        <w:pageBreakBefore/>
        <w:spacing w:after="320" w:before="720"/>
      </w:pPr>
      <w:r>
        <w:rPr>
          <w:rFonts w:ascii="Gelasio" w:cs="Gelasio" w:eastAsia="Gelasio" w:hAnsi="Gelasio"/>
          <w:b/>
          <w:bCs/>
          <w:color w:val="2B2B2B"/>
          <w:sz w:val="34"/>
          <w:szCs w:val="34"/>
        </w:rPr>
        <w:t xml:space="preserve">Apéndice A. Hoja HII-D para discusión de casos</w:t>
      </w:r>
    </w:p>
    <w:p>
      <w:pPr>
        <w:pStyle w:val="BodyJ"/>
        <w:keepNext/>
      </w:pPr>
      <w:r>
        <w:rPr>
          <w:b/>
          <w:bCs/>
        </w:rPr>
        <w:t xml:space="preserve">Pregunta operativa</w:t>
      </w:r>
    </w:p>
    <w:p>
      <w:pPr>
        <w:pStyle w:val="BodyJ"/>
        <w:keepNext w:val="false"/>
      </w:pPr>
      <w:r>
        <w:t xml:space="preserve">¿Qué decisión concreta debe resolverse ahora?</w:t>
      </w:r>
    </w:p>
    <w:p>
      <w:pPr>
        <w:pStyle w:val="BodyJ"/>
        <w:keepNext/>
      </w:pPr>
      <w:r>
        <w:rPr>
          <w:b/>
          <w:bCs/>
        </w:rPr>
        <w:t xml:space="preserve">H — Hechos decisivos</w:t>
      </w:r>
    </w:p>
    <w:p>
      <w:pPr>
        <w:pStyle w:val="BodyJ"/>
        <w:keepNext w:val="false"/>
        <w:numPr>
          <w:ilvl w:val="0"/>
          <w:numId w:val="5"/>
        </w:numPr>
      </w:pPr>
      <w:r>
        <w:t xml:space="preserve">Fuente y fecha de cada dato.</w:t>
      </w:r>
    </w:p>
    <w:p>
      <w:pPr>
        <w:pStyle w:val="BodyJ"/>
        <w:keepNext w:val="false"/>
        <w:numPr>
          <w:ilvl w:val="0"/>
          <w:numId w:val="5"/>
        </w:numPr>
      </w:pPr>
      <w:r>
        <w:t xml:space="preserve">Tendencia temporal.</w:t>
      </w:r>
    </w:p>
    <w:p>
      <w:pPr>
        <w:pStyle w:val="BodyJ"/>
        <w:keepNext w:val="false"/>
        <w:numPr>
          <w:ilvl w:val="0"/>
          <w:numId w:val="5"/>
        </w:numPr>
      </w:pPr>
      <w:r>
        <w:t xml:space="preserve">Hallazgos positivos y negativos.</w:t>
      </w:r>
    </w:p>
    <w:p>
      <w:pPr>
        <w:pStyle w:val="BodyJ"/>
        <w:keepNext w:val="false"/>
        <w:numPr>
          <w:ilvl w:val="0"/>
          <w:numId w:val="5"/>
        </w:numPr>
      </w:pPr>
      <w:r>
        <w:t xml:space="preserve">Datos no evaluados o no disponibles.</w:t>
      </w:r>
    </w:p>
    <w:p>
      <w:pPr>
        <w:pStyle w:val="BodyJ"/>
        <w:keepNext w:val="false"/>
        <w:numPr>
          <w:ilvl w:val="0"/>
          <w:numId w:val="5"/>
        </w:numPr>
      </w:pPr>
      <w:r>
        <w:t xml:space="preserve">Confiabilidad y límites del método.</w:t>
      </w:r>
    </w:p>
    <w:p>
      <w:pPr>
        <w:pStyle w:val="BodyJ"/>
        <w:keepNext w:val="false"/>
        <w:numPr>
          <w:ilvl w:val="0"/>
          <w:numId w:val="5"/>
        </w:numPr>
      </w:pPr>
      <w:r>
        <w:t xml:space="preserve">Estado del razonador cuando pueda pesar: hora, horas de turno, sueño, ánimo, preocupación ajena al caso.</w:t>
      </w:r>
    </w:p>
    <w:p>
      <w:pPr>
        <w:pStyle w:val="BodyJ"/>
        <w:keepNext/>
      </w:pPr>
      <w:r>
        <w:rPr>
          <w:b/>
          <w:bCs/>
        </w:rPr>
        <w:t xml:space="preserve">I — Inferencia principal</w:t>
      </w:r>
    </w:p>
    <w:p>
      <w:pPr>
        <w:pStyle w:val="BodyJ"/>
        <w:keepNext/>
        <w:numPr>
          <w:ilvl w:val="0"/>
          <w:numId w:val="5"/>
        </w:numPr>
      </w:pPr>
      <w:r>
        <w:t xml:space="preserve">Representación del problema en una frase.</w:t>
      </w:r>
    </w:p>
    <w:p>
      <w:pPr>
        <w:pStyle w:val="BodyJ"/>
        <w:keepNext/>
        <w:numPr>
          <w:ilvl w:val="0"/>
          <w:numId w:val="5"/>
        </w:numPr>
      </w:pPr>
      <w:r>
        <w:t xml:space="preserve">Grado de certeza: demostrado / altamente probable / probable / posible / no demostrado.</w:t>
      </w:r>
    </w:p>
    <w:p>
      <w:pPr>
        <w:pStyle w:val="BodyJ"/>
        <w:keepNext/>
        <w:numPr>
          <w:ilvl w:val="0"/>
          <w:numId w:val="5"/>
        </w:numPr>
      </w:pPr>
      <w:r>
        <w:t xml:space="preserve">Mecanismo causal propuesto y qué parte no fue observada.</w:t>
      </w:r>
    </w:p>
    <w:p>
      <w:pPr>
        <w:pStyle w:val="BodyJ"/>
        <w:keepNext w:val="false"/>
        <w:numPr>
          <w:ilvl w:val="0"/>
          <w:numId w:val="5"/>
        </w:numPr>
      </w:pPr>
      <w:r>
        <w:t xml:space="preserve">Evidencia convergente y dato discordante.</w:t>
      </w:r>
    </w:p>
    <w:p>
      <w:pPr>
        <w:pStyle w:val="BodyJ"/>
        <w:keepNext/>
      </w:pPr>
      <w:r>
        <w:rPr>
          <w:b/>
          <w:bCs/>
        </w:rPr>
        <w:t xml:space="preserve">I — Incertidumbre</w:t>
      </w:r>
    </w:p>
    <w:p>
      <w:pPr>
        <w:pStyle w:val="BodyJ"/>
        <w:keepNext/>
        <w:numPr>
          <w:ilvl w:val="0"/>
          <w:numId w:val="5"/>
        </w:numPr>
      </w:pPr>
      <w:r>
        <w:t xml:space="preserve">Alternativa que cambiaría la conducta.</w:t>
      </w:r>
    </w:p>
    <w:p>
      <w:pPr>
        <w:pStyle w:val="BodyJ"/>
        <w:keepNext/>
        <w:numPr>
          <w:ilvl w:val="0"/>
          <w:numId w:val="5"/>
        </w:numPr>
      </w:pPr>
      <w:r>
        <w:t xml:space="preserve">Duda reducible con examen.</w:t>
      </w:r>
    </w:p>
    <w:p>
      <w:pPr>
        <w:pStyle w:val="BodyJ"/>
        <w:keepNext/>
        <w:numPr>
          <w:ilvl w:val="0"/>
          <w:numId w:val="5"/>
        </w:numPr>
      </w:pPr>
      <w:r>
        <w:t xml:space="preserve">Duda dependiente de evolución.</w:t>
      </w:r>
    </w:p>
    <w:p>
      <w:pPr>
        <w:pStyle w:val="BodyJ"/>
        <w:keepNext/>
        <w:numPr>
          <w:ilvl w:val="0"/>
          <w:numId w:val="5"/>
        </w:numPr>
      </w:pPr>
      <w:r>
        <w:t xml:space="preserve">Duda irreductible o no relevante para la decisión inmediata.</w:t>
      </w:r>
    </w:p>
    <w:p>
      <w:pPr>
        <w:pStyle w:val="BodyJ"/>
        <w:keepNext w:val="false"/>
        <w:numPr>
          <w:ilvl w:val="0"/>
          <w:numId w:val="5"/>
        </w:numPr>
      </w:pPr>
      <w:r>
        <w:t xml:space="preserve">Error de mayor consecuencia.</w:t>
      </w:r>
    </w:p>
    <w:p>
      <w:pPr>
        <w:pStyle w:val="BodyJ"/>
        <w:keepNext/>
      </w:pPr>
      <w:r>
        <w:rPr>
          <w:b/>
          <w:bCs/>
        </w:rPr>
        <w:t xml:space="preserve">D — Decisión</w:t>
      </w:r>
    </w:p>
    <w:p>
      <w:pPr>
        <w:pStyle w:val="BodyJ"/>
        <w:keepNext w:val="false"/>
        <w:numPr>
          <w:ilvl w:val="0"/>
          <w:numId w:val="5"/>
        </w:numPr>
      </w:pPr>
      <w:r>
        <w:t xml:space="preserve">Conducta elegida.</w:t>
      </w:r>
    </w:p>
    <w:p>
      <w:pPr>
        <w:pStyle w:val="BodyJ"/>
        <w:keepNext w:val="false"/>
        <w:numPr>
          <w:ilvl w:val="0"/>
          <w:numId w:val="5"/>
        </w:numPr>
      </w:pPr>
      <w:r>
        <w:t xml:space="preserve">Por qué el beneficio esperado supera al de las alternativas.</w:t>
      </w:r>
    </w:p>
    <w:p>
      <w:pPr>
        <w:pStyle w:val="BodyJ"/>
        <w:keepNext w:val="false"/>
        <w:numPr>
          <w:ilvl w:val="0"/>
          <w:numId w:val="5"/>
        </w:numPr>
      </w:pPr>
      <w:r>
        <w:t xml:space="preserve">Urgencia, reversibilidad y capacidad de vigilancia.</w:t>
      </w:r>
    </w:p>
    <w:p>
      <w:pPr>
        <w:pStyle w:val="BodyJ"/>
        <w:keepNext w:val="false"/>
        <w:numPr>
          <w:ilvl w:val="0"/>
          <w:numId w:val="5"/>
        </w:numPr>
      </w:pPr>
      <w:r>
        <w:t xml:space="preserve">Contexto global: funcionalidad basal, pronóstico de fondo, red de apoyo social y familiar.</w:t>
      </w:r>
    </w:p>
    <w:p>
      <w:pPr>
        <w:pStyle w:val="BodyJ"/>
        <w:keepNext w:val="false"/>
        <w:numPr>
          <w:ilvl w:val="0"/>
          <w:numId w:val="5"/>
        </w:numPr>
      </w:pPr>
      <w:r>
        <w:t xml:space="preserve">Preferencias del paciente (citadas, no presumidas).</w:t>
      </w:r>
    </w:p>
    <w:p>
      <w:pPr>
        <w:pStyle w:val="BodyJ"/>
        <w:keepNext w:val="false"/>
        <w:numPr>
          <w:ilvl w:val="0"/>
          <w:numId w:val="5"/>
        </w:numPr>
      </w:pPr>
      <w:r>
        <w:t xml:space="preserve">Proporcionalidad: ¿la intervención guarda proporción con el pronóstico y los fines del enfermo?</w:t>
      </w:r>
    </w:p>
    <w:p>
      <w:pPr>
        <w:pStyle w:val="BodyJ"/>
        <w:keepNext/>
      </w:pPr>
      <w:r>
        <w:rPr>
          <w:b/>
          <w:bCs/>
        </w:rPr>
        <w:t xml:space="preserve">Reevaluación</w:t>
      </w:r>
    </w:p>
    <w:p>
      <w:pPr>
        <w:pStyle w:val="BodyJ"/>
        <w:keepNext/>
        <w:numPr>
          <w:ilvl w:val="0"/>
          <w:numId w:val="5"/>
        </w:numPr>
      </w:pPr>
      <w:r>
        <w:t xml:space="preserve">Resultado pendiente.</w:t>
      </w:r>
    </w:p>
    <w:p>
      <w:pPr>
        <w:pStyle w:val="BodyJ"/>
        <w:keepNext/>
        <w:numPr>
          <w:ilvl w:val="0"/>
          <w:numId w:val="5"/>
        </w:numPr>
      </w:pPr>
      <w:r>
        <w:t xml:space="preserve">Plazo.</w:t>
      </w:r>
    </w:p>
    <w:p>
      <w:pPr>
        <w:pStyle w:val="BodyJ"/>
        <w:keepNext/>
        <w:numPr>
          <w:ilvl w:val="0"/>
          <w:numId w:val="5"/>
        </w:numPr>
      </w:pPr>
      <w:r>
        <w:t xml:space="preserve">Cambio clínico que obliga a reabrir el caso.</w:t>
      </w:r>
    </w:p>
    <w:p>
      <w:pPr>
        <w:pStyle w:val="BodyJ"/>
        <w:keepNext w:val="false"/>
        <w:numPr>
          <w:ilvl w:val="0"/>
          <w:numId w:val="5"/>
        </w:numPr>
      </w:pPr>
      <w:r>
        <w:t xml:space="preserve">Responsable de verificar y comunicar.</w:t>
      </w:r>
    </w:p>
    <w:p>
      <w:pPr>
        <w:pStyle w:val="BodyJ"/>
        <w:keepNext/>
      </w:pPr>
      <w:r>
        <w:rPr>
          <w:b/>
          <w:bCs/>
        </w:rPr>
        <w:t xml:space="preserve">Frase medular final</w:t>
      </w:r>
    </w:p>
    <w:p>
      <w:pPr>
        <w:pStyle w:val="BodyJ"/>
        <w:keepNext w:val="false"/>
      </w:pPr>
      <w:r>
        <w:t xml:space="preserve">Una o dos frases que expresen la naturaleza del evento, la inferencia con su grado, la incertidumbre crítica y el efecto sobre la conducta.</w:t>
      </w:r>
    </w:p>
    <w:p>
      <w:pPr>
        <w:pStyle w:val="BodyJ"/>
        <w:keepNext w:val="false"/>
      </w:pPr>
      <w:r>
        <w:rPr>
          <w:b/>
          <w:bCs/>
        </w:rPr>
        <w:t xml:space="preserve">Plantilla condensada</w:t>
      </w:r>
      <w:r>
        <w:t xml:space="preserve"> (una línea por campo, para la nota difícil): pregunta operativa · hechos decisivos · inferencia principal y grado · alternativa que cambiaría la conducta · incertidumbre crítica · contexto global · decisión y razón · criterio de reapertura.</w:t>
      </w:r>
    </w:p>
    <w:p>
      <w:pPr>
        <w:pStyle w:val="BodyJ"/>
        <w:keepNext w:val="false"/>
      </w:pPr>
      <w:r>
        <w:rPr>
          <w:b/>
          <w:bCs/>
        </w:rPr>
        <w:t xml:space="preserve">Versión de sesenta segundos</w:t>
      </w:r>
      <w:r>
        <w:t xml:space="preserve"> (para casos de rutina o alta presión de tiempo): las cuatro preguntas de la caja del capítulo 15, reproducidas en la tarjeta de la última página.</w:t>
      </w:r>
    </w:p>
    <w:p>
      <w:pPr>
        <w:pStyle w:val="Heading1"/>
        <w:keepNext/>
        <w:keepLines/>
        <w:pageBreakBefore/>
        <w:spacing w:after="320" w:before="720"/>
      </w:pPr>
      <w:r>
        <w:rPr>
          <w:rFonts w:ascii="Gelasio" w:cs="Gelasio" w:eastAsia="Gelasio" w:hAnsi="Gelasio"/>
          <w:b/>
          <w:bCs/>
          <w:color w:val="2B2B2B"/>
          <w:sz w:val="34"/>
          <w:szCs w:val="34"/>
        </w:rPr>
        <w:t xml:space="preserve">Apéndice B. Léxico de certeza y pausa diagnóstica</w:t>
      </w:r>
    </w:p>
    <w:p>
      <w:pPr>
        <w:pStyle w:val="Heading3"/>
        <w:keepNext/>
        <w:keepLines/>
        <w:spacing w:after="120" w:before="280"/>
      </w:pPr>
      <w:r>
        <w:rPr>
          <w:rFonts w:ascii="Gelasio" w:cs="Gelasio" w:eastAsia="Gelasio" w:hAnsi="Gelasio"/>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«ITU asociada a catéter urinario permanente (CUP)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D;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(beta-hCG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keepNext/>
        <w:keepLines/>
        <w:spacing w:after="120" w:before="280"/>
      </w:pPr>
      <w:r>
        <w:rPr>
          <w:rFonts w:ascii="Gelasio" w:cs="Gelasio" w:eastAsia="Gelasio" w:hAnsi="Gelasio"/>
          <w:b/>
          <w:bCs/>
          <w:color w:val="2B2B2B"/>
          <w:sz w:val="25"/>
          <w:szCs w:val="25"/>
        </w:rPr>
        <w:t xml:space="preserve">Doce preguntas para una pausa diagnóstica</w:t>
      </w:r>
    </w:p>
    <w:p>
      <w:pPr>
        <w:pStyle w:val="BodyJ"/>
        <w:keepNext w:val="false"/>
        <w:numPr>
          <w:ilvl w:val="0"/>
          <w:numId w:val="26"/>
        </w:numPr>
      </w:pPr>
      <w:r>
        <w:t xml:space="preserve">¿Puedo describir el caso sin usar el diagnóstico actual?</w:t>
      </w:r>
    </w:p>
    <w:p>
      <w:pPr>
        <w:pStyle w:val="BodyJ"/>
        <w:keepNext w:val="false"/>
        <w:numPr>
          <w:ilvl w:val="0"/>
          <w:numId w:val="26"/>
        </w:numPr>
      </w:pPr>
      <w:r>
        <w:t xml:space="preserve">¿Qué dato sostiene más mi conclusión?</w:t>
      </w:r>
    </w:p>
    <w:p>
      <w:pPr>
        <w:pStyle w:val="BodyJ"/>
        <w:keepNext w:val="false"/>
        <w:numPr>
          <w:ilvl w:val="0"/>
          <w:numId w:val="26"/>
        </w:numPr>
      </w:pPr>
      <w:r>
        <w:t xml:space="preserve">¿Ese dato es específico o sólo compatible?</w:t>
      </w:r>
    </w:p>
    <w:p>
      <w:pPr>
        <w:pStyle w:val="BodyJ"/>
        <w:keepNext w:val="false"/>
        <w:numPr>
          <w:ilvl w:val="0"/>
          <w:numId w:val="26"/>
        </w:numPr>
      </w:pPr>
      <w:r>
        <w:t xml:space="preserve">¿Qué hallazgo no encaja?</w:t>
      </w:r>
    </w:p>
    <w:p>
      <w:pPr>
        <w:pStyle w:val="BodyJ"/>
        <w:keepNext w:val="false"/>
        <w:numPr>
          <w:ilvl w:val="0"/>
          <w:numId w:val="26"/>
        </w:numPr>
      </w:pPr>
      <w:r>
        <w:t xml:space="preserve">¿Qué información estoy suponiendo que fue verificada?</w:t>
      </w:r>
    </w:p>
    <w:p>
      <w:pPr>
        <w:pStyle w:val="BodyJ"/>
        <w:keepNext w:val="false"/>
        <w:numPr>
          <w:ilvl w:val="0"/>
          <w:numId w:val="26"/>
        </w:numPr>
      </w:pPr>
      <w:r>
        <w:t xml:space="preserve">¿Qué alternativa cambiaría la conducta inmediata?</w:t>
      </w:r>
    </w:p>
    <w:p>
      <w:pPr>
        <w:pStyle w:val="BodyJ"/>
        <w:keepNext w:val="false"/>
        <w:numPr>
          <w:ilvl w:val="0"/>
          <w:numId w:val="26"/>
        </w:numPr>
      </w:pPr>
      <w:r>
        <w:t xml:space="preserve">¿Estoy usando la respuesta al tratamiento como prueba causal demasiado fuerte?</w:t>
      </w:r>
    </w:p>
    <w:p>
      <w:pPr>
        <w:pStyle w:val="BodyJ"/>
        <w:keepNext w:val="false"/>
        <w:numPr>
          <w:ilvl w:val="0"/>
          <w:numId w:val="26"/>
        </w:numPr>
      </w:pPr>
      <w:r>
        <w:t xml:space="preserve">¿La gravedad es coherente con mi explicación?</w:t>
      </w:r>
    </w:p>
    <w:p>
      <w:pPr>
        <w:pStyle w:val="BodyJ"/>
        <w:keepNext w:val="false"/>
        <w:numPr>
          <w:ilvl w:val="0"/>
          <w:numId w:val="26"/>
        </w:numPr>
      </w:pPr>
      <w:r>
        <w:t xml:space="preserve">¿Existe reconsulta, recurrencia o evolución inesperada?</w:t>
      </w:r>
    </w:p>
    <w:p>
      <w:pPr>
        <w:pStyle w:val="BodyJ"/>
        <w:keepNext w:val="false"/>
        <w:numPr>
          <w:ilvl w:val="0"/>
          <w:numId w:val="26"/>
        </w:numPr>
      </w:pPr>
      <w:r>
        <w:t xml:space="preserve">¿Mi confianza proviene de evidencia o de familiaridad y fluidez?</w:t>
      </w:r>
    </w:p>
    <w:p>
      <w:pPr>
        <w:pStyle w:val="BodyJ"/>
        <w:keepNext w:val="false"/>
        <w:numPr>
          <w:ilvl w:val="0"/>
          <w:numId w:val="26"/>
        </w:numPr>
      </w:pPr>
      <w:r>
        <w:t xml:space="preserve">¿Cuál es el costo de esperar y cuál el costo de actuar?</w:t>
      </w:r>
    </w:p>
    <w:p>
      <w:pPr>
        <w:pStyle w:val="BodyJ"/>
        <w:keepNext w:val="false"/>
        <w:numPr>
          <w:ilvl w:val="0"/>
          <w:numId w:val="26"/>
        </w:numPr>
      </w:pPr>
      <w:r>
        <w:t xml:space="preserve">¿Qué evento obligará a revisar la decisión y quién lo detectará?</w:t>
      </w:r>
    </w:p>
    <w:p>
      <w:pPr>
        <w:pStyle w:val="Heading1"/>
        <w:keepNext/>
        <w:keepLines/>
        <w:pageBreakBefore/>
        <w:spacing w:after="320" w:before="720"/>
      </w:pPr>
      <w:r>
        <w:rPr>
          <w:rFonts w:ascii="Gelasio" w:cs="Gelasio" w:eastAsia="Gelasio" w:hAnsi="Gelasio"/>
          <w:b/>
          <w:bCs/>
          <w:color w:val="2B2B2B"/>
          <w:sz w:val="34"/>
          <w:szCs w:val="34"/>
        </w:rPr>
        <w:t xml:space="preserve">Apéndice C. Guía de implementación en un servicio clínico</w:t>
      </w:r>
    </w:p>
    <w:p>
      <w:pPr>
        <w:pStyle w:val="BodyJ"/>
        <w:keepNext w:val="false"/>
      </w:pPr>
      <w:r>
        <w:t xml:space="preserve">Esta guía condensa el capítulo 16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15, «Límites»); todo debe adaptarse al contexto local; y la palanca más barata —cómo se habla en la visita de sala— es también la más poderosa.</w:t>
      </w:r>
    </w:p>
    <w:p>
      <w:pPr>
        <w:pStyle w:val="Heading3"/>
        <w:keepNext/>
        <w:keepLines/>
        <w:spacing w:after="120" w:before="280"/>
      </w:pPr>
      <w:r>
        <w:rPr>
          <w:rFonts w:ascii="Gelasio" w:cs="Gelasio" w:eastAsia="Gelasio" w:hAnsi="Gelasio"/>
          <w:b/>
          <w:bCs/>
          <w:color w:val="2B2B2B"/>
          <w:sz w:val="25"/>
          <w:szCs w:val="25"/>
        </w:rPr>
        <w:t xml:space="preserve">Semana 1–2: instalar el lenguaje</w:t>
      </w:r>
    </w:p>
    <w:p>
      <w:pPr>
        <w:pStyle w:val="BodyJ"/>
        <w:keepNext/>
        <w:numPr>
          <w:ilvl w:val="0"/>
          <w:numId w:val="5"/>
        </w:numPr>
      </w:pPr>
      <w:r>
        <w:t xml:space="preserve">Presentar el léxico de certeza (Apéndice B) en reunión clínica, con los ejemplos de uso incorrecto. Imprimirlo y dejarlo visible donde se escribe: junto a las estaciones de trabajo, no en un mural decorativo.</w:t>
      </w:r>
    </w:p>
    <w:p>
      <w:pPr>
        <w:pStyle w:val="BodyJ"/>
        <w:keepNext/>
        <w:numPr>
          <w:ilvl w:val="0"/>
          <w:numId w:val="5"/>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keepNext w:val="false"/>
        <w:numPr>
          <w:ilvl w:val="0"/>
          <w:numId w:val="5"/>
        </w:numPr>
      </w:pPr>
      <w:r>
        <w:t xml:space="preserve">No pedir todavía cambios de estructura en las notas. El vocabulario primero; la arquitectura después.</w:t>
      </w:r>
    </w:p>
    <w:p>
      <w:pPr>
        <w:pStyle w:val="Heading3"/>
        <w:keepNext/>
        <w:keepLines/>
        <w:spacing w:after="120" w:before="280"/>
      </w:pPr>
      <w:r>
        <w:rPr>
          <w:rFonts w:ascii="Gelasio" w:cs="Gelasio" w:eastAsia="Gelasio" w:hAnsi="Gelasio"/>
          <w:b/>
          <w:bCs/>
          <w:color w:val="2B2B2B"/>
          <w:sz w:val="25"/>
          <w:szCs w:val="25"/>
        </w:rPr>
        <w:t xml:space="preserve">Semana 3–4: la pausa en la visita de sala</w:t>
      </w:r>
    </w:p>
    <w:p>
      <w:pPr>
        <w:pStyle w:val="BodyJ"/>
        <w:keepNext/>
        <w:numPr>
          <w:ilvl w:val="0"/>
          <w:numId w:val="5"/>
        </w:numPr>
      </w:pPr>
      <w:r>
        <w:t xml:space="preserve">Elegir un disparador objetivo para la pausa diagnóstica (no «cuando haya tiempo»): reconsulta, evolución discordante con el diagnóstico, traslado recibido de otro equipo, o caso sin discusión hace 72 horas.</w:t>
      </w:r>
    </w:p>
    <w:p>
      <w:pPr>
        <w:pStyle w:val="BodyJ"/>
        <w:keepNext/>
        <w:numPr>
          <w:ilvl w:val="0"/>
          <w:numId w:val="5"/>
        </w:numPr>
      </w:pPr>
      <w:r>
        <w:t xml:space="preserve">Cuando se active, usar las cuatro preguntas de la versión de sesenta segundos en voz alta. Duración objetivo: dos minutos por caso. Quien dirige la visita modela; no interroga.</w:t>
      </w:r>
    </w:p>
    <w:p>
      <w:pPr>
        <w:pStyle w:val="BodyJ"/>
        <w:keepNext w:val="false"/>
        <w:numPr>
          <w:ilvl w:val="0"/>
          <w:numId w:val="5"/>
        </w:numPr>
      </w:pPr>
      <w:r>
        <w:t xml:space="preserve">Entrega de turno: agregar una línea obligatoria por paciente inestable o incierto: «qué vigilar, qué reabriría el caso, quién verifica el pendiente».</w:t>
      </w:r>
    </w:p>
    <w:p>
      <w:pPr>
        <w:pStyle w:val="Heading3"/>
        <w:keepNext/>
        <w:keepLines/>
        <w:spacing w:after="120" w:before="280"/>
      </w:pPr>
      <w:r>
        <w:rPr>
          <w:rFonts w:ascii="Gelasio" w:cs="Gelasio" w:eastAsia="Gelasio" w:hAnsi="Gelasio"/>
          <w:b/>
          <w:bCs/>
          <w:color w:val="2B2B2B"/>
          <w:sz w:val="25"/>
          <w:szCs w:val="25"/>
        </w:rPr>
        <w:t xml:space="preserve">Mes 2: la ficha</w:t>
      </w:r>
    </w:p>
    <w:p>
      <w:pPr>
        <w:pStyle w:val="BodyJ"/>
        <w:keepNext/>
        <w:numPr>
          <w:ilvl w:val="0"/>
          <w:numId w:val="5"/>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keepNext/>
        <w:numPr>
          <w:ilvl w:val="0"/>
          <w:numId w:val="5"/>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keepNext w:val="false"/>
        <w:numPr>
          <w:ilvl w:val="0"/>
          <w:numId w:val="5"/>
        </w:numPr>
      </w:pPr>
      <w:r>
        <w:t xml:space="preserve">Revisar las plantillas electrónicas existentes: eliminar campos que inducen copia, agregar un campo breve de «criterio de reapertura».</w:t>
      </w:r>
    </w:p>
    <w:p>
      <w:pPr>
        <w:pStyle w:val="Heading3"/>
        <w:keepNext/>
        <w:keepLines/>
        <w:spacing w:after="120" w:before="280"/>
      </w:pPr>
      <w:r>
        <w:rPr>
          <w:rFonts w:ascii="Gelasio" w:cs="Gelasio" w:eastAsia="Gelasio" w:hAnsi="Gelasio"/>
          <w:b/>
          <w:bCs/>
          <w:color w:val="2B2B2B"/>
          <w:sz w:val="25"/>
          <w:szCs w:val="25"/>
        </w:rPr>
        <w:t xml:space="preserve">Mes 3 en adelante: el circuito de aprendizaje</w:t>
      </w:r>
    </w:p>
    <w:p>
      <w:pPr>
        <w:pStyle w:val="BodyJ"/>
        <w:keepNext/>
        <w:numPr>
          <w:ilvl w:val="0"/>
          <w:numId w:val="5"/>
        </w:numPr>
      </w:pPr>
      <w:r>
        <w:t xml:space="preserve">Reformatear una reunión de morbimortalidad al formato de la viñeta 6: reconstrucción por capas, con la información disponible en cada momento, sin nombres de sesgos como conclusión y con una barrera concreta como producto de cada sesión.</w:t>
      </w:r>
    </w:p>
    <w:p>
      <w:pPr>
        <w:pStyle w:val="BodyJ"/>
        <w:keepNext/>
        <w:numPr>
          <w:ilvl w:val="0"/>
          <w:numId w:val="5"/>
        </w:numPr>
      </w:pPr>
      <w:r>
        <w:t xml:space="preserve">Ofrecer (voluntario, privado) el portafolio de calibración del capítulo 5: hipótesis, confianza, alternativa, desenlace. Quien lo lleve tres meses tendrá el primer dato real sobre su propia calibración.</w:t>
      </w:r>
    </w:p>
    <w:p>
      <w:pPr>
        <w:pStyle w:val="BodyJ"/>
        <w:keepNext w:val="false"/>
        <w:numPr>
          <w:ilvl w:val="0"/>
          <w:numId w:val="5"/>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keepNext/>
        <w:keepLines/>
        <w:spacing w:after="120" w:before="280"/>
      </w:pPr>
      <w:r>
        <w:rPr>
          <w:rFonts w:ascii="Gelasio" w:cs="Gelasio" w:eastAsia="Gelasio" w:hAnsi="Gelasio"/>
          <w:b/>
          <w:bCs/>
          <w:color w:val="2B2B2B"/>
          <w:sz w:val="25"/>
          <w:szCs w:val="25"/>
        </w:rPr>
        <w:t xml:space="preserve">Qué medir (sin inflar métricas)</w:t>
      </w:r>
    </w:p>
    <w:p>
      <w:pPr>
        <w:pStyle w:val="BodyJ"/>
        <w:keepNext w:val="false"/>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3"/>
        <w:keepNext/>
        <w:keepLines/>
        <w:spacing w:after="120" w:before="280"/>
      </w:pPr>
      <w:r>
        <w:rPr>
          <w:rFonts w:ascii="Gelasio" w:cs="Gelasio" w:eastAsia="Gelasio" w:hAnsi="Gelasio"/>
          <w:b/>
          <w:bCs/>
          <w:color w:val="2B2B2B"/>
          <w:sz w:val="25"/>
          <w:szCs w:val="25"/>
        </w:rPr>
        <w:t xml:space="preserve">Hoja de ruta para el docente</w:t>
      </w:r>
    </w:p>
    <w:p>
      <w:pPr>
        <w:pStyle w:val="BodyJ"/>
        <w:keepNext w:val="false"/>
      </w:pPr>
      <w:r>
        <w:t xml:space="preserve">Qué talleres del Apéndice D usar con quién, en el orden en que rinden más; cada uno se nombra por su capítulo. Salvo los que se sostienen en el tiempo (los de los capítulos 5, 15 y 16), cada uno cabe en una reunión de treinta minutos.</w:t>
      </w:r>
    </w:p>
    <w:p>
      <w:pPr>
        <w:pStyle w:val="BodyJ"/>
        <w:keepNext/>
        <w:numPr>
          <w:ilvl w:val="0"/>
          <w:numId w:val="5"/>
        </w:numPr>
      </w:pPr>
      <w:r>
        <w:rPr>
          <w:b/>
          <w:bCs/>
        </w:rPr>
        <w:t xml:space="preserve">Interno y residente de primer año</w:t>
      </w:r>
      <w:r>
        <w:t xml:space="preserve">: los talleres de los capítulos 1 (qué tan hecho es este hecho), 2 (la sentencia del TAC), 4 (cinco frases para reescribir), 10 (frecuencias naturales), 11 (la observación activa, por escrito) y 12 (conjugar los verbos). Enseñan el léxico y las capas antes que el juicio.</w:t>
      </w:r>
    </w:p>
    <w:p>
      <w:pPr>
        <w:pStyle w:val="BodyJ"/>
        <w:keepNext/>
        <w:numPr>
          <w:ilvl w:val="0"/>
          <w:numId w:val="5"/>
        </w:numPr>
      </w:pPr>
      <w:r>
        <w:rPr>
          <w:b/>
          <w:bCs/>
        </w:rPr>
        <w:t xml:space="preserve">Residente de segundo año en adelante</w:t>
      </w:r>
      <w:r>
        <w:t xml:space="preserve">: los de los capítulos 3 (el mapa de lo que no sabemos), 5 (calibración personal, sostenido tres meses), 7 (reconstruir una trayectoria), 8 (presentar sin la etiqueta), 12 (desfosilizar una evolución), 13 (traducir un desacuerdo) y 15 (su paciente, esta semana). Trabajan sobre el propio razonamiento y sobre pacientes reales.</w:t>
      </w:r>
    </w:p>
    <w:p>
      <w:pPr>
        <w:pStyle w:val="BodyJ"/>
        <w:keepNext/>
        <w:numPr>
          <w:ilvl w:val="0"/>
          <w:numId w:val="5"/>
        </w:numPr>
      </w:pPr>
      <w:r>
        <w:rPr>
          <w:b/>
          <w:bCs/>
        </w:rPr>
        <w:t xml:space="preserve">Jefe de servicio, docente y comité</w:t>
      </w:r>
      <w:r>
        <w:t xml:space="preserve">: los de los capítulos 10 (las cuatro casillas), 16 (rediseñar la visita de sala) y 17 (la autopsia de una respuesta de IA), y la reunión de morbimortalidad en el formato de la viñeta 6. Cambian el sistema, no sólo al que razona.</w:t>
      </w:r>
    </w:p>
    <w:p>
      <w:pPr>
        <w:pStyle w:val="BodyJ"/>
        <w:keepNext w:val="false"/>
        <w:numPr>
          <w:ilvl w:val="0"/>
          <w:numId w:val="5"/>
        </w:numPr>
      </w:pPr>
      <w:r>
        <w:rPr>
          <w:b/>
          <w:bCs/>
        </w:rPr>
        <w:t xml:space="preserve">Para todos, al cierre de un ciclo</w:t>
      </w:r>
      <w:r>
        <w:t xml:space="preserve">: los de los capítulos 2 (cinco hipótesis en tres minutos) y 18 (la prueba de Parra), que entrenan la generación y el oído.</w:t>
      </w:r>
    </w:p>
    <w:p>
      <w:pPr>
        <w:pStyle w:val="BodyJ"/>
        <w:keepNext w:val="false"/>
      </w:pPr>
      <w:r>
        <w:t xml:space="preserve">Secuencia mínima para un servicio que empieza, alineada con las fases de esta guía: el taller del capítulo 4 en las semanas 1–2 (el lenguaje), los de los capítulos 8 y 11 en las semanas 3–4 (la pausa en la visita de sala), los dos del capítulo 12 en el mes 2 (la ficha) y el del capítulo 7 desde el mes 3, junto a la reunión de morbimortalidad; el resto, a demanda. Los «errores típicos» anotados en los talleres de los capítulos 7, 8, 10 (frecuencias naturales) y 12 (conjugar los verbos) son lo que los grupos suelen responder primero; mostrarlos antes de la versión posible enseña por contraste.</w:t>
      </w:r>
    </w:p>
    <w:p>
      <w:pPr>
        <w:pStyle w:val="Heading1"/>
        <w:keepNext/>
        <w:keepLines/>
        <w:pageBreakBefore/>
        <w:spacing w:after="320" w:before="720"/>
      </w:pPr>
      <w:r>
        <w:rPr>
          <w:rFonts w:ascii="Gelasio" w:cs="Gelasio" w:eastAsia="Gelasio" w:hAnsi="Gelasio"/>
          <w:b/>
          <w:bCs/>
          <w:color w:val="2B2B2B"/>
          <w:sz w:val="34"/>
          <w:szCs w:val="34"/>
        </w:rPr>
        <w:t xml:space="preserve">Apéndice D. Talleres</w:t>
      </w:r>
    </w:p>
    <w:p>
      <w:pPr>
        <w:pStyle w:val="BodyJ"/>
        <w:keepNext w:val="false"/>
      </w:pPr>
      <w:r>
        <w:t xml:space="preserve">Los ejercicios de este apéndice son para quien quiera practicar. Hay uno por capítulo, salvo en los capítulos 6, 9 y 14, que no tienen, y en los capítulos 2, 10 y 12, que tienen dos; cada uno lleva el número del capítulo cuyo concepto ejercita y rinde más después de leerlo. Casi todos se hacen por escrito, y muchos piden reescribir una frase clínica real. Ninguno tiene una respuesta única: la versión posible o el comentario que acompaña a cada uno muestra un camino, no el camino, y algunos anotan antes el error típico, lo que los grupos suelen responder primero. La hoja de ruta para el docente, al final del Apéndice C, propone cuáles usar con quién y en qué orden.</w:t>
      </w:r>
    </w:p>
    <w:p>
      <w:pPr>
        <w:pStyle w:val="TallerHead"/>
        <w:keepNext/>
        <w:keepLines/>
      </w:pPr>
      <w:r>
        <w:t xml:space="preserve">Taller del capítulo 1. ¿Qué tan hecho es este hecho?</w:t>
      </w:r>
    </w:p>
    <w:p>
      <w:pPr>
        <w:pStyle w:val="BodyJ"/>
        <w:keepNext/>
      </w:pPr>
      <w:r>
        <w:t xml:space="preserve">Clasificar cada afirmación según el gradiente de facticidad (medido / observado por profesional / relato / heredado / ausencia inferida) y reescribir la que parezca más frágil:</w:t>
      </w:r>
    </w:p>
    <w:p>
      <w:pPr>
        <w:pStyle w:val="BodyJ"/>
        <w:keepNext/>
        <w:numPr>
          <w:ilvl w:val="0"/>
          <w:numId w:val="27"/>
        </w:numPr>
      </w:pPr>
      <w:r>
        <w:t xml:space="preserve">«Lactato 3,9 mmol/L (04:15, arterial).»</w:t>
      </w:r>
    </w:p>
    <w:p>
      <w:pPr>
        <w:pStyle w:val="BodyJ"/>
        <w:keepNext/>
        <w:numPr>
          <w:ilvl w:val="0"/>
          <w:numId w:val="27"/>
        </w:numPr>
      </w:pPr>
      <w:r>
        <w:t xml:space="preserve">«Abdomen sin signos de irritación peritoneal.»</w:t>
      </w:r>
    </w:p>
    <w:p>
      <w:pPr>
        <w:pStyle w:val="BodyJ"/>
        <w:keepNext/>
        <w:numPr>
          <w:ilvl w:val="0"/>
          <w:numId w:val="27"/>
        </w:numPr>
      </w:pPr>
      <w:r>
        <w:t xml:space="preserve">«Alérgica a penicilina.»</w:t>
      </w:r>
    </w:p>
    <w:p>
      <w:pPr>
        <w:pStyle w:val="BodyJ"/>
        <w:keepNext/>
        <w:numPr>
          <w:ilvl w:val="0"/>
          <w:numId w:val="27"/>
        </w:numPr>
      </w:pPr>
      <w:r>
        <w:t xml:space="preserve">«Sin episodios previos de sangrado.»</w:t>
      </w:r>
    </w:p>
    <w:p>
      <w:pPr>
        <w:pStyle w:val="BodyJ"/>
        <w:keepNext w:val="false"/>
        <w:numPr>
          <w:ilvl w:val="0"/>
          <w:numId w:val="27"/>
        </w:numPr>
      </w:pPr>
      <w:r>
        <w:t xml:space="preserve">«La hernia no se dejó acomodar y el dolor era distinto al de otras veces.»</w:t>
      </w:r>
    </w:p>
    <w:p>
      <w:pPr>
        <w:pStyle w:val="BodyJ"/>
        <w:keepNext w:val="false"/>
      </w:pPr>
      <w:r>
        <w:rPr>
          <w:i/>
          <w:iCs/>
        </w:rPr>
        <w:t xml:space="preserve">Una versión posible.</w:t>
      </w:r>
      <w:r>
        <w:t xml:space="preserve"> (1) Dato medido, con hora, unidad y origen de la muestra: el hecho de mayor verificabilidad externa de la lista. (2) Observación profesional: útil, pero sujeta a variabilidad interobservador y caducidad rápida; en un abdomen agudo dinámico, el examen físico de las 04:00 no garantiza el estado peritoneal de las 09:00 si no consigna quién examinó y bajo qué analgesia. (3) Registro heredado: casi ninguna ficha especifica quién documentó la alergia ni con qué clínica; exige reescribirse como «alergia a penicilina referida por la paciente (exantema cutáneo en la juventud, sin registro clínico verificable)». (4) Silencio documental o relato, según su fuente: «niega sangrados previos» (anamnesis) no equivale a «sin episodios de sangrado consignados en fichas previas» (revisión de registro). (5) Testimonio de la paciente con su carga fenomenológica intacta: irreemplazable como marcador de cambio respecto de su basal; debe conservarse entre comillas.</w:t>
      </w:r>
    </w:p>
    <w:p>
      <w:pPr>
        <w:pStyle w:val="TallerHead"/>
        <w:keepNext/>
        <w:keepLines/>
      </w:pPr>
      <w:r>
        <w:t xml:space="preserve">Taller del capítulo 2. La sentencia del TAC</w:t>
      </w:r>
    </w:p>
    <w:p>
      <w:pPr>
        <w:pStyle w:val="BodyJ"/>
        <w:keepNext w:val="false"/>
      </w:pPr>
      <w:r>
        <w:t xml:space="preserve">El informe dice: «hernia incisional con asas dilatadas, sin signos de isquemia ni perforación». El residente escribió: «TAC descarta complicación». ¿Cómo se reescribe para que conserve (a) lo que la imagen mostró, (b) lo que la imagen no puede mostrar, y (c) la inferencia que de verdad autoriza?</w:t>
      </w:r>
    </w:p>
    <w:p>
      <w:pPr>
        <w:pStyle w:val="BodyJ"/>
        <w:keepNext/>
      </w:pPr>
      <w:r>
        <w:rPr>
          <w:i/>
          <w:iCs/>
        </w:rPr>
        <w:t xml:space="preserve">Una versión posible.</w:t>
      </w:r>
    </w:p>
    <w:p>
      <w:pPr>
        <w:pStyle w:val="Quote1"/>
      </w:pPr>
      <w:r>
        <w:t xml:space="preserve">TAC de abdomen confirma obstrucción en hernia incisional sin signos actuales de necrosis transmural, perforación ni sufrimiento vascular mesentérico; por sensibilidad del método, la imagen no excluye isquemia mucosa incipiente ni predice recurrencia a corto plazo. Con la estabilización hemodinámica actual, la probabilidad de estrangulación irreversible es suficientemente baja para diferir cirugía de emergencia y mantener vigilancia activa.</w:t>
      </w:r>
    </w:p>
    <w:p>
      <w:pPr>
        <w:pStyle w:val="BodyJ"/>
        <w:keepNext w:val="false"/>
      </w:pPr>
      <w:r>
        <w:t xml:space="preserve">La diferencia es operativa: «TAC descarta complicación» apaga las alarmas del equipo; la reescritura especifica qué amenaza sigue viva, qué parámetros obligan a reevaluar (reaparición del dolor, defensa abdominal, ascenso del lactato) y qué autoriza realmente el examen (no entrar a pabellón esta madrugada, no archivar el problema quirúrgico). El patrón general: el hallazgo negativo se limita al rendimiento del método y al momento; la conducta se justifica por umbral, no por exclusión ontológica.</w:t>
      </w:r>
    </w:p>
    <w:p>
      <w:pPr>
        <w:pStyle w:val="TallerHead"/>
        <w:keepNext/>
        <w:keepLines/>
      </w:pPr>
      <w:r>
        <w:t xml:space="preserve">Taller del capítulo 2. Cinco hipótesis en tres minutos</w:t>
      </w:r>
    </w:p>
    <w:p>
      <w:pPr>
        <w:pStyle w:val="BodyJ"/>
        <w:keepNext w:val="false"/>
      </w:pPr>
      <w:r>
        <w:t xml:space="preserve">Un paciente con EPOC conocido consulta por disnea que no ha respondido a dos rondas de broncodilatadores en urgencias. La saturación es 84% con oxígeno a 2 L/min por naricera, y la auscultación muestra escasas sibilancias. Con tres minutos y un papel: (a) generar al menos cinco hipótesis sin censurar ninguna, (b) escribir una reformulación del problema que no use la palabra «EPOC», (c) recién entonces podar con las cuatro preguntas de la prueba de resistencia.</w:t>
      </w:r>
    </w:p>
    <w:p>
      <w:pPr>
        <w:pStyle w:val="BodyJ"/>
        <w:keepNext w:val="false"/>
      </w:pPr>
      <w:r>
        <w:rPr>
          <w:i/>
          <w:iCs/>
        </w:rPr>
        <w:t xml:space="preserve">Una versión posible.</w:t>
      </w:r>
      <w:r>
        <w:t xml:space="preserve"> La lista generativa sin censura inicial incluye: tromboembolismo pulmonar (el EPOC y la inmovilidad aumentan el riesgo, y la escasez de sibilancias no explica una saturación de 84% con oxígeno), neumotórax secundario a ruptura de bula, edema pulmonar cardiogénico, neumonía basal oculta, síndrome coronario agudo con equivalente disneico, anemia severa o fatiga muscular respiratoria. La reformulación que replantea el problema (problem setting) es: «insuficiencia respiratoria hipoxémica aguda desproporcionada al broncoespasmo auscultado». Ese giro lingüístico desactiva el reflejo de indicar una tercera tanda de nebulizaciones y abre el espacio mental donde viven el TEP y el neumotórax. La secuencia importa: primero volumen divergente sin filtro —pues la autocensura temprana es el motor del cierre prematuro— y recién después poda severa contra los datos del caso. Tres minutos de generación libre cuestan mucho menos que veinticuatro horas de anclaje. La poda, con las cuatro preguntas de la prueba de resistencia: el dato más difícil de explicar con otra exacerbación de EPOC es una disnea que no cede con dos rondas de broncodilatadores y casi sin sibilancias, que es justo el hallazgo que la exacerbación haría esperar y no está. El tromboembolismo pulmonar y el neumotórax explican ambos datos y cambiarían la conducta (anticoagular, drenar), así que encabezan la lista; la neumonía, el edema pulmonar, el síndrome coronario y la anemia quedan a una radiografía, un electrocardiograma con troponina y un hemograma de distancia. También queda escrito qué cambiaría la jerarquía: un neumotórax en la radiografía la resuelve; su ausencia deja arriba al tromboembolismo.</w:t>
      </w:r>
    </w:p>
    <w:p>
      <w:pPr>
        <w:pStyle w:val="TallerHead"/>
        <w:keepNext/>
        <w:keepLines/>
      </w:pPr>
      <w:r>
        <w:t xml:space="preserve">Taller del capítulo 3. El mapa de lo que no sabemos de Carmen</w:t>
      </w:r>
    </w:p>
    <w:p>
      <w:pPr>
        <w:pStyle w:val="BodyJ"/>
        <w:keepNext w:val="false"/>
      </w:pPr>
      <w:r>
        <w:t xml:space="preserve">El equipo tiene cuatro dudas: (a) ¿por qué este episodio fue tan grave?, (b) ¿la bacteriemia vino del abdomen?, (c) ¿cuándo volverá a obstruirse?, (d) ¿resistirá una cirugía electiva? ¿Dónde cae cada una en la cartografía del capítulo 3 (reducible con examen / dependiente de evolución / irrelevante para la conducta inmediata / peligrosa si está equivocada / dependiente de valores)?</w:t>
      </w:r>
    </w:p>
    <w:p>
      <w:pPr>
        <w:pStyle w:val="BodyJ"/>
        <w:keepNext w:val="false"/>
      </w:pPr>
      <w:r>
        <w:rPr>
          <w:i/>
          <w:iCs/>
        </w:rPr>
        <w:t xml:space="preserve">Una versión posible.</w:t>
      </w:r>
      <w:r>
        <w:t xml:space="preserve"> (a) Parcialmente reducible y retrospectiva: revisar la cronología y la imagen ayuda, pero quedará un residuo fisiopatológico no demostrable que no bloquea la toma de decisiones hoy. (b) Parcialmente reducible mediante descarte de focos alternativos (urocultivo, revisión de catéteres): no exige certeza absoluta para completar el esquema antibiótico, pero su alta plausibilidad refuerza que el shock fue consecuencia directa del episodio obstructivo. (c) Aleatoria e irreductible mediante exámenes: ningún test predice el día del quinto atascamiento; es la incertidumbre </w:t>
      </w:r>
      <w:r>
        <w:rPr>
          <w:b/>
          <w:bCs/>
        </w:rPr>
        <w:t xml:space="preserve">peligrosa</w:t>
      </w:r>
      <w:r>
        <w:t xml:space="preserve"> y dominante del caso, porque el costo del error (esperar y que se obstruya en su casa) puede ser letal. (d) Mixta (epistémica y axiológica): la espirometría y la evaluación preoperatoria reducen la duda biológica, pero el resto depende de los valores de Carmen —cuánto riesgo quirúrgico programado está dispuesta a asumir hoy para evitar una urgencia vital mañana—. La cartografía no adivina el futuro: ordena qué se mide, qué se vigila, qué se tolera y qué se delibera con la enferma.</w:t>
      </w:r>
    </w:p>
    <w:p>
      <w:pPr>
        <w:pStyle w:val="TallerHead"/>
        <w:keepNext/>
        <w:keepLines/>
      </w:pPr>
      <w:r>
        <w:t xml:space="preserve">Taller del capítulo 4. Cinco frases para reescribir</w:t>
      </w:r>
    </w:p>
    <w:p>
      <w:pPr>
        <w:pStyle w:val="BodyJ"/>
        <w:keepNext/>
      </w:pPr>
      <w:r>
        <w:t xml:space="preserve">Reescribir cada frase para que la fuerza del lenguaje corresponda a la fuerza de la evidencia disponible (con los mínimos datos verosímiles que haga falta inventar):</w:t>
      </w:r>
    </w:p>
    <w:p>
      <w:pPr>
        <w:pStyle w:val="BodyJ"/>
        <w:keepNext/>
        <w:numPr>
          <w:ilvl w:val="0"/>
          <w:numId w:val="28"/>
        </w:numPr>
      </w:pPr>
      <w:r>
        <w:t xml:space="preserve">«Se descarta tromboembolismo pulmonar.»</w:t>
      </w:r>
    </w:p>
    <w:p>
      <w:pPr>
        <w:pStyle w:val="BodyJ"/>
        <w:keepNext/>
        <w:numPr>
          <w:ilvl w:val="0"/>
          <w:numId w:val="28"/>
        </w:numPr>
      </w:pPr>
      <w:r>
        <w:t xml:space="preserve">«Neumonía que respondió a antibióticos.»</w:t>
      </w:r>
    </w:p>
    <w:p>
      <w:pPr>
        <w:pStyle w:val="BodyJ"/>
        <w:keepNext/>
        <w:numPr>
          <w:ilvl w:val="0"/>
          <w:numId w:val="28"/>
        </w:numPr>
      </w:pPr>
      <w:r>
        <w:t xml:space="preserve">«Paciente poco colaborador.»</w:t>
      </w:r>
    </w:p>
    <w:p>
      <w:pPr>
        <w:pStyle w:val="BodyJ"/>
        <w:keepNext/>
        <w:numPr>
          <w:ilvl w:val="0"/>
          <w:numId w:val="28"/>
        </w:numPr>
      </w:pPr>
      <w:r>
        <w:t xml:space="preserve">«ITU en tratamiento» (paciente sondado, urocultivo positivo, afebril, sin síntomas nuevos).</w:t>
      </w:r>
    </w:p>
    <w:p>
      <w:pPr>
        <w:pStyle w:val="BodyJ"/>
        <w:keepNext w:val="false"/>
        <w:numPr>
          <w:ilvl w:val="0"/>
          <w:numId w:val="28"/>
        </w:numPr>
      </w:pPr>
      <w:r>
        <w:t xml:space="preserve">«Fracaso de manejo médico.»</w:t>
      </w:r>
    </w:p>
    <w:p>
      <w:pPr>
        <w:pStyle w:val="BodyJ"/>
        <w:keepNext w:val="false"/>
      </w:pPr>
      <w:r>
        <w:rPr>
          <w:i/>
          <w:iCs/>
        </w:rPr>
        <w:t xml:space="preserve">Una versión posible.</w:t>
      </w:r>
      <w:r>
        <w:t xml:space="preserve"> (1) «AngioTAC de tórax sin defectos de llenado hasta arterias segmentarias; con probabilidad clínica pretest intermedia y estabilidad hemodinámica, el valor predictivo negativo supera el umbral para no anticoagular y mantener vigilancia clínica» —separa la técnica, su alcance anatómico y la decisión por umbral—. (2) «Opacidad alveolar basal con defervescencia y caída de parámetros inflamatorios tras 72 h de ceftriaxona, oxigenoterapia y kinesioterapia respiratoria; neumonía bacteriana probable, respuesta microbiológica directa no demostrada» —distingue el hecho de la mejoría temporal de la atribución causal a un solo factor—. (3) «Paciente responde con monosílabos, se queja de dolor 8/10 y cursó con insomnio; anamnesis y examen físico limitados por dolor agudo no controlado» —reemplaza una etiqueta moralizante por una barrera clínica modificable—. (4) «Bacteriuria y piuria asintomática en portador crónico de sonda Foley, afebril y sin respuesta inflamatoria sistémica nueva: colonización probable; se difiere antibiótico y se definen criterios de alarma» —desactiva el reflejo de tratar el papel del laboratorio—. (5) «El manejo médico con reposo intestinal y descompresión por sonda nasogástrica tenía como meta recuperar tránsito en 48 h; al persistir débito alto al tercer día, se cumple criterio de resolución quirúrgica» —sustituye la retórica de «fracaso» por el cumplimiento de un umbral predefinido—.</w:t>
      </w:r>
    </w:p>
    <w:p>
      <w:pPr>
        <w:pStyle w:val="TallerHead"/>
        <w:keepNext/>
        <w:keepLines/>
      </w:pPr>
      <w:r>
        <w:t xml:space="preserve">Taller del capítulo 5. Un experimento de calibración personal</w:t>
      </w:r>
    </w:p>
    <w:p>
      <w:pPr>
        <w:pStyle w:val="BodyJ"/>
        <w:keepNext w:val="false"/>
      </w:pPr>
      <w:r>
        <w:t xml:space="preserve">Llevar durante dos semanas el portafolio de calibración del capítulo 5: para cada diagnóstico de trabajo relevante, la hipótesis principal, la confianza aproximada, la alternativa que más preocupa y, cuando llegue, el desenlace. Al final, agrupar por la confianza declarada: de los diagnósticos anotados con 90%, ¿qué proporción se confirmó?</w:t>
      </w:r>
    </w:p>
    <w:p>
      <w:pPr>
        <w:pStyle w:val="BodyJ"/>
        <w:keepNext w:val="false"/>
      </w:pPr>
      <w:r>
        <w:rPr>
          <w:i/>
          <w:iCs/>
        </w:rPr>
        <w:t xml:space="preserve">Comentario.</w:t>
      </w:r>
      <w:r>
        <w:t xml:space="preserve"> No hay una respuesta única: el ejercicio produce el dato que la práctica cotidiana casi nunca devuelve. Los patrones típicos que emergen en ejercicios docentes: confianza declarada de 90% con tasa real de confirmación de 70–75% (sobreconfianza moderada, la más frecuente); dominios específicos sistemáticamente peor calibrados (los propios «cólicos renales» de cada uno); y alternativas anotadas que nunca se buscaron activamente. Quien repite el ejercicio dos o tres veces al año construye la serie que convierte experiencia en calibración.</w:t>
      </w:r>
    </w:p>
    <w:p>
      <w:pPr>
        <w:pStyle w:val="TallerHead"/>
        <w:keepNext/>
        <w:keepLines/>
      </w:pPr>
      <w:r>
        <w:t xml:space="preserve">Taller del capítulo 7. Reconstruir una trayectoria, no asignar un sesgo</w:t>
      </w:r>
    </w:p>
    <w:p>
      <w:pPr>
        <w:pStyle w:val="BodyJ"/>
        <w:keepNext w:val="false"/>
      </w:pPr>
      <w:r>
        <w:t xml:space="preserve">Sirve el error de la colecistitis narrado al inicio del capítulo 7 o, mejor, un error propio que se recuerde con suficiente detalle. Una regla: no usar nombres de sesgos. Y cuatro preguntas: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keepNext w:val="false"/>
      </w:pPr>
      <w:r>
        <w:rPr>
          <w:i/>
          <w:iCs/>
        </w:rPr>
        <w:t xml:space="preserve">Error típico.</w:t>
      </w:r>
      <w:r>
        <w:t xml:space="preserve"> En ejercicios docentes, la respuesta más frecuente viola la regla en la segunda línea: «hubo anclaje y sesgo de confirmación». Nombrar el sesgo se siente como análisis, pero no responde ninguna de las cuatro preguntas: no dice en qué formato viajaba la frase, por qué el urocultivo valía menos, en qué minuto «sigue decaída» se volvió «responde lento» ni qué barrera habría costado diez segundos. El sesgo es el nombre del desenlace; la trayectoria es lo que se puede cambiar.</w:t>
      </w:r>
    </w:p>
    <w:p>
      <w:pPr>
        <w:pStyle w:val="BodyJ"/>
        <w:keepNext w:val="false"/>
      </w:pPr>
      <w:r>
        <w:rPr>
          <w:i/>
          <w:iCs/>
        </w:rPr>
        <w:t xml:space="preserve">Una versión posible.</w:t>
      </w:r>
      <w:r>
        <w:t xml:space="preserve"> Sobre el caso del capítulo 7: (1) «ITU a repetición» viajaba como antecedente sin procedencia —el formato (frase heredada en ficha) le daba más autoridad que su origen (nadie sabía quién la escribió ni con qué base)—. (2) El urocultivo: en una mujer de ochenta y dos años sin síndrome miccional, la bacteriuria tiene alta prevalencia basal; confirma poco cuando la probabilidad pretest de otra causa es sustancial. (3) El día 3: «sigue decaída» se convirtió en «responde lento», una reinterpretación que inmunizaba la hipótesis. (4) Dos barreras de bajo costo y alto impacto: dejar escrito un criterio de reapertura obligatorio al indicar el tratamiento empírico («si no recupera estado basal ni apetito en 48 h, reexaminar abdomen dirigido y solicitar pruebas hepáticas o imagen») e instituir en la visita médica de sala la pregunta de resistencia: «¿qué hallazgo de esta paciente no queda explicado por una infección urinaria?». La hipoactividad severa sin síndrome miccional era la pieza suelta. El análisis de trayectoria termina cuando se diseña la barrera operativa, no cuando se rotula el sesgo del médico.</w:t>
      </w:r>
    </w:p>
    <w:p>
      <w:pPr>
        <w:pStyle w:val="TallerHead"/>
        <w:keepNext/>
        <w:keepLines/>
      </w:pPr>
      <w:r>
        <w:t xml:space="preserve">Taller del capítulo 8. Presentar sin la etiqueta</w:t>
      </w:r>
    </w:p>
    <w:p>
      <w:pPr>
        <w:pStyle w:val="BodyJ"/>
        <w:keepNext w:val="false"/>
      </w:pPr>
      <w:r>
        <w:t xml:space="preserve">Conviene elegir al paciente hospitalizado cuyo diagnóstico de ingreso lleve más días repitiéndose en las evoluciones sin ser cuestionado. Se trata de presentarlo en cinco líneas, sólo con los hallazgos primarios, la línea temporal y el contexto basal, sin el diagnóstico de trabajo ni sus sinónimos. Después, tres preguntas: ¿qué dato discordante reapareció apenas se quitó la etiqueta que lo mantenía subordinado?, ¿qué hipótesis alternativa se volvió visible?, ¿se sostiene el plan terapéutico actual frente a la nueva representación?</w:t>
      </w:r>
    </w:p>
    <w:p>
      <w:pPr>
        <w:pStyle w:val="BodyJ"/>
        <w:keepNext w:val="false"/>
      </w:pPr>
      <w:r>
        <w:rPr>
          <w:i/>
          <w:iCs/>
        </w:rPr>
        <w:t xml:space="preserve">Error típico.</w:t>
      </w:r>
      <w:r>
        <w:t xml:space="preserve"> El sinónimo disfrazado: «cuadro infeccioso de origen urinario en tratamiento» cumple la prohibición de la palabra y viola su propósito, porque sigue organizando la percepción desde el diagnóstico. La presentación que funciona empieza por la persona y la línea temporal —lesión medular, sonda, recambio traumático, orina turbia, afebril— y deja que el oyente arme la hipótesis; si la etiqueta entra por la puerta de atrás, el ejercicio no ocurrió.</w:t>
      </w:r>
    </w:p>
    <w:p>
      <w:pPr>
        <w:pStyle w:val="BodyJ"/>
        <w:keepNext w:val="false"/>
      </w:pPr>
      <w:r>
        <w:rPr>
          <w:i/>
          <w:iCs/>
        </w:rPr>
        <w:t xml:space="preserve">Comentario.</w:t>
      </w:r>
      <w:r>
        <w:t xml:space="preserve"> El ejercicio funciona por sustracción: la etiqueta organiza la percepción, y quitarla obliga a re-observar. En el caso de la cama 12, la reformulación hizo visible que (a) los «síntomas urinarios» eran inevaluables —dato clave que la palabra «pielonefritis» ocultaba—, (b) los marcadores inflamatorios tenían una explicación alternativa activa (neoplasia), y (c) la «buena respuesta» era atribuible al menos a dos causas. En la cama 12 eso cambió el plan: era una bacteriuria asociada a sonda, el antibiótico se suspendió y quedó una vigilancia con criterios de reapertura (capítulo 12). Otras veces el ejercicio no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TallerHead"/>
        <w:keepNext/>
        <w:keepLines/>
      </w:pPr>
      <w:r>
        <w:t xml:space="preserve">Taller del capítulo 10. Frecuencias naturales con los números del servicio</w:t>
      </w:r>
    </w:p>
    <w:p>
      <w:pPr>
        <w:pStyle w:val="BodyJ"/>
        <w:keepNext w:val="false"/>
      </w:pPr>
      <w:r>
        <w:t xml:space="preserve">Elegir una prueba que el servicio pide a diario —un urocultivo, una troponina— y anotar, antes de calcular, qué proporción de sus resultados positivos parece corresponder a la enfermedad. Luego rehacer el cálculo del capítulo 10 sobre 1.000 pacientes, con la probabilidad pretest de quienes se estudian en el servicio y la sensibilidad y especificidad publicadas de la prueba.</w:t>
      </w:r>
    </w:p>
    <w:p>
      <w:pPr>
        <w:pStyle w:val="BodyJ"/>
        <w:keepNext w:val="false"/>
      </w:pPr>
      <w:r>
        <w:rPr>
          <w:i/>
          <w:iCs/>
        </w:rPr>
        <w:t xml:space="preserve">Error típico.</w:t>
      </w:r>
      <w:r>
        <w:t xml:space="preserve"> Quien ya conoce la trampa responde «muy baja» sin calcular, y pasa de la sobreconfianza a la desconfianza sin pasar por el número. Las frecuencias naturales existen para que la respuesta sea una cifra y no una actitud.</w:t>
      </w:r>
    </w:p>
    <w:p>
      <w:pPr>
        <w:pStyle w:val="BodyJ"/>
        <w:keepNext w:val="false"/>
      </w:pPr>
      <w:r>
        <w:rPr>
          <w:i/>
          <w:iCs/>
        </w:rPr>
        <w:t xml:space="preserve">Comentario.</w:t>
      </w:r>
      <w:r>
        <w:t xml:space="preserve"> La cifra que importa es la local. Saber qué proporción de los «urocultivos positivos» del propio servicio son infección suele ser más correctivo que cualquier lectura teórica.</w:t>
      </w:r>
    </w:p>
    <w:p>
      <w:pPr>
        <w:pStyle w:val="TallerHead"/>
        <w:keepNext/>
        <w:keepLines/>
      </w:pPr>
      <w:r>
        <w:t xml:space="preserve">Taller del capítulo 10. Las cuatro casillas en cinco minutos</w:t>
      </w:r>
    </w:p>
    <w:p>
      <w:pPr>
        <w:pStyle w:val="BodyJ"/>
        <w:keepNext w:val="false"/>
      </w:pPr>
      <w:r>
        <w:t xml:space="preserve">Hace falta un paciente actual del servicio con una decisión mayor pendiente —cirugía, ingreso a diálisis, conexión a ventilación mecánica o inicio de una nueva línea oncológica—. En un papel van las cuatro casillas de Jonsen: indicaciones médicas, preferencias del paciente, calidad de vida y rasgos contextuales. Se completan en cinco minutos sólo con lo que se recuerda hoy, sin abrir la ficha clínica; después se abre la ficha y se contrasta: ¿qué casilla quedó vacía, y ese vacío refleja una incógnita real del caso o una omisión en el estudio del paciente?</w:t>
      </w:r>
    </w:p>
    <w:p>
      <w:pPr>
        <w:pStyle w:val="BodyJ"/>
        <w:keepNext w:val="false"/>
      </w:pPr>
      <w:r>
        <w:rPr>
          <w:i/>
          <w:iCs/>
        </w:rPr>
        <w:t xml:space="preserve">Comentario.</w:t>
      </w:r>
      <w:r>
        <w:t xml:space="preserve"> El ejercicio suele revelar dos hallazgos. Primero: mientras la casilla de indicaciones biomédicas se llena sin esfuerzo, las otras tres exhiben lagunas que no son opiniones discutibles sino hechos nunca recabados. Nadie preguntó con quién vive el paciente; la funcionalidad basal figura como «previamente autovalente» por arrastre documental, sin evaluación objetiva; y las preferencias registradas son presunciones de la familia, no la voz directa del enfermo. Segundo: completar las cuatro casillas rara vez cambia el aspecto técnico de la intervención, pero transforma de raíz la deliberación. Hace evidente con quién falta conversar, qué datos basales urge verificar y qué decisiones está tomando el equipo por pura inercia asistencial. Y cuando las cuatro casillas están completas y aun así persiste el desacuerdo, el ejercicio entrega un último diagnóstico crucial: el caso ya no requiere más exámenes; requiere deliberación estructurada y, a menudo, tiempo.</w:t>
      </w:r>
    </w:p>
    <w:p>
      <w:pPr>
        <w:pStyle w:val="TallerHead"/>
        <w:keepNext/>
        <w:keepLines/>
      </w:pPr>
      <w:r>
        <w:t xml:space="preserve">Taller del capítulo 11. La observación activa, por escrito</w:t>
      </w:r>
    </w:p>
    <w:p>
      <w:pPr>
        <w:pStyle w:val="BodyJ"/>
        <w:keepNext w:val="false"/>
      </w:pPr>
      <w:r>
        <w:t xml:space="preserve">Un paciente con dolor abdominal inespecífico y exámenes iniciales tranquilizadores quedará hospitalizado o en urgencias «en observación». ¿Cómo se escribe el plan, en no más de cuatro líneas, para que la espera opere como una intervención diagnóstica estructurada y no como una postergación pasiva?</w:t>
      </w:r>
    </w:p>
    <w:p>
      <w:pPr>
        <w:pStyle w:val="BodyJ"/>
        <w:keepNext/>
      </w:pPr>
      <w:r>
        <w:rPr>
          <w:i/>
          <w:iCs/>
        </w:rPr>
        <w:t xml:space="preserve">Una versión posible.</w:t>
      </w:r>
    </w:p>
    <w:p>
      <w:pPr>
        <w:pStyle w:val="Quote1"/>
      </w:pPr>
      <w:r>
        <w:t xml:space="preserve">Observación clínica activa por dolor abdominal agudo en estudio, con probabilidad pretest baja pero no excluida de patología quirúrgica. Plan: reevaluación abdominal presencial a las 4 h (o antes si presenta dolor en ascenso, vómitos, fiebre o taquicardia &gt;100 lpm); control de parámetros inflamatorios a las 6 h. Si el dolor migra o localiza, aparece irritación peritoneal o no tolera prueba de vía oral, avisar al médico de turno de inmediato para solicitar tomografía. Si a las 8 h permanece afebril, sin dolor a la deambulación y tolerando régimen líquido, proceder al alta con pauta escrita de signos de alarma.</w:t>
      </w:r>
    </w:p>
    <w:p>
      <w:pPr>
        <w:pStyle w:val="BodyJ"/>
        <w:keepNext w:val="false"/>
      </w:pPr>
      <w:r>
        <w:t xml:space="preserve">Esta estructura explicita los cuatro pilares que validan al tiempo como prueba diagnóstica. Qué se busca evaluar: la trayectoria del dolor y la tolerancia oral. En qué ventana: 4 a 8 horas. Qué variables gatillan acción, con plazos y responsables definidos. Y cuáles son las salidas en ambas direcciones: escalar el estudio o dar el alta. La anotación habitual, «control según evolución», es una fórmula vacía que delega en el azar lo que debía quedar gobernado por el diseño del plan.</w:t>
      </w:r>
    </w:p>
    <w:p>
      <w:pPr>
        <w:pStyle w:val="TallerHead"/>
        <w:keepNext/>
        <w:keepLines/>
      </w:pPr>
      <w:r>
        <w:t xml:space="preserve">Taller del capítulo 12. Desfosilizar una evolución</w:t>
      </w:r>
    </w:p>
    <w:p>
      <w:pPr>
        <w:pStyle w:val="BodyJ"/>
        <w:keepNext w:val="false"/>
      </w:pPr>
      <w:r>
        <w:t xml:space="preserve">La siguiente nota se ha copiado casi idéntica durante cinco días seguidos: «Paciente cursando neumonía en tratamiento antibiótico, hemodinamia estable, afebril, se mantiene manejo». Al quinto día, los datos reales en la hoja de enfermería y en el sistema son otros. Sigue afebril, pero el requerimiento de oxígeno subió de 2 a 4 L/min en 48 horas, la PCR está estacionaria (180→165 mg/L) y hay un derrame pleural nuevo en la radiografía de tórax de control. ¿Cómo queda la evolución del día 5 escrita con la estructura HII-D?</w:t>
      </w:r>
    </w:p>
    <w:p>
      <w:pPr>
        <w:pStyle w:val="BodyJ"/>
        <w:keepNext/>
      </w:pPr>
      <w:r>
        <w:rPr>
          <w:i/>
          <w:iCs/>
        </w:rPr>
        <w:t xml:space="preserve">Una versión posible.</w:t>
      </w:r>
    </w:p>
    <w:p>
      <w:pPr>
        <w:pStyle w:val="Quote1"/>
      </w:pPr>
      <w:r>
        <w:rPr>
          <w:i/>
          <w:iCs/>
        </w:rPr>
        <w:t xml:space="preserve">Hechos:</w:t>
      </w:r>
      <w:r>
        <w:t xml:space="preserve"> día 5 de tratamiento antibiótico por neumonía adquirida en la comunidad. Afebril desde el día 2 y normotenso, pero con deterioro del intercambio gaseoso (requerimiento de O2 por naricera en ascenso de 2 a 4 L/min en 48 h), PCR estancada (180→165 mg/L) y aparición de derrame pleural ipsilateral en la radiografía de hoy. </w:t>
      </w:r>
      <w:r>
        <w:rPr>
          <w:i/>
          <w:iCs/>
        </w:rPr>
        <w:t xml:space="preserve">Inferencia:</w:t>
      </w:r>
      <w:r>
        <w:t xml:space="preserve"> evolución clínica y radiológica discordante con una neumonía en resolución; alta probabilidad de derrame paraneumónico complicado o empiema; falla de cobertura antimicrobiana o diagnóstico alternativo pasan a ser posibles. </w:t>
      </w:r>
      <w:r>
        <w:rPr>
          <w:i/>
          <w:iCs/>
        </w:rPr>
        <w:t xml:space="preserve">Incertidumbre:</w:t>
      </w:r>
      <w:r>
        <w:t xml:space="preserve"> naturaleza fisicoquímica y microbiológica del líquido pleural desconocida hasta su punción; la ausencia de fiebre no excluye una colección supurada. </w:t>
      </w:r>
      <w:r>
        <w:rPr>
          <w:i/>
          <w:iCs/>
        </w:rPr>
        <w:t xml:space="preserve">Decisión:</w:t>
      </w:r>
      <w:r>
        <w:t xml:space="preserve"> toracocentesis diagnóstica hoy, guiada por ecografía, y ajuste del esquema según el estudio del líquido; si el procedimiento no se concreta en 24 h, interconsulta a cirugía de tórax. Criterio de reapertura inmediata: cualquier incremento adicional en el aporte de oxígeno o taquipnea progresiva obliga a adelantar el drenaje.</w:t>
      </w:r>
    </w:p>
    <w:p>
      <w:pPr>
        <w:pStyle w:val="BodyJ"/>
        <w:keepNext w:val="false"/>
      </w:pPr>
      <w:r>
        <w:t xml:space="preserve">La nota copiada durante cinco días no contenía mentiras literales —el paciente seguía afebril y normotenso—, pero operaba como un fósil narrativo: describía la fisiología del día 2 ignorando la trayectoria del día 5. Desfosilizar la evolución no exigió inventar datos sofisticados, sino dejar de omitir las tendencias que ya estaban a la vista.</w:t>
      </w:r>
    </w:p>
    <w:p>
      <w:pPr>
        <w:pStyle w:val="TallerHead"/>
        <w:keepNext/>
        <w:keepLines/>
      </w:pPr>
      <w:r>
        <w:t xml:space="preserve">Taller del capítulo 12. Conjugar los verbos</w:t>
      </w:r>
    </w:p>
    <w:p>
      <w:pPr>
        <w:pStyle w:val="BodyJ"/>
        <w:keepNext w:val="false"/>
      </w:pPr>
      <w:r>
        <w:t xml:space="preserve">El material es la última evolución de una línea que uno haya firmado —«X en tratamiento, estable»—. Primero se escriben las preguntas que esconde (al menos seis); después se reescribe como ficha de proceso en no más de ocho líneas, con los verbos: sospecho, dudé, descarto, priorizo, infiero, realizo, comprobaré, repetiré, aprendí.</w:t>
      </w:r>
    </w:p>
    <w:p>
      <w:pPr>
        <w:pStyle w:val="BodyJ"/>
        <w:keepNext w:val="false"/>
      </w:pPr>
      <w:r>
        <w:rPr>
          <w:i/>
          <w:iCs/>
        </w:rPr>
        <w:t xml:space="preserve">Error típico.</w:t>
      </w:r>
      <w:r>
        <w:t xml:space="preserve"> La ficha de proceso conjugada en pasiva y sin sujeto: «se sospechó», «se descartó», «se comprobará». Los verbos están, pero nadie los ejecuta, y «se comprobará» sin fecha ni responsable es «control según evolución» con mejor vocabulario. El segundo error es el inventario: nueve verbos usados una vez cada uno y en orden, como lista de asistencia, cuando el caso real necesitaba tres «dudé» y ningún «repetiré».</w:t>
      </w:r>
    </w:p>
    <w:p>
      <w:pPr>
        <w:pStyle w:val="BodyJ"/>
        <w:keepNext w:val="false"/>
      </w:pPr>
      <w:r>
        <w:rPr>
          <w:i/>
          <w:iCs/>
        </w:rPr>
        <w:t xml:space="preserve">Comentario.</w:t>
      </w:r>
      <w:r>
        <w:t xml:space="preserve"> No hay una respuesta única. El ejercicio suele mostrar tres cosas. La mitad de las preguntas escondidas nunca se formularon: nadie dudó de nada porque nadie preguntó. «Descarté» casi nunca viene con método. Y «comprobaré» es el verbo que más cuesta conjugar, porque obliga a predecir y a ponerle fecha a la predicción. Si la ficha de proceso no cabe en ocho líneas, está describiendo y no decidiendo: no es la ficha clínica completa, es el esqueleto de las decisiones. Y si cabe en dos, probablemente faltan verbos: una nota sin «dudé» ni «comprobaré» es una ficha de resultados con otro formato.</w:t>
      </w:r>
    </w:p>
    <w:p>
      <w:pPr>
        <w:pStyle w:val="TallerHead"/>
        <w:keepNext/>
        <w:keepLines/>
      </w:pPr>
      <w:r>
        <w:t xml:space="preserve">Taller del capítulo 13. Traducir un desacuerdo</w:t>
      </w:r>
    </w:p>
    <w:p>
      <w:pPr>
        <w:pStyle w:val="BodyJ"/>
        <w:keepNext w:val="false"/>
      </w:pPr>
      <w:r>
        <w:t xml:space="preserve">En la entrega de turno de la mañana, al discutir el caso de Carmen, el intensivista plantea: «Yo la operaría en esta hospitalización; si la mandamos a la casa, esto se va a volver a obstruir». La internista replica: «Operarla ahora me parece apresurado; acaba de salir de un shock séptico grave». Si esta fricción verbal se traduce a proposiciones evaluables, ¿en qué discrepan: en los hechos, en las inferencias, en la incertidumbre, en los valores o en el umbral de decisión?</w:t>
      </w:r>
    </w:p>
    <w:p>
      <w:pPr>
        <w:pStyle w:val="BodyJ"/>
        <w:keepNext w:val="false"/>
      </w:pPr>
      <w:r>
        <w:rPr>
          <w:i/>
          <w:iCs/>
        </w:rPr>
        <w:t xml:space="preserve">Una versión posible.</w:t>
      </w:r>
      <w:r>
        <w:t xml:space="preserve"> Cuando el desacuerdo se desarma por capas, el conflicto aparente cambia de naturaleza. En los </w:t>
      </w:r>
      <w:r>
        <w:rPr>
          <w:b/>
          <w:bCs/>
        </w:rPr>
        <w:t xml:space="preserve">hechos</w:t>
      </w:r>
      <w:r>
        <w:t xml:space="preserve"> no existe disputa alguna: ambos conocen los cuatro episodios en el año, el shock reciente y la tomografía sin isquemia. En la </w:t>
      </w:r>
      <w:r>
        <w:rPr>
          <w:b/>
          <w:bCs/>
        </w:rPr>
        <w:t xml:space="preserve">inferencia</w:t>
      </w:r>
      <w:r>
        <w:t xml:space="preserve"> pronóstica coinciden mucho más de lo que su tono sugiere: ambos estiman como altamente probable una nueva recurrencia obstructiva a corto o mediano plazo. La divergencia real está en dos puntos. Primero, en una </w:t>
      </w:r>
      <w:r>
        <w:rPr>
          <w:b/>
          <w:bCs/>
        </w:rPr>
        <w:t xml:space="preserve">incertidumbre</w:t>
      </w:r>
      <w:r>
        <w:t xml:space="preserve"> epistémica reducible: cuánto eleva el riesgo perioperatorio el shock recién resuelto, una duda que no se dirime con opiniones en la entrega de turno sino con una evaluación funcional y preoperatoria formal. Segundo, en el </w:t>
      </w:r>
      <w:r>
        <w:rPr>
          <w:b/>
          <w:bCs/>
        </w:rPr>
        <w:t xml:space="preserve">umbral de decisión</w:t>
      </w:r>
      <w:r>
        <w:t xml:space="preserve">: cuánto riesgo quirúrgico programado es razonable asumir hoy para evitar el riesgo incierto de una urgencia futura. Esa ponderación exige los </w:t>
      </w:r>
      <w:r>
        <w:rPr>
          <w:b/>
          <w:bCs/>
        </w:rPr>
        <w:t xml:space="preserve">valores</w:t>
      </w:r>
      <w:r>
        <w:t xml:space="preserve"> y temores de la propia Carmen, que aún no ha sido escuchada. Traducida la discusión a esta matriz, el plan de trabajo se redacta solo: objetivar la capacidad funcional, optimizar su condición respiratoria y nutricional, y sentarse a conversar con Carmen sobre ambos escenarios de riesgo. Ninguno de los dos médicos «ganó» la discusión: el equipo utilizó el desacuerdo para diagnosticar qué información le faltaba.</w:t>
      </w:r>
    </w:p>
    <w:p>
      <w:pPr>
        <w:pStyle w:val="TallerHead"/>
        <w:keepNext/>
        <w:keepLines/>
      </w:pPr>
      <w:r>
        <w:t xml:space="preserve">Taller del capítulo 15. Su paciente, esta semana</w:t>
      </w:r>
    </w:p>
    <w:p>
      <w:pPr>
        <w:pStyle w:val="BodyJ"/>
        <w:keepNext w:val="false"/>
      </w:pPr>
      <w:r>
        <w:t xml:space="preserve">El caso es el más incómodo de la lista actual —el que genera discusión en cada visita o el que nadie discute hace días—. Se escribe en la plantilla condensada del Apéndice A y se compara con la última evolución de la ficha: ¿qué contiene la plantilla que la ficha no registra?</w:t>
      </w:r>
    </w:p>
    <w:p>
      <w:pPr>
        <w:pStyle w:val="BodyJ"/>
        <w:keepNext w:val="false"/>
      </w:pPr>
      <w:r>
        <w:rPr>
          <w:i/>
          <w:iCs/>
        </w:rPr>
        <w:t xml:space="preserve">Comentario.</w:t>
      </w:r>
      <w:r>
        <w:t xml:space="preserve"> No hay una respuesta única, pero sí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TallerHead"/>
        <w:keepNext/>
        <w:keepLines/>
      </w:pPr>
      <w:r>
        <w:t xml:space="preserve">Taller del capítulo 16. Rediseñar la visita de sala</w:t>
      </w:r>
    </w:p>
    <w:p>
      <w:pPr>
        <w:pStyle w:val="BodyJ"/>
        <w:keepNext w:val="false"/>
      </w:pPr>
      <w:r>
        <w:t xml:space="preserve">Primero, describir por escrito la visita de sala del servicio tal como ocurre de verdad: minutos por paciente, quién habla, qué se pregunta siempre y qué no se pregunta nunca. Luego, rediseñarla con tres cambios como máximo —un disparador objetivo de pausa, una pregunta obligatoria por paciente inestable o incierto, una regla de entrega de turno— y estimar el costo en minutos por visita.</w:t>
      </w:r>
    </w:p>
    <w:p>
      <w:pPr>
        <w:pStyle w:val="BodyJ"/>
        <w:keepNext w:val="false"/>
      </w:pPr>
      <w:r>
        <w:rPr>
          <w:i/>
          <w:iCs/>
        </w:rPr>
        <w:t xml:space="preserve">Una versión posible.</w:t>
      </w:r>
      <w:r>
        <w:t xml:space="preserve"> Una descripción honesta puede parecerse a esto: dos a cuatro minutos por paciente, habla quien presenta y decide quien dirige, se pregunta «¿cómo está?» y «¿qué le falta?», y casi nunca «¿qué nos haría cambiar?». El rediseño más barato es esa tercera pregunta, hecha sólo a los pacientes que cumplen un disparador (reconsulta, discordancia entre gravedad y diagnóstico, 72 horas sin discusión): cuesta alrededor de un minuto por caso seleccionado y produce, de inmediato, criterios de reapertura que antes no existían. Si el rediseño necesita más de tres cambios o más de diez minutos por visita, probablemente está diseñando una reunión nueva en lugar de mejorar la que existe —y las reuniones nuevas mueren por inasistencia—.</w:t>
      </w:r>
    </w:p>
    <w:p>
      <w:pPr>
        <w:pStyle w:val="TallerHead"/>
        <w:keepNext/>
        <w:keepLines/>
      </w:pPr>
      <w:r>
        <w:t xml:space="preserve">Taller del capítulo 17. La autopsia de una respuesta</w:t>
      </w:r>
    </w:p>
    <w:p>
      <w:pPr>
        <w:pStyle w:val="BodyJ"/>
        <w:keepNext w:val="false"/>
      </w:pPr>
      <w:r>
        <w:t xml:space="preserve">Un caso real ya resuelto del servicio, debidamente anonimizado, se pega en un asistente de lenguaje con el pedido de evaluación y plan. La respuesta, impresa, se marca con tres colores: (1) afirmaciones sustentadas en datos que el caso contenía; (2) contenido que el modelo agregó (detalles «típicos», causalidades, datos que nadie le dio); (3) incertidumbre declarada. Después, una segunda pregunta al modelo: «¿qué evidencia haría improbable tu diagnóstico principal?».</w:t>
      </w:r>
    </w:p>
    <w:p>
      <w:pPr>
        <w:pStyle w:val="BodyJ"/>
        <w:keepNext w:val="false"/>
      </w:pPr>
      <w:r>
        <w:rPr>
          <w:i/>
          <w:iCs/>
        </w:rPr>
        <w:t xml:space="preserve">Comentario.</w:t>
      </w:r>
      <w:r>
        <w:t xml:space="preserve"> En ejercicios docentes, tres hallazgos vuelven una y otra vez. Primero, el color 2 aparece más de lo esperado: el modelo rellena huecos con verosimilitud —una evolución «esperable», un factor de riesgo «presumible»— y esa es la definición de confabulación; contarlas cura más que leer sobre ellas. Segundo, el color 3 suele ser genérico («se sugiere correlacionar con la clínica») y no específico del caso: incertidumbre de fórmula, no de contenido —conviene compararla con la que exige el léxico de certeza—. Tercero, la respuesta a la segunda pregunta suele ser mejor que la primera: el modelo enumera con soltura los datos que refutarían su propia propuesta —pero sólo si alguien se lo pide—. La herramienta contiene su propio antídoto; la pregunta que lo libera sigue siendo humana.</w:t>
      </w:r>
    </w:p>
    <w:p>
      <w:pPr>
        <w:pStyle w:val="TallerHead"/>
        <w:keepNext/>
        <w:keepLines/>
      </w:pPr>
      <w:r>
        <w:t xml:space="preserve">Taller del capítulo 18. La prueba de Parra</w:t>
      </w:r>
    </w:p>
    <w:p>
      <w:pPr>
        <w:pStyle w:val="BodyJ"/>
        <w:keepNext w:val="false"/>
      </w:pPr>
      <w:r>
        <w:t xml:space="preserve">Dos preguntas para la frase medular del paciente más reciente. Primera: ¿hay en ella alguna palabra huidobriana —que haga florecer lo que nadie observó (un mecanismo no demostrado, una causal de contrabando, un «descartado» sin método)—? Segunda: ¿puede reescribirse en palabras de todos los días sin perder un gramo de precisión? Y si al traducirla se desinfla, ¿qué la sostenía: la evidencia o la retórica?</w:t>
      </w:r>
    </w:p>
    <w:p>
      <w:pPr>
        <w:pStyle w:val="BodyJ"/>
        <w:keepNext w:val="false"/>
      </w:pPr>
      <w:r>
        <w:rPr>
          <w:i/>
          <w:iCs/>
        </w:rPr>
        <w:t xml:space="preserve">Una versión posible.</w:t>
      </w:r>
      <w:r>
        <w:t xml:space="preserve"> La frase es «Shock séptico de foco urinario, descartándose foco abdominal». Prueba uno: «de foco urinario» hace florecer una causal (¿demostrada o presunta?), y «descartándose» es un gerundio que promete lo que todavía no ocurrió —dos rosas creadas en ocho palabras—. Prueba dos, en lengua parriana: «Shock con urocultivo positivo; foco urinario probable; abdomen aún sin imagen». La segunda versión es menos imponente y más útil: sobrevive a la visita de la mañana. Si su frase pasa las dos pruebas, tiene lo que aquí se entiende por estilo: exactitud que se puede defender en voz alta.</w:t>
      </w:r>
    </w:p>
    <w:p>
      <w:pPr>
        <w:pStyle w:val="Heading1"/>
        <w:keepNext/>
        <w:keepLines/>
        <w:pageBreakBefore/>
        <w:spacing w:after="320" w:before="720"/>
      </w:pPr>
      <w:r>
        <w:rPr>
          <w:rFonts w:ascii="Gelasio" w:cs="Gelasio" w:eastAsia="Gelasio" w:hAnsi="Gelasio"/>
          <w:b/>
          <w:bCs/>
          <w:color w:val="2B2B2B"/>
          <w:sz w:val="34"/>
          <w:szCs w:val="34"/>
        </w:rPr>
        <w:t xml:space="preserve">Apéndice E. Las preguntas para la próxima visita</w:t>
      </w:r>
    </w:p>
    <w:p>
      <w:pPr>
        <w:pStyle w:val="BodyJ"/>
        <w:keepNext w:val="false"/>
      </w:pPr>
      <w:r>
        <w:t xml:space="preserve">Las 57 preguntas con que cierran la Introducción y los dieciocho capítulos, reunidas para la visita de sala, la entrega de turno o el portafolio de calibración del capítulo 5. Tres por capítulo; una por semana basta. Ninguna pide más de dos minutos y todas se responden con un paciente concreto.</w:t>
      </w:r>
    </w:p>
    <w:p>
      <w:pPr>
        <w:pStyle w:val="BodyJ"/>
        <w:keepNext/>
      </w:pPr>
      <w:r>
        <w:rPr>
          <w:b/>
          <w:bCs/>
        </w:rPr>
        <w:t xml:space="preserve">Introducción</w:t>
      </w:r>
    </w:p>
    <w:p>
      <w:pPr>
        <w:pStyle w:val="BodyJ"/>
        <w:keepNext/>
        <w:numPr>
          <w:ilvl w:val="0"/>
          <w:numId w:val="5"/>
        </w:numPr>
      </w:pPr>
      <w:r>
        <w:t xml:space="preserve">En la última nota que escribí, ¿qué afirmación era un dato y cuál era mi interpretación del dato?</w:t>
      </w:r>
    </w:p>
    <w:p>
      <w:pPr>
        <w:pStyle w:val="BodyJ"/>
        <w:keepNext/>
        <w:numPr>
          <w:ilvl w:val="0"/>
          <w:numId w:val="5"/>
        </w:numPr>
      </w:pPr>
      <w:r>
        <w:t xml:space="preserve">¿Qué frase de la ficha de mi paciente actual heredé de otra nota sin verificar su origen?</w:t>
      </w:r>
    </w:p>
    <w:p>
      <w:pPr>
        <w:pStyle w:val="BodyJ"/>
        <w:keepNext w:val="false"/>
        <w:numPr>
          <w:ilvl w:val="0"/>
          <w:numId w:val="5"/>
        </w:numPr>
      </w:pPr>
      <w:r>
        <w:t xml:space="preserve">¿Cuál es la decisión concreta que este caso me exige hoy, y qué me haría cambiarla?</w:t>
      </w:r>
    </w:p>
    <w:p>
      <w:pPr>
        <w:pStyle w:val="BodyJ"/>
        <w:keepNext/>
      </w:pPr>
      <w:r>
        <w:rPr>
          <w:b/>
          <w:bCs/>
        </w:rPr>
        <w:t xml:space="preserve">Capítulo 1. El hecho clínico: observación, medición y procedencia</w:t>
      </w:r>
    </w:p>
    <w:p>
      <w:pPr>
        <w:pStyle w:val="BodyJ"/>
        <w:keepNext/>
        <w:numPr>
          <w:ilvl w:val="0"/>
          <w:numId w:val="5"/>
        </w:numPr>
      </w:pPr>
      <w:r>
        <w:t xml:space="preserve">¿Cuál es el dato más decisivo de mi evaluación de hoy y quién lo produjo realmente?</w:t>
      </w:r>
    </w:p>
    <w:p>
      <w:pPr>
        <w:pStyle w:val="BodyJ"/>
        <w:keepNext/>
        <w:numPr>
          <w:ilvl w:val="0"/>
          <w:numId w:val="5"/>
        </w:numPr>
      </w:pPr>
      <w:r>
        <w:t xml:space="preserve">¿Qué «hallazgo negativo» estoy tratando como evidencia de ausencia sin preguntarme por la sensibilidad de la búsqueda?</w:t>
      </w:r>
    </w:p>
    <w:p>
      <w:pPr>
        <w:pStyle w:val="BodyJ"/>
        <w:keepNext w:val="false"/>
        <w:numPr>
          <w:ilvl w:val="0"/>
          <w:numId w:val="5"/>
        </w:numPr>
      </w:pPr>
      <w:r>
        <w:t xml:space="preserve">¿Qué dijo mi paciente con sus propias palabras que yo ya traduje a jerga?</w:t>
      </w:r>
    </w:p>
    <w:p>
      <w:pPr>
        <w:pStyle w:val="BodyJ"/>
        <w:keepNext/>
      </w:pPr>
      <w:r>
        <w:rPr>
          <w:b/>
          <w:bCs/>
        </w:rPr>
        <w:t xml:space="preserve">Capítulo 2. Inferir: del signo a la explicación</w:t>
      </w:r>
    </w:p>
    <w:p>
      <w:pPr>
        <w:pStyle w:val="BodyJ"/>
        <w:keepNext/>
        <w:numPr>
          <w:ilvl w:val="0"/>
          <w:numId w:val="5"/>
        </w:numPr>
      </w:pPr>
      <w:r>
        <w:t xml:space="preserve">¿Cuál es el dato más difícil de explicar con mi hipótesis principal?</w:t>
      </w:r>
    </w:p>
    <w:p>
      <w:pPr>
        <w:pStyle w:val="BodyJ"/>
        <w:keepNext/>
        <w:numPr>
          <w:ilvl w:val="0"/>
          <w:numId w:val="5"/>
        </w:numPr>
      </w:pPr>
      <w:r>
        <w:t xml:space="preserve">¿Qué explicación rival cambiaría mi conducta hoy, y qué me costaría buscarla?</w:t>
      </w:r>
    </w:p>
    <w:p>
      <w:pPr>
        <w:pStyle w:val="BodyJ"/>
        <w:keepNext w:val="false"/>
        <w:numPr>
          <w:ilvl w:val="0"/>
          <w:numId w:val="5"/>
        </w:numPr>
      </w:pPr>
      <w:r>
        <w:t xml:space="preserve">¿Qué predicción concreta hace mi diagnóstico para las próximas 24 horas?</w:t>
      </w:r>
    </w:p>
    <w:p>
      <w:pPr>
        <w:pStyle w:val="BodyJ"/>
        <w:keepNext/>
      </w:pPr>
      <w:r>
        <w:rPr>
          <w:b/>
          <w:bCs/>
        </w:rPr>
        <w:t xml:space="preserve">Capítulo 3. Incertidumbre: una condición estructural</w:t>
      </w:r>
    </w:p>
    <w:p>
      <w:pPr>
        <w:pStyle w:val="BodyJ"/>
        <w:keepNext/>
        <w:numPr>
          <w:ilvl w:val="0"/>
          <w:numId w:val="5"/>
        </w:numPr>
      </w:pPr>
      <w:r>
        <w:t xml:space="preserve">De todo lo que no sé de este paciente, ¿qué duda cambiaría mi conducta si se resolviera?</w:t>
      </w:r>
    </w:p>
    <w:p>
      <w:pPr>
        <w:pStyle w:val="BodyJ"/>
        <w:keepNext/>
        <w:numPr>
          <w:ilvl w:val="0"/>
          <w:numId w:val="5"/>
        </w:numPr>
      </w:pPr>
      <w:r>
        <w:t xml:space="preserve">¿Cuál es la duda pequeña con consecuencia catastrófica que exige vigilancia explícita?</w:t>
      </w:r>
    </w:p>
    <w:p>
      <w:pPr>
        <w:pStyle w:val="BodyJ"/>
        <w:keepNext w:val="false"/>
        <w:numPr>
          <w:ilvl w:val="0"/>
          <w:numId w:val="5"/>
        </w:numPr>
      </w:pPr>
      <w:r>
        <w:t xml:space="preserve">¿Qué parte de mi plan depende de valores del paciente que aún no he preguntado?</w:t>
      </w:r>
    </w:p>
    <w:p>
      <w:pPr>
        <w:pStyle w:val="BodyJ"/>
        <w:keepNext/>
      </w:pPr>
      <w:r>
        <w:rPr>
          <w:b/>
          <w:bCs/>
        </w:rPr>
        <w:t xml:space="preserve">Capítulo 4. Lenguaje clínico y densidad epistémica</w:t>
      </w:r>
    </w:p>
    <w:p>
      <w:pPr>
        <w:pStyle w:val="BodyJ"/>
        <w:keepNext/>
        <w:numPr>
          <w:ilvl w:val="0"/>
          <w:numId w:val="5"/>
        </w:numPr>
      </w:pPr>
      <w:r>
        <w:t xml:space="preserve">En mi última evolución, ¿qué verbo causal («secundario a», «por», «complicado por») no podría defender si me lo preguntaran?</w:t>
      </w:r>
    </w:p>
    <w:p>
      <w:pPr>
        <w:pStyle w:val="BodyJ"/>
        <w:keepNext/>
        <w:numPr>
          <w:ilvl w:val="0"/>
          <w:numId w:val="5"/>
        </w:numPr>
      </w:pPr>
      <w:r>
        <w:t xml:space="preserve">¿Escribí «se descarta» donde sólo tenía «sin evidencia actual de»?</w:t>
      </w:r>
    </w:p>
    <w:p>
      <w:pPr>
        <w:pStyle w:val="BodyJ"/>
        <w:keepNext w:val="false"/>
        <w:numPr>
          <w:ilvl w:val="0"/>
          <w:numId w:val="5"/>
        </w:numPr>
      </w:pPr>
      <w:r>
        <w:t xml:space="preserve">Si otro médico leyera sólo mi frase final, ¿sabría qué vigilar y qué me haría cambiar?</w:t>
      </w:r>
    </w:p>
    <w:p>
      <w:pPr>
        <w:pStyle w:val="BodyJ"/>
        <w:keepNext/>
      </w:pPr>
      <w:r>
        <w:rPr>
          <w:b/>
          <w:bCs/>
        </w:rPr>
        <w:t xml:space="preserve">Capítulo 5. Metacognición: monitorear y regular el propio juicio</w:t>
      </w:r>
    </w:p>
    <w:p>
      <w:pPr>
        <w:pStyle w:val="BodyJ"/>
        <w:keepNext/>
        <w:numPr>
          <w:ilvl w:val="0"/>
          <w:numId w:val="5"/>
        </w:numPr>
      </w:pPr>
      <w:r>
        <w:t xml:space="preserve">En mi diagnóstico más firme de hoy, ¿mi confianza viene de la evidencia o de la fluidez con que reconocí el patrón?</w:t>
      </w:r>
    </w:p>
    <w:p>
      <w:pPr>
        <w:pStyle w:val="BodyJ"/>
        <w:keepNext/>
        <w:numPr>
          <w:ilvl w:val="0"/>
          <w:numId w:val="5"/>
        </w:numPr>
      </w:pPr>
      <w:r>
        <w:t xml:space="preserve">¿Qué señal afectiva (prisa, irritación, alivio) está influyendo en mi evaluación de este caso?</w:t>
      </w:r>
    </w:p>
    <w:p>
      <w:pPr>
        <w:pStyle w:val="BodyJ"/>
        <w:keepNext w:val="false"/>
        <w:numPr>
          <w:ilvl w:val="0"/>
          <w:numId w:val="5"/>
        </w:numPr>
      </w:pPr>
      <w:r>
        <w:t xml:space="preserve">¿Cuál fue mi última predicción concreta —un cultivo, una imagen, una evolución— y la contrasté con el resultado cuando llegó, o sólo recuerdo las que acerté?</w:t>
      </w:r>
    </w:p>
    <w:p>
      <w:pPr>
        <w:pStyle w:val="BodyJ"/>
        <w:keepNext/>
      </w:pPr>
      <w:r>
        <w:rPr>
          <w:b/>
          <w:bCs/>
        </w:rPr>
        <w:t xml:space="preserve">Capítulo 6. Pericia, intuición y conocimiento tácito</w:t>
      </w:r>
    </w:p>
    <w:p>
      <w:pPr>
        <w:pStyle w:val="BodyJ"/>
        <w:keepNext/>
        <w:numPr>
          <w:ilvl w:val="0"/>
          <w:numId w:val="5"/>
        </w:numPr>
      </w:pPr>
      <w:r>
        <w:t xml:space="preserve">¿En qué dominio tengo suficiente experiencia con feedback real como para confiar en mi primera impresión?</w:t>
      </w:r>
    </w:p>
    <w:p>
      <w:pPr>
        <w:pStyle w:val="BodyJ"/>
        <w:keepNext/>
        <w:numPr>
          <w:ilvl w:val="0"/>
          <w:numId w:val="5"/>
        </w:numPr>
      </w:pPr>
      <w:r>
        <w:t xml:space="preserve">La última vez que «vi» un diagnóstico al instante, ¿qué características lo activaron? ¿Puedo nombrarlas?</w:t>
      </w:r>
    </w:p>
    <w:p>
      <w:pPr>
        <w:pStyle w:val="BodyJ"/>
        <w:keepNext w:val="false"/>
        <w:numPr>
          <w:ilvl w:val="0"/>
          <w:numId w:val="5"/>
        </w:numPr>
      </w:pPr>
      <w:r>
        <w:t xml:space="preserve">¿Qué caso reciente forcé a encajar en un patrón conocido cuando algo no calzaba?</w:t>
      </w:r>
    </w:p>
    <w:p>
      <w:pPr>
        <w:pStyle w:val="BodyJ"/>
        <w:keepNext/>
      </w:pPr>
      <w:r>
        <w:rPr>
          <w:b/>
          <w:bCs/>
        </w:rPr>
        <w:t xml:space="preserve">Capítulo 7. Error, sesgo y ecología del diagnóstico</w:t>
      </w:r>
    </w:p>
    <w:p>
      <w:pPr>
        <w:pStyle w:val="BodyJ"/>
        <w:keepNext/>
        <w:numPr>
          <w:ilvl w:val="0"/>
          <w:numId w:val="5"/>
        </w:numPr>
      </w:pPr>
      <w:r>
        <w:t xml:space="preserve">¿Qué frase heredada estoy tratando como hecho en mi paciente más complejo?</w:t>
      </w:r>
    </w:p>
    <w:p>
      <w:pPr>
        <w:pStyle w:val="BodyJ"/>
        <w:keepNext/>
        <w:numPr>
          <w:ilvl w:val="0"/>
          <w:numId w:val="5"/>
        </w:numPr>
      </w:pPr>
      <w:r>
        <w:t xml:space="preserve">¿Qué dato «confirmatorio» de hoy confirmaría también la hipótesis rival?</w:t>
      </w:r>
    </w:p>
    <w:p>
      <w:pPr>
        <w:pStyle w:val="BodyJ"/>
        <w:keepNext w:val="false"/>
        <w:numPr>
          <w:ilvl w:val="0"/>
          <w:numId w:val="5"/>
        </w:numPr>
      </w:pPr>
      <w:r>
        <w:t xml:space="preserve">¿Qué evolución atípica estoy reinterpretando para no reabrir el caso?</w:t>
      </w:r>
    </w:p>
    <w:p>
      <w:pPr>
        <w:pStyle w:val="BodyJ"/>
        <w:keepNext/>
      </w:pPr>
      <w:r>
        <w:rPr>
          <w:b/>
          <w:bCs/>
        </w:rPr>
        <w:t xml:space="preserve">Capítulo 8. Desacelerar: cuándo, en qué estado y con qué mente</w:t>
      </w:r>
    </w:p>
    <w:p>
      <w:pPr>
        <w:pStyle w:val="BodyJ"/>
        <w:keepNext/>
        <w:numPr>
          <w:ilvl w:val="0"/>
          <w:numId w:val="5"/>
        </w:numPr>
      </w:pPr>
      <w:r>
        <w:t xml:space="preserve">¿Cuál de mis pacientes actuales cumple un disparador de desaceleración (evolución inesperada, discordancia gravedad-diagnóstico, reconsulta), y en qué condiciones estaba yo cuando lo evalué?</w:t>
      </w:r>
    </w:p>
    <w:p>
      <w:pPr>
        <w:pStyle w:val="BodyJ"/>
        <w:keepNext/>
        <w:numPr>
          <w:ilvl w:val="0"/>
          <w:numId w:val="5"/>
        </w:numPr>
      </w:pPr>
      <w:r>
        <w:t xml:space="preserve">¿Puedo presentar mi caso más complejo sin usar su etiqueta diagnóstica?</w:t>
      </w:r>
    </w:p>
    <w:p>
      <w:pPr>
        <w:pStyle w:val="BodyJ"/>
        <w:keepNext w:val="false"/>
        <w:numPr>
          <w:ilvl w:val="0"/>
          <w:numId w:val="5"/>
        </w:numPr>
      </w:pPr>
      <w:r>
        <w:t xml:space="preserve">En mi última alta con diagnóstico incierto, ¿dejé escrito qué debería motivar reconsulta?</w:t>
      </w:r>
    </w:p>
    <w:p>
      <w:pPr>
        <w:pStyle w:val="BodyJ"/>
        <w:keepNext/>
      </w:pPr>
      <w:r>
        <w:rPr>
          <w:b/>
          <w:bCs/>
        </w:rPr>
        <w:t xml:space="preserve">Capítulo 9. La evidencia y el caso singular</w:t>
      </w:r>
    </w:p>
    <w:p>
      <w:pPr>
        <w:pStyle w:val="BodyJ"/>
        <w:keepNext/>
        <w:numPr>
          <w:ilvl w:val="0"/>
          <w:numId w:val="5"/>
        </w:numPr>
      </w:pPr>
      <w:r>
        <w:t xml:space="preserve">Para mi indicación más importante de hoy: ¿qué demostró exactamente el estudio que la respalda, y en qué se parece mi paciente a esa población?</w:t>
      </w:r>
    </w:p>
    <w:p>
      <w:pPr>
        <w:pStyle w:val="BodyJ"/>
        <w:keepNext/>
        <w:numPr>
          <w:ilvl w:val="0"/>
          <w:numId w:val="5"/>
        </w:numPr>
      </w:pPr>
      <w:r>
        <w:t xml:space="preserve">El último ensayo «negativo» que cité: ¿mostró ausencia de efecto o ausencia de significación —y traté esa diferencia como si no existiera—?</w:t>
      </w:r>
    </w:p>
    <w:p>
      <w:pPr>
        <w:pStyle w:val="BodyJ"/>
        <w:keepNext w:val="false"/>
        <w:numPr>
          <w:ilvl w:val="0"/>
          <w:numId w:val="5"/>
        </w:numPr>
      </w:pPr>
      <w:r>
        <w:t xml:space="preserve">¿Qué conocimiento local (resistencias, tiempos, capacidad de seguimiento) está modificando mi decisión sin estar declarado en ninguna parte?</w:t>
      </w:r>
    </w:p>
    <w:p>
      <w:pPr>
        <w:pStyle w:val="BodyJ"/>
        <w:keepNext/>
      </w:pPr>
      <w:r>
        <w:rPr>
          <w:b/>
          <w:bCs/>
        </w:rPr>
        <w:t xml:space="preserve">Capítulo 10. Decidir sin certeza: umbrales, valores y bioética</w:t>
      </w:r>
    </w:p>
    <w:p>
      <w:pPr>
        <w:pStyle w:val="BodyJ"/>
        <w:keepNext/>
        <w:numPr>
          <w:ilvl w:val="0"/>
          <w:numId w:val="5"/>
        </w:numPr>
      </w:pPr>
      <w:r>
        <w:t xml:space="preserve">¿Cuál es el umbral implícito de mi decisión: qué probabilidad de estar equivocado la haría cambiar?</w:t>
      </w:r>
    </w:p>
    <w:p>
      <w:pPr>
        <w:pStyle w:val="BodyJ"/>
        <w:keepNext/>
        <w:numPr>
          <w:ilvl w:val="0"/>
          <w:numId w:val="5"/>
        </w:numPr>
      </w:pPr>
      <w:r>
        <w:t xml:space="preserve">¿Estoy exigiendo certeza diagnóstica donde bastaría compromiso práctico, o actuando para no tolerar una duda?</w:t>
      </w:r>
    </w:p>
    <w:p>
      <w:pPr>
        <w:pStyle w:val="BodyJ"/>
        <w:keepNext w:val="false"/>
        <w:numPr>
          <w:ilvl w:val="0"/>
          <w:numId w:val="5"/>
        </w:numPr>
      </w:pPr>
      <w:r>
        <w:t xml:space="preserve">De mi paciente más grave de hoy: ¿sé cómo funcionaba antes de enfermar, con quién vive y qué espera del tratamiento —y está escrito en alguna parte—?</w:t>
      </w:r>
    </w:p>
    <w:p>
      <w:pPr>
        <w:pStyle w:val="BodyJ"/>
        <w:keepNext/>
      </w:pPr>
      <w:r>
        <w:rPr>
          <w:b/>
          <w:bCs/>
        </w:rPr>
        <w:t xml:space="preserve">Capítulo 11. Temporalidad, trayectoria y razonamiento contrafactual</w:t>
      </w:r>
    </w:p>
    <w:p>
      <w:pPr>
        <w:pStyle w:val="BodyJ"/>
        <w:keepNext/>
        <w:numPr>
          <w:ilvl w:val="0"/>
          <w:numId w:val="5"/>
        </w:numPr>
      </w:pPr>
      <w:r>
        <w:t xml:space="preserve">«Está mejor»: ¿mejor que cuándo, en qué variable y a qué velocidad?</w:t>
      </w:r>
    </w:p>
    <w:p>
      <w:pPr>
        <w:pStyle w:val="BodyJ"/>
        <w:keepNext/>
        <w:numPr>
          <w:ilvl w:val="0"/>
          <w:numId w:val="5"/>
        </w:numPr>
      </w:pPr>
      <w:r>
        <w:t xml:space="preserve">¿Qué predijo mi diagnóstico hace 48 horas, y la evolución lo confirmó o lo desmintió?</w:t>
      </w:r>
    </w:p>
    <w:p>
      <w:pPr>
        <w:pStyle w:val="BodyJ"/>
        <w:keepNext w:val="false"/>
        <w:numPr>
          <w:ilvl w:val="0"/>
          <w:numId w:val="5"/>
        </w:numPr>
      </w:pPr>
      <w:r>
        <w:t xml:space="preserve">Mi «observación» de hoy, ¿tiene plazo, variables y criterio de salida, o es una espera sin diseño?</w:t>
      </w:r>
    </w:p>
    <w:p>
      <w:pPr>
        <w:pStyle w:val="BodyJ"/>
        <w:keepNext/>
      </w:pPr>
      <w:r>
        <w:rPr>
          <w:b/>
          <w:bCs/>
        </w:rPr>
        <w:t xml:space="preserve">Capítulo 12. La ficha clínica como instrumento de pensamiento</w:t>
      </w:r>
    </w:p>
    <w:p>
      <w:pPr>
        <w:pStyle w:val="BodyJ"/>
        <w:keepNext/>
        <w:numPr>
          <w:ilvl w:val="0"/>
          <w:numId w:val="5"/>
        </w:numPr>
      </w:pPr>
      <w:r>
        <w:t xml:space="preserve">¿Qué párrafo de mi evolución de hoy es copia de ayer, y sigue siendo verdad?</w:t>
      </w:r>
    </w:p>
    <w:p>
      <w:pPr>
        <w:pStyle w:val="BodyJ"/>
        <w:keepNext/>
        <w:numPr>
          <w:ilvl w:val="0"/>
          <w:numId w:val="5"/>
        </w:numPr>
      </w:pPr>
      <w:r>
        <w:t xml:space="preserve">Si yo no estuviera mañana, ¿el médico que me reemplace sabría por mi nota qué vigilar y qué reabriría el caso?</w:t>
      </w:r>
    </w:p>
    <w:p>
      <w:pPr>
        <w:pStyle w:val="BodyJ"/>
        <w:keepNext w:val="false"/>
        <w:numPr>
          <w:ilvl w:val="0"/>
          <w:numId w:val="5"/>
        </w:numPr>
      </w:pPr>
      <w:r>
        <w:t xml:space="preserve">¿Mi lista de problemas distingue hechos, hipótesis, acciones pendientes e incertidumbres, o todo tiene el mismo estatus?</w:t>
      </w:r>
    </w:p>
    <w:p>
      <w:pPr>
        <w:pStyle w:val="BodyJ"/>
        <w:keepNext w:val="false"/>
      </w:pPr>
      <w:r>
        <w:rPr>
          <w:b/>
          <w:bCs/>
        </w:rPr>
        <w:t xml:space="preserve">Capítulo 13. Pensar con otros: equipos, desacuerdo y comunicación de la incertidumbre</w:t>
      </w:r>
    </w:p>
    <w:p>
      <w:pPr>
        <w:pStyle w:val="BodyJ"/>
        <w:keepNext/>
        <w:numPr>
          <w:ilvl w:val="0"/>
          <w:numId w:val="5"/>
        </w:numPr>
      </w:pPr>
      <w:r>
        <w:t xml:space="preserve">¿Qué observó enfermería en las últimas 24 horas que no pasó por mi evaluación?</w:t>
      </w:r>
    </w:p>
    <w:p>
      <w:pPr>
        <w:pStyle w:val="BodyJ"/>
        <w:keepNext/>
        <w:numPr>
          <w:ilvl w:val="0"/>
          <w:numId w:val="5"/>
        </w:numPr>
      </w:pPr>
      <w:r>
        <w:t xml:space="preserve">En mi último desacuerdo clínico, ¿discrepábamos en hechos, inferencias, incertidumbre, valores o umbral?</w:t>
      </w:r>
    </w:p>
    <w:p>
      <w:pPr>
        <w:pStyle w:val="BodyJ"/>
        <w:keepNext w:val="false"/>
        <w:numPr>
          <w:ilvl w:val="0"/>
          <w:numId w:val="5"/>
        </w:numPr>
      </w:pPr>
      <w:r>
        <w:t xml:space="preserve">¿Mi paciente sabe qué sabemos, qué creemos, qué no sabemos aún y qué haremos —o sólo recibió una etiqueta—?</w:t>
      </w:r>
    </w:p>
    <w:p>
      <w:pPr>
        <w:pStyle w:val="BodyJ"/>
        <w:keepNext/>
      </w:pPr>
      <w:r>
        <w:rPr>
          <w:b/>
          <w:bCs/>
        </w:rPr>
        <w:t xml:space="preserve">Capítulo 14. Humildad epistémica y responsabilidad clínica</w:t>
      </w:r>
    </w:p>
    <w:p>
      <w:pPr>
        <w:pStyle w:val="BodyJ"/>
        <w:keepNext/>
        <w:numPr>
          <w:ilvl w:val="0"/>
          <w:numId w:val="5"/>
        </w:numPr>
      </w:pPr>
      <w:r>
        <w:t xml:space="preserve">¿A qué paciente le estoy creyendo menos de lo que su testimonio merece, y por qué?</w:t>
      </w:r>
    </w:p>
    <w:p>
      <w:pPr>
        <w:pStyle w:val="BodyJ"/>
        <w:keepNext/>
        <w:numPr>
          <w:ilvl w:val="0"/>
          <w:numId w:val="5"/>
        </w:numPr>
      </w:pPr>
      <w:r>
        <w:t xml:space="preserve">Mi última recomendación firme: ¿podría explicar qué hechos la sostienen, qué incertidumbres la modificarían y qué valores del paciente pesan?</w:t>
      </w:r>
    </w:p>
    <w:p>
      <w:pPr>
        <w:pStyle w:val="BodyJ"/>
        <w:keepNext w:val="false"/>
        <w:numPr>
          <w:ilvl w:val="0"/>
          <w:numId w:val="5"/>
        </w:numPr>
      </w:pPr>
      <w:r>
        <w:t xml:space="preserve">¿Hay en mis fichas una etiqueta («funcional», «no adherente», «poco colaborador») que esté distribuyendo credibilidad en lugar de información?</w:t>
      </w:r>
    </w:p>
    <w:p>
      <w:pPr>
        <w:pStyle w:val="BodyJ"/>
        <w:keepNext/>
      </w:pPr>
      <w:r>
        <w:rPr>
          <w:b/>
          <w:bCs/>
        </w:rPr>
        <w:t xml:space="preserve">Capítulo 15. El método HII-D: una epistemología operativa</w:t>
      </w:r>
    </w:p>
    <w:p>
      <w:pPr>
        <w:pStyle w:val="BodyJ"/>
        <w:keepNext/>
        <w:numPr>
          <w:ilvl w:val="0"/>
          <w:numId w:val="5"/>
        </w:numPr>
      </w:pPr>
      <w:r>
        <w:t xml:space="preserve">¿Cuál es la pregunta operativa de mi caso más difícil —la decisión real en juego, no «el diagnóstico»—?</w:t>
      </w:r>
    </w:p>
    <w:p>
      <w:pPr>
        <w:pStyle w:val="BodyJ"/>
        <w:keepNext/>
        <w:numPr>
          <w:ilvl w:val="0"/>
          <w:numId w:val="5"/>
        </w:numPr>
      </w:pPr>
      <w:r>
        <w:t xml:space="preserve">¿Mi nota de hoy permite a otro médico reconstruir mis cuatro capas, o sólo mi conclusión?</w:t>
      </w:r>
    </w:p>
    <w:p>
      <w:pPr>
        <w:pStyle w:val="BodyJ"/>
        <w:keepNext w:val="false"/>
        <w:numPr>
          <w:ilvl w:val="0"/>
          <w:numId w:val="5"/>
        </w:numPr>
      </w:pPr>
      <w:r>
        <w:t xml:space="preserve">¿Qué decisión de esta semana tomé sin criterio de reapertura, y todavía estoy a tiempo de escribirlo?</w:t>
      </w:r>
    </w:p>
    <w:p>
      <w:pPr>
        <w:pStyle w:val="BodyJ"/>
        <w:keepNext/>
      </w:pPr>
      <w:r>
        <w:rPr>
          <w:b/>
          <w:bCs/>
        </w:rPr>
        <w:t xml:space="preserve">Capítulo 16. Enseñar y organizar la metacognición clínica</w:t>
      </w:r>
    </w:p>
    <w:p>
      <w:pPr>
        <w:pStyle w:val="BodyJ"/>
        <w:keepNext/>
        <w:numPr>
          <w:ilvl w:val="0"/>
          <w:numId w:val="5"/>
        </w:numPr>
      </w:pPr>
      <w:r>
        <w:t xml:space="preserve">La última vez que enseñé un caso, ¿pedí el diagnóstico o pedí primero la representación del problema?</w:t>
      </w:r>
    </w:p>
    <w:p>
      <w:pPr>
        <w:pStyle w:val="BodyJ"/>
        <w:keepNext/>
        <w:numPr>
          <w:ilvl w:val="0"/>
          <w:numId w:val="5"/>
        </w:numPr>
      </w:pPr>
      <w:r>
        <w:t xml:space="preserve">¿Qué pasó con el último paciente que derivé o di de alta con diagnóstico incierto —y cómo podría enterarme sistemáticamente—?</w:t>
      </w:r>
    </w:p>
    <w:p>
      <w:pPr>
        <w:pStyle w:val="BodyJ"/>
        <w:keepNext w:val="false"/>
        <w:numPr>
          <w:ilvl w:val="0"/>
          <w:numId w:val="5"/>
        </w:numPr>
      </w:pPr>
      <w:r>
        <w:t xml:space="preserve">Si mañana dirigiera mi servicio, ¿cuál de las tres palancas (visita de sala, ficha, revisión de errores) cambiaría primero, y qué costaría?</w:t>
      </w:r>
    </w:p>
    <w:p>
      <w:pPr>
        <w:pStyle w:val="BodyJ"/>
        <w:keepNext w:val="false"/>
      </w:pPr>
      <w:r>
        <w:rPr>
          <w:b/>
          <w:bCs/>
        </w:rPr>
        <w:t xml:space="preserve">Capítulo 17. La inteligencia artificial en el proceso clínico: roles, riesgos y defensas</w:t>
      </w:r>
    </w:p>
    <w:p>
      <w:pPr>
        <w:pStyle w:val="BodyJ"/>
        <w:keepNext/>
        <w:numPr>
          <w:ilvl w:val="0"/>
          <w:numId w:val="5"/>
        </w:numPr>
      </w:pPr>
      <w:r>
        <w:t xml:space="preserve">Si uso IA en este caso, ¿qué dato de su respuesta verifiqué contra una fuente primaria antes de actuar?</w:t>
      </w:r>
    </w:p>
    <w:p>
      <w:pPr>
        <w:pStyle w:val="BodyJ"/>
        <w:keepNext/>
        <w:numPr>
          <w:ilvl w:val="0"/>
          <w:numId w:val="5"/>
        </w:numPr>
      </w:pPr>
      <w:r>
        <w:t xml:space="preserve">¿Qué agregó el modelo que el caso no contenía?</w:t>
      </w:r>
    </w:p>
    <w:p>
      <w:pPr>
        <w:pStyle w:val="BodyJ"/>
        <w:keepNext w:val="false"/>
        <w:numPr>
          <w:ilvl w:val="0"/>
          <w:numId w:val="5"/>
        </w:numPr>
      </w:pPr>
      <w:r>
        <w:t xml:space="preserve">¿Estoy usando la herramienta para ampliar hipótesis o para confirmar rápido la que ya tenía?</w:t>
      </w:r>
    </w:p>
    <w:p>
      <w:pPr>
        <w:pStyle w:val="BodyJ"/>
        <w:keepNext/>
      </w:pPr>
      <w:r>
        <w:rPr>
          <w:b/>
          <w:bCs/>
        </w:rPr>
        <w:t xml:space="preserve">Capítulo 18. La palabra exacta: lo que la poesía sabe del juicio clínico</w:t>
      </w:r>
    </w:p>
    <w:p>
      <w:pPr>
        <w:pStyle w:val="BodyJ"/>
        <w:keepNext/>
        <w:numPr>
          <w:ilvl w:val="0"/>
          <w:numId w:val="5"/>
        </w:numPr>
      </w:pPr>
      <w:r>
        <w:t xml:space="preserve">¿Qué palabra de mi última nota está «haciendo florecer» algo que nadie observó?</w:t>
      </w:r>
    </w:p>
    <w:p>
      <w:pPr>
        <w:pStyle w:val="BodyJ"/>
        <w:keepNext/>
        <w:numPr>
          <w:ilvl w:val="0"/>
          <w:numId w:val="5"/>
        </w:numPr>
      </w:pPr>
      <w:r>
        <w:t xml:space="preserve">El diagnóstico que más me satisface hoy: ¿me convence por la evidencia o por lo bien que cierra la historia?</w:t>
      </w:r>
    </w:p>
    <w:p>
      <w:pPr>
        <w:pStyle w:val="BodyJ"/>
        <w:keepNext w:val="false"/>
        <w:numPr>
          <w:ilvl w:val="0"/>
          <w:numId w:val="5"/>
        </w:numPr>
      </w:pPr>
      <w:r>
        <w:t xml:space="preserve">¿Cuándo fue la última vez que leí algo —un poema, una página— sólo para afinar el oído con el que después escucho pacientes?</w:t>
      </w:r>
    </w:p>
    <w:p>
      <w:pPr>
        <w:pStyle w:val="Heading1"/>
        <w:keepNext/>
        <w:keepLines/>
        <w:pageBreakBefore/>
        <w:spacing w:after="320" w:before="720"/>
      </w:pPr>
      <w:r>
        <w:rPr>
          <w:rFonts w:ascii="Gelasio" w:cs="Gelasio" w:eastAsia="Gelasio" w:hAnsi="Gelasio"/>
          <w:b/>
          <w:bCs/>
          <w:color w:val="2B2B2B"/>
          <w:sz w:val="34"/>
          <w:szCs w:val="34"/>
        </w:rPr>
        <w:t xml:space="preserve">Glosario</w:t>
      </w:r>
    </w:p>
    <w:p>
      <w:pPr>
        <w:pStyle w:val="BodyJ"/>
        <w:keepNext w:val="false"/>
      </w:pPr>
      <w:r>
        <w:t xml:space="preserve">Los términos marcados con * son propuestas de este libro; los demás se toman de la literatura, con su autor entre paréntesis cuando corresponde. Cuando el concepto tiene un nombre establecido en inglés, va entre paréntesis para que pueda buscarse en la literatura.</w:t>
      </w:r>
    </w:p>
    <w:p>
      <w:pPr>
        <w:pStyle w:val="BodyJ"/>
        <w:keepNext w:val="false"/>
      </w:pPr>
      <w:r>
        <w:rPr>
          <w:b/>
          <w:bCs/>
        </w:rPr>
        <w:t xml:space="preserve">Abducción (abduction).</w:t>
      </w:r>
      <w:r>
        <w:t xml:space="preserve"> Inferencia que propone la hipótesis que, de ser verdadera, volvería esperable lo observado. Descrita por Peirce (que la llamó primero «hipótesis»). Es el movimiento típico de la generación diagnóstica.</w:t>
      </w:r>
    </w:p>
    <w:p>
      <w:pPr>
        <w:pStyle w:val="BodyJ"/>
        <w:keepNext w:val="false"/>
      </w:pPr>
      <w:r>
        <w:rPr>
          <w:b/>
          <w:bCs/>
        </w:rPr>
        <w:t xml:space="preserve">Anclaje (anchoring).</w:t>
      </w:r>
      <w:r>
        <w:t xml:space="preserve"> Persistencia de una hipótesis inicial que conserva autoridad aun cuando la evidencia acumulada la ha degradado.</w:t>
      </w:r>
    </w:p>
    <w:p>
      <w:pPr>
        <w:pStyle w:val="BodyJ"/>
        <w:keepNext w:val="false"/>
      </w:pPr>
      <w:r>
        <w:rPr>
          <w:b/>
          <w:bCs/>
        </w:rPr>
        <w:t xml:space="preserve">Calibración (calibration).</w:t>
      </w:r>
      <w:r>
        <w:t xml:space="preserve"> Correspondencia entre la confianza declarada y la proporción real de aciertos, evaluada sobre una serie de juicios.</w:t>
      </w:r>
    </w:p>
    <w:p>
      <w:pPr>
        <w:pStyle w:val="BodyJ"/>
        <w:keepNext w:val="false"/>
      </w:pPr>
      <w:r>
        <w:rPr>
          <w:b/>
          <w:bCs/>
        </w:rPr>
        <w:t xml:space="preserve">Captura cognitiva*.</w:t>
      </w:r>
      <w:r>
        <w:t xml:space="preserve"> Condicionamiento de la búsqueda de hipótesis, la lectura de los datos y la ponderación por una respuesta vista antes de razonar —típicamente la de un asistente de IA—. No exige que la respuesta sea errónea: una hipótesis correcta entregada demasiado pronto también sustituye las operaciones que forman el juicio.</w:t>
      </w:r>
    </w:p>
    <w:p>
      <w:pPr>
        <w:pStyle w:val="BodyJ"/>
        <w:keepNext w:val="false"/>
      </w:pPr>
      <w:r>
        <w:rPr>
          <w:b/>
          <w:bCs/>
        </w:rPr>
        <w:t xml:space="preserve">Cierre prematuro (premature closure).</w:t>
      </w:r>
      <w:r>
        <w:t xml:space="preserve"> Aceptación de un diagnóstico antes de haberlo verificado suficientemente, con suspensión de la búsqueda de alternativas.</w:t>
      </w:r>
    </w:p>
    <w:p>
      <w:pPr>
        <w:pStyle w:val="BodyJ"/>
        <w:keepNext w:val="false"/>
      </w:pPr>
      <w:r>
        <w:rPr>
          <w:b/>
          <w:bCs/>
        </w:rPr>
        <w:t xml:space="preserve">Cognición distribuida (distributed cognition).</w:t>
      </w:r>
      <w:r>
        <w:t xml:space="preserve"> Marco que estudia cómo el procesamiento de información se realiza a través de personas y artefactos coordinados, no sólo dentro de mentes individuales (Hutchins).</w:t>
      </w:r>
    </w:p>
    <w:p>
      <w:pPr>
        <w:pStyle w:val="BodyJ"/>
        <w:keepNext w:val="false"/>
      </w:pPr>
      <w:r>
        <w:rPr>
          <w:b/>
          <w:bCs/>
        </w:rPr>
        <w:t xml:space="preserve">Conocimiento tácito (tacit knowledge).</w:t>
      </w:r>
      <w:r>
        <w:t xml:space="preserve"> Capacidad de reconocer o ejecutar más de lo que puede formularse explícitamente (Polanyi).</w:t>
      </w:r>
    </w:p>
    <w:p>
      <w:pPr>
        <w:pStyle w:val="BodyJ"/>
        <w:keepNext w:val="false"/>
      </w:pPr>
      <w:r>
        <w:rPr>
          <w:b/>
          <w:bCs/>
        </w:rPr>
        <w:t xml:space="preserve">Contrafactual (counterfactual).</w:t>
      </w:r>
      <w:r>
        <w:t xml:space="preserve"> Escenario comparativo implícito en toda afirmación causal: qué habría ocurrido sin la exposición o la intervención.</w:t>
      </w:r>
    </w:p>
    <w:p>
      <w:pPr>
        <w:pStyle w:val="BodyJ"/>
        <w:keepNext w:val="false"/>
      </w:pPr>
      <w:r>
        <w:rPr>
          <w:b/>
          <w:bCs/>
        </w:rPr>
        <w:t xml:space="preserve">Conversaciones para la acción (conversation for action).</w:t>
      </w:r>
      <w:r>
        <w:t xml:space="preserve"> Gramática del trabajo coordinado descrita por Flores y Winograd: pedido, promesa con condiciones de satisfacción y plazo, y declaración de cumplimiento. Leída así, una entrega de turno distribuye compromisos, no sólo información; «está cubierto» es una promesa sin dueño.</w:t>
      </w:r>
    </w:p>
    <w:p>
      <w:pPr>
        <w:pStyle w:val="BodyJ"/>
        <w:keepNext w:val="false"/>
      </w:pPr>
      <w:r>
        <w:rPr>
          <w:b/>
          <w:bCs/>
        </w:rPr>
        <w:t xml:space="preserve">Creatividad clínica*.</w:t>
      </w:r>
      <w:r>
        <w:t xml:space="preserve"> Momento generativo del juicio: conjeturar hipótesis (abducción), re-plantear el problema y crear opciones de manejo. Casi siempre es creatividad psicológica y exploratoria (Boden): nueva para el caso, no para la humanidad. Se ejerce en la generación y se corrige en la selección.</w:t>
      </w:r>
    </w:p>
    <w:p>
      <w:pPr>
        <w:pStyle w:val="BodyJ"/>
        <w:keepNext w:val="false"/>
      </w:pPr>
      <w:r>
        <w:rPr>
          <w:b/>
          <w:bCs/>
        </w:rPr>
        <w:t xml:space="preserve">Criterio de reapertura*.</w:t>
      </w:r>
      <w:r>
        <w:t xml:space="preserve"> Cambio clínico, resultado pendiente, plazo o evento que, escrito antes de cerrar el caso y con un responsable, obliga a reabrirlo («reevaluar si…; responsable: …; plazo: …»). Es la reevaluación de HII-D vuelta cláusula concreta y el compromiso del equipo, distinto de la red de seguridad, que es lo que el paciente vigila en su casa. Sin él, la decisión queda sin fecha de vencimiento.</w:t>
      </w:r>
    </w:p>
    <w:p>
      <w:pPr>
        <w:pStyle w:val="BodyJ"/>
        <w:keepNext w:val="false"/>
      </w:pPr>
      <w:r>
        <w:rPr>
          <w:b/>
          <w:bCs/>
        </w:rPr>
        <w:t xml:space="preserve">Cuatro tópicos (método de los; four topics).</w:t>
      </w:r>
      <w:r>
        <w:t xml:space="preserve"> Lista de verificación deliberativa de la ética clínica que ordena todo caso en indicaciones médicas, preferencias del paciente, calidad de vida y rasgos contextuales (Jonsen, Siegler y Winslade). Ningún cuadrante puede quedar vacío sin que la decisión quede incompleta.</w:t>
      </w:r>
    </w:p>
    <w:p>
      <w:pPr>
        <w:pStyle w:val="BodyJ"/>
        <w:keepNext w:val="false"/>
      </w:pPr>
      <w:r>
        <w:rPr>
          <w:b/>
          <w:bCs/>
        </w:rPr>
        <w:t xml:space="preserve">Decisión compartida (shared decision-making).</w:t>
      </w:r>
      <w:r>
        <w:t xml:space="preserve"> Proceso de deliberación entre profesional y paciente sobre opciones, evidencia y preferencias, distinto de la mera entrega de información (Elwyn).</w:t>
      </w:r>
    </w:p>
    <w:p>
      <w:pPr>
        <w:pStyle w:val="BodyJ"/>
        <w:keepNext w:val="false"/>
      </w:pPr>
      <w:r>
        <w:rPr>
          <w:b/>
          <w:bCs/>
        </w:rPr>
        <w:t xml:space="preserve">Deliberación moral.</w:t>
      </w:r>
      <w:r>
        <w:t xml:space="preserve"> Método de la ética clínica para los conflictos de valores: identificar qué valores chocan, enumerar los cursos de acción extremos, buscar los intermedios y elegir el curso prudente y públicamente defendible (Gracia). Es a los valores lo que el diagnóstico diferencial a las hipótesis.</w:t>
      </w:r>
    </w:p>
    <w:p>
      <w:pPr>
        <w:pStyle w:val="BodyJ"/>
        <w:keepNext w:val="false"/>
      </w:pPr>
      <w:r>
        <w:rPr>
          <w:b/>
          <w:bCs/>
        </w:rPr>
        <w:t xml:space="preserve">Densidad epistémica*.</w:t>
      </w:r>
      <w:r>
        <w:t xml:space="preserve"> Propiedad de una formulación clínica que conserva lo que una frase pierde con más frecuencia —procedencia, temporalidad, transparencia inferencial, calibración modal, relevancia decisional y revisabilidad: las seis dimensiones de auditoría del capítulo 4— en lugar de sólo abreviar.</w:t>
      </w:r>
    </w:p>
    <w:p>
      <w:pPr>
        <w:pStyle w:val="BodyJ"/>
        <w:keepNext w:val="false"/>
      </w:pPr>
      <w:r>
        <w:rPr>
          <w:b/>
          <w:bCs/>
        </w:rPr>
        <w:t xml:space="preserve">Deskilling / never-skilling / mis-skilling.</w:t>
      </w:r>
      <w:r>
        <w:t xml:space="preserve"> Tríada de riesgos formativos de la IA clínica: perder por desuso una competencia ya adquirida; no consolidarla nunca porque la herramienta ejecutó la tarea desde el inicio de la formación; o adquirirla mal, imitando salidas no auditadas (Abdulnour et al.). El segundo es el más difícil de detectar: no deja recuerdo de lo perdido.</w:t>
      </w:r>
    </w:p>
    <w:p>
      <w:pPr>
        <w:pStyle w:val="BodyJ"/>
        <w:keepNext w:val="false"/>
      </w:pPr>
      <w:r>
        <w:rPr>
          <w:b/>
          <w:bCs/>
        </w:rPr>
        <w:t xml:space="preserve">Doble proceso (dual-process theories).</w:t>
      </w:r>
      <w:r>
        <w:t xml:space="preserve"> Familia de teorías que distingue procesamiento rápido, asociativo y automático de procesamiento lento, analítico y controlado; ambos pueden acertar o errar.</w:t>
      </w:r>
    </w:p>
    <w:p>
      <w:pPr>
        <w:pStyle w:val="BodyJ"/>
        <w:keepNext w:val="false"/>
      </w:pPr>
      <w:r>
        <w:rPr>
          <w:b/>
          <w:bCs/>
        </w:rPr>
        <w:t xml:space="preserve">Documentación defensiva.</w:t>
      </w:r>
      <w:r>
        <w:t xml:space="preserve"> Escritura clínica orientada a un lector jurídico imaginario y no al siguiente clínico: omite dudas, multiplica constancias y prefiere la vaguedad. Corruptor epistémico que, además, protege menos que la trazabilidad honesta.</w:t>
      </w:r>
    </w:p>
    <w:p>
      <w:pPr>
        <w:pStyle w:val="BodyJ"/>
        <w:keepNext w:val="false"/>
      </w:pPr>
      <w:r>
        <w:rPr>
          <w:b/>
          <w:bCs/>
        </w:rPr>
        <w:t xml:space="preserve">Encapsulación (knowledge encapsulation).</w:t>
      </w:r>
      <w:r>
        <w:t xml:space="preserve"> Compresión del conocimiento biomédico en conceptos clínicos de nivel superior, característica del desarrollo de la pericia (Schmidt y Rikers).</w:t>
      </w:r>
    </w:p>
    <w:p>
      <w:pPr>
        <w:pStyle w:val="BodyJ"/>
        <w:keepNext w:val="false"/>
      </w:pPr>
      <w:r>
        <w:rPr>
          <w:b/>
          <w:bCs/>
        </w:rPr>
        <w:t xml:space="preserve">Ensombrecimiento diagnóstico (diagnostic overshadowing).</w:t>
      </w:r>
      <w:r>
        <w:t xml:space="preserve"> Atribución de síntomas físicos a la enfermedad mental de base, con el consiguiente subdiagnóstico somático; contribuye a la mortalidad prematura en salud mental (Thornicroft).</w:t>
      </w:r>
    </w:p>
    <w:p>
      <w:pPr>
        <w:pStyle w:val="BodyJ"/>
        <w:keepNext w:val="false"/>
      </w:pPr>
      <w:r>
        <w:rPr>
          <w:b/>
          <w:bCs/>
        </w:rPr>
        <w:t xml:space="preserve">Escriba ambiental (ambient scribe).</w:t>
      </w:r>
      <w:r>
        <w:t xml:space="preserve"> Sistema de IA que escucha la consulta y redacta la nota clínica. Puede automatizar la capa de hechos; no debería autocompletar la decisión ni la frase medular, porque escribirlas es parte de pensarlas, y tiende a aplanar la modalidad epistémica de lo dicho en voz alta.</w:t>
      </w:r>
    </w:p>
    <w:p>
      <w:pPr>
        <w:pStyle w:val="BodyJ"/>
        <w:keepNext w:val="false"/>
      </w:pPr>
      <w:r>
        <w:rPr>
          <w:b/>
          <w:bCs/>
        </w:rPr>
        <w:t xml:space="preserve">Estado del razonador*.</w:t>
      </w:r>
      <w:r>
        <w:t xml:space="preserve"> Condiciones en que se produce un juicio clínico —hora del día, horas de turno, sueño, ánimo, preocupación ajena al caso—, tratadas como un hecho de la capa H sobre la confiabilidad del instrumento que infiere y como disparador de pausa o de segundo lector. Pensar cuesta, y el costo no es constante.</w:t>
      </w:r>
    </w:p>
    <w:p>
      <w:pPr>
        <w:pStyle w:val="BodyJ"/>
        <w:keepNext w:val="false"/>
      </w:pPr>
      <w:r>
        <w:rPr>
          <w:b/>
          <w:bCs/>
        </w:rPr>
        <w:t xml:space="preserve">Ética de la creencia (ethics of belief).</w:t>
      </w:r>
      <w:r>
        <w:t xml:space="preserve"> Tesis de Clifford (1877) según la cual creer sin evidencia suficiente es en sí mismo reprochable, con independencia del desenlace; en clínica, fundamento del deber de pensar bien como parte de la ética primordial del médico y de la regla de que un buen desenlace no valida un proceso defectuoso.</w:t>
      </w:r>
    </w:p>
    <w:p>
      <w:pPr>
        <w:pStyle w:val="BodyJ"/>
        <w:keepNext w:val="false"/>
      </w:pPr>
      <w:r>
        <w:rPr>
          <w:b/>
          <w:bCs/>
        </w:rPr>
        <w:t xml:space="preserve">Ficha de proceso*.</w:t>
      </w:r>
      <w:r>
        <w:t xml:space="preserve"> Registro que, además de conclusiones y acciones (ficha de resultados), conjuga los verbos del razonamiento: sospechado, dudado, descartado, priorizado, inferido, realizado, repetido, comprobado, aprendido. Cada verbo cae en una capa de HII-D; «Neumonía. Ceftriaxona» no conjuga ninguno.</w:t>
      </w:r>
    </w:p>
    <w:p>
      <w:pPr>
        <w:pStyle w:val="BodyJ"/>
        <w:keepNext w:val="false"/>
      </w:pPr>
      <w:r>
        <w:rPr>
          <w:b/>
          <w:bCs/>
        </w:rPr>
        <w:t xml:space="preserve">Fragilidad (frailty).</w:t>
      </w:r>
      <w:r>
        <w:t xml:space="preserve"> Estado de vulnerabilidad fisiológica multisistémica que predice desenlaces con independencia de la edad y del diagnóstico de ingreso; evaluable clínicamente en minutos (Rockwood et al.). En la decisión terapéutica es un hecho, no una impresión.</w:t>
      </w:r>
    </w:p>
    <w:p>
      <w:pPr>
        <w:pStyle w:val="BodyJ"/>
        <w:keepNext w:val="false"/>
      </w:pPr>
      <w:r>
        <w:rPr>
          <w:b/>
          <w:bCs/>
        </w:rPr>
        <w:t xml:space="preserve">Frase medular*.</w:t>
      </w:r>
      <w:r>
        <w:t xml:space="preserve"> Formulación breve que condensa la naturaleza del evento, la inferencia con su grado, la incertidumbre crítica y el efecto sobre la conducta: las cuatro capas de HII-D en una o dos frases.</w:t>
      </w:r>
    </w:p>
    <w:p>
      <w:pPr>
        <w:pStyle w:val="BodyJ"/>
        <w:keepNext w:val="false"/>
      </w:pPr>
      <w:r>
        <w:rPr>
          <w:b/>
          <w:bCs/>
        </w:rPr>
        <w:t xml:space="preserve">Frecuencias naturales (natural frequencies).</w:t>
      </w:r>
      <w:r>
        <w:t xml:space="preserve"> Presentación de probabilidades como conteos sobre una población de referencia («90 de cada 270 positivos»), que facilita el razonamiento bayesiano intuitivo (Gigerenzer).</w:t>
      </w:r>
    </w:p>
    <w:p>
      <w:pPr>
        <w:pStyle w:val="BodyJ"/>
        <w:keepNext w:val="false"/>
      </w:pPr>
      <w:r>
        <w:rPr>
          <w:b/>
          <w:bCs/>
        </w:rPr>
        <w:t xml:space="preserve">HII-D*.</w:t>
      </w:r>
      <w:r>
        <w:t xml:space="preserve"> Heurística de escritura y deliberación que, a partir de una pregunta operativa, ordena el razonamiento en Hechos, Inferencias, Incertidumbre y Decisión, más un movimiento transversal de reevaluación. No validada como instrumento.</w:t>
      </w:r>
    </w:p>
    <w:p>
      <w:pPr>
        <w:pStyle w:val="BodyJ"/>
        <w:keepNext w:val="false"/>
      </w:pPr>
      <w:r>
        <w:rPr>
          <w:b/>
          <w:bCs/>
        </w:rPr>
        <w:t xml:space="preserve">Hindsight bias (sesgo retrospectivo).</w:t>
      </w:r>
      <w:r>
        <w:t xml:space="preserve"> Tendencia a percibir un desenlace conocido como si hubiera sido predecible, contaminando la evaluación de decisiones pasadas.</w:t>
      </w:r>
    </w:p>
    <w:p>
      <w:pPr>
        <w:pStyle w:val="BodyJ"/>
        <w:keepNext w:val="false"/>
      </w:pPr>
      <w:r>
        <w:rPr>
          <w:b/>
          <w:bCs/>
        </w:rPr>
        <w:t xml:space="preserve">Humildad epistémica (epistemic humility).</w:t>
      </w:r>
      <w:r>
        <w:t xml:space="preserve"> Atención y apropiación de las propias limitaciones cognitivas (Whitcomb et al., que hablan de intellectual humility). No es timidez para afirmar: es la disposición que mantiene el caso abierto —permite seguir explorando, seguir aprendiendo y reubicar el foco y el manejo cuando la trayectoria contradice el mapa—.</w:t>
      </w:r>
    </w:p>
    <w:p>
      <w:pPr>
        <w:pStyle w:val="BodyJ"/>
        <w:keepNext w:val="false"/>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keepNext w:val="false"/>
      </w:pPr>
      <w:r>
        <w:rPr>
          <w:b/>
          <w:bCs/>
        </w:rPr>
        <w:t xml:space="preserve">Incertidumbre aleatoria (aleatory uncertainty).</w:t>
      </w:r>
      <w:r>
        <w:t xml:space="preserve"> La que proviene de variabilidad o contingencia que persiste aun con conocimiento completo del sistema.</w:t>
      </w:r>
    </w:p>
    <w:p>
      <w:pPr>
        <w:pStyle w:val="BodyJ"/>
        <w:keepNext w:val="false"/>
      </w:pPr>
      <w:r>
        <w:rPr>
          <w:b/>
          <w:bCs/>
        </w:rPr>
        <w:t xml:space="preserve">Incertidumbre epistémica (epistemic uncertainty).</w:t>
      </w:r>
      <w:r>
        <w:t xml:space="preserve"> La que proviene de conocimiento insuficiente y puede, en principio, reducirse con información.</w:t>
      </w:r>
    </w:p>
    <w:p>
      <w:pPr>
        <w:pStyle w:val="BodyJ"/>
        <w:keepNext w:val="false"/>
      </w:pPr>
      <w:r>
        <w:rPr>
          <w:b/>
          <w:bCs/>
        </w:rPr>
        <w:t xml:space="preserve">Injusticia epistémica (epistemic injustice).</w:t>
      </w:r>
      <w:r>
        <w:t xml:space="preserve"> Daño cometido contra alguien en su capacidad de sujeto de conocimiento: testimonial (credibilidad rebajada por prejuicio) o hermenéutica (falta de categorías para expresar la experiencia) (Fricker).</w:t>
      </w:r>
    </w:p>
    <w:p>
      <w:pPr>
        <w:pStyle w:val="BodyJ"/>
        <w:keepNext w:val="false"/>
      </w:pPr>
      <w:r>
        <w:rPr>
          <w:b/>
          <w:bCs/>
        </w:rPr>
        <w:t xml:space="preserve">Léxico de certeza*.</w:t>
      </w:r>
      <w:r>
        <w:t xml:space="preserve"> Escala verbal con la que toda inferencia escrita declara cuánto derecho tiene a afirmarse —demostrado, altamente probable, probable, posible, no demostrado—, junto a las expresiones de ausencia y de exclusión que no deben confundirse con ella (sin evidencia actual de, no evaluable, se descarta), definidas en el Apéndice B. Es un caso particular de la modalidad epistémica, fijado para que el equipo use las mismas palabras con el mismo significado.</w:t>
      </w:r>
    </w:p>
    <w:p>
      <w:pPr>
        <w:pStyle w:val="BodyJ"/>
        <w:keepNext w:val="false"/>
      </w:pPr>
      <w:r>
        <w:rPr>
          <w:b/>
          <w:bCs/>
        </w:rPr>
        <w:t xml:space="preserve">Mente del principiante (shoshin, beginner's mind).</w:t>
      </w:r>
      <w:r>
        <w:t xml:space="preserve"> Disposición, tomada del Zen, a mirar lo conocido como si fuera la primera vez, sin que el nombre decida por adelantado. Presentar el caso sin la etiqueta es su versión clínica; no reemplaza al illness script, suspende la prisa con que cierra el caso.</w:t>
      </w:r>
    </w:p>
    <w:p>
      <w:pPr>
        <w:pStyle w:val="BodyJ"/>
        <w:keepNext w:val="false"/>
      </w:pPr>
      <w:r>
        <w:rPr>
          <w:b/>
          <w:bCs/>
        </w:rPr>
        <w:t xml:space="preserve">Metacognición (metacognition).</w:t>
      </w:r>
      <w:r>
        <w:t xml:space="preserve"> Conocimiento y regulación de los propios procesos cognitivos: monitorear la comprensión, valorar la confianza, decidir cambiar de estrategia (Flavell; Nelson y Narens).</w:t>
      </w:r>
    </w:p>
    <w:p>
      <w:pPr>
        <w:pStyle w:val="BodyJ"/>
        <w:keepNext w:val="false"/>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keepNext w:val="false"/>
      </w:pPr>
      <w:r>
        <w:rPr>
          <w:b/>
          <w:bCs/>
        </w:rPr>
        <w:t xml:space="preserve">Modalidad epistémica (epistemic modality).</w:t>
      </w:r>
      <w:r>
        <w:t xml:space="preserve"> Recursos del lenguaje que expresan el grado de certeza de una afirmación («demostrado», «probable», «sin evidencia de»).</w:t>
      </w:r>
    </w:p>
    <w:p>
      <w:pPr>
        <w:pStyle w:val="BodyJ"/>
        <w:keepNext w:val="false"/>
      </w:pPr>
      <w:r>
        <w:rPr>
          <w:b/>
          <w:bCs/>
        </w:rPr>
        <w:t xml:space="preserve">Objetividad entre paréntesis.</w:t>
      </w:r>
      <w:r>
        <w:t xml:space="preserve"> Distinción de Maturana entre el que cree hablar de la realidad sin mediación y usa esa creencia para obligar (objetividad sin paréntesis) y el que admite que toda afirmación válida lo es dentro de condiciones que el observador puede declarar. En este libro, el fundamento de la trazabilidad: declarar al observador no vuelve relativa la observación, la vuelve auditable.</w:t>
      </w:r>
    </w:p>
    <w:p>
      <w:pPr>
        <w:pStyle w:val="BodyJ"/>
        <w:keepNext w:val="false"/>
      </w:pPr>
      <w:r>
        <w:rPr>
          <w:b/>
          <w:bCs/>
        </w:rPr>
        <w:t xml:space="preserve">Observación activa.</w:t>
      </w:r>
      <w:r>
        <w:t xml:space="preserve"> Espera diseñada como intervención diagnóstica: con objetivo, plazo, variables vigiladas, responsable y criterios de salida en ambas direcciones; lo contrario de «control según evolución».</w:t>
      </w:r>
    </w:p>
    <w:p>
      <w:pPr>
        <w:pStyle w:val="BodyJ"/>
        <w:keepNext w:val="false"/>
      </w:pPr>
      <w:r>
        <w:rPr>
          <w:b/>
          <w:bCs/>
        </w:rPr>
        <w:t xml:space="preserve">Paradoja de la automatización (automation paradox).</w:t>
      </w:r>
      <w:r>
        <w:t xml:space="preserve"> Cuanto más competente es un sistema automatizado, menos ejercita el humano las habilidades necesarias para detectar sus fallas —que es cuando más se las necesita (Abdulnour et al.)—.</w:t>
      </w:r>
    </w:p>
    <w:p>
      <w:pPr>
        <w:pStyle w:val="BodyJ"/>
        <w:keepNext w:val="false"/>
      </w:pPr>
      <w:r>
        <w:rPr>
          <w:b/>
          <w:bCs/>
        </w:rPr>
        <w:t xml:space="preserve">Pausa diagnóstica (diagnostic time-out).</w:t>
      </w:r>
      <w:r>
        <w:t xml:space="preserve"> Interrupción breve y selectiva del flujo clínico, activada por disparadores definidos (reconsulta, evolución inesperada o discordante con el diagnóstico, transición de cuidados, estado del razonador), para reformular el caso sin su etiqueta y localizar la incertidumbre peligrosa.</w:t>
      </w:r>
    </w:p>
    <w:p>
      <w:pPr>
        <w:pStyle w:val="BodyJ"/>
        <w:keepNext w:val="false"/>
      </w:pPr>
      <w:r>
        <w:rPr>
          <w:b/>
          <w:bCs/>
        </w:rPr>
        <w:t xml:space="preserve">Phronesis.</w:t>
      </w:r>
      <w:r>
        <w:t xml:space="preserve"> Prudencia práctica aristotélica: la capacidad de deliberar bien sobre lo que conviene hacer en una situación particular.</w:t>
      </w:r>
    </w:p>
    <w:p>
      <w:pPr>
        <w:pStyle w:val="BodyJ"/>
        <w:keepNext w:val="false"/>
      </w:pPr>
      <w:r>
        <w:rPr>
          <w:b/>
          <w:bCs/>
        </w:rPr>
        <w:t xml:space="preserve">Probabilidad pretest / postest (pre-test / post-test probability).</w:t>
      </w:r>
      <w:r>
        <w:t xml:space="preserve"> Probabilidad de una condición antes y después de incorporar el resultado de una prueba; su relación depende del rendimiento de la prueba y de la prevalencia.</w:t>
      </w:r>
    </w:p>
    <w:p>
      <w:pPr>
        <w:pStyle w:val="BodyJ"/>
        <w:keepNext w:val="false"/>
      </w:pPr>
      <w:r>
        <w:rPr>
          <w:b/>
          <w:bCs/>
        </w:rPr>
        <w:t xml:space="preserve">Proporcionalidad terapéutica.</w:t>
      </w:r>
      <w:r>
        <w:t xml:space="preserve"> Obligación moral de implementar sólo las medidas que guarden debida proporción entre los medios empleados y el resultado previsible, juzgada desde el pronóstico, las cargas y los fines del paciente (Taboada). Exige un pronóstico honesto: sin buen juicio epistémico no hay juicio de proporcionalidad.</w:t>
      </w:r>
    </w:p>
    <w:p>
      <w:pPr>
        <w:pStyle w:val="BodyJ"/>
        <w:keepNext w:val="false"/>
      </w:pPr>
      <w:r>
        <w:rPr>
          <w:b/>
          <w:bCs/>
        </w:rPr>
        <w:t xml:space="preserve">Quiebre (breakdown).</w:t>
      </w:r>
      <w:r>
        <w:t xml:space="preserve"> Momento en que la respuesta inmediata del experto falla o la situación no calza con lo aprendido, y la deliberación explícita entra en escena (Varela). Las pausas selectivas de este libro son quiebres puestos por diseño.</w:t>
      </w:r>
    </w:p>
    <w:p>
      <w:pPr>
        <w:pStyle w:val="BodyJ"/>
        <w:keepNext w:val="false"/>
      </w:pPr>
      <w:r>
        <w:rPr>
          <w:b/>
          <w:bCs/>
        </w:rPr>
        <w:t xml:space="preserve">Red de seguridad (safety-netting).</w:t>
      </w:r>
      <w:r>
        <w:t xml:space="preserve"> Instrucciones explícitas de reconsulta y vigilancia que acompañan una decisión tomada bajo incertidumbre, especialmente en ambulatorio: lo que el paciente y su familia vigilan en la casa. El criterio de reapertura es su contraparte dentro del equipo.</w:t>
      </w:r>
    </w:p>
    <w:p>
      <w:pPr>
        <w:pStyle w:val="BodyJ"/>
        <w:keepNext w:val="false"/>
      </w:pPr>
      <w:r>
        <w:rPr>
          <w:b/>
          <w:bCs/>
        </w:rPr>
        <w:t xml:space="preserve">Representación del problema (problem representation).</w:t>
      </w:r>
      <w:r>
        <w:t xml:space="preserve"> Formulación compacta que transforma los datos del caso en relaciones clínicamente significativas mediante calificadores semánticos.</w:t>
      </w:r>
    </w:p>
    <w:p>
      <w:pPr>
        <w:pStyle w:val="BodyJ"/>
        <w:keepNext w:val="false"/>
      </w:pPr>
      <w:r>
        <w:rPr>
          <w:b/>
          <w:bCs/>
        </w:rPr>
        <w:t xml:space="preserve">Riesgo inductivo (inductive risk).</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keepNext w:val="false"/>
      </w:pPr>
      <w:r>
        <w:rPr>
          <w:b/>
          <w:bCs/>
        </w:rPr>
        <w:t xml:space="preserve">Segunda víctima (second victim).</w:t>
      </w:r>
      <w:r>
        <w:t xml:space="preserve"> El clínico dañado por su propio error —culpa, vergüenza, aislamiento— (Wu). Su cuidado no es indulgencia: sin él no hay análisis de trayectoria ni aprendizaje del error.</w:t>
      </w:r>
    </w:p>
    <w:p>
      <w:pPr>
        <w:pStyle w:val="BodyJ"/>
        <w:keepNext w:val="false"/>
      </w:pPr>
      <w:r>
        <w:rPr>
          <w:b/>
          <w:bCs/>
        </w:rPr>
        <w:t xml:space="preserve">Segundo lector*.</w:t>
      </w:r>
      <w:r>
        <w:t xml:space="preserve"> Otro médico, un especialista, un equipo interdisciplinario o una herramienta de apoyo que revisa el juicio antes de que se fije y aporta una representación distinta del mismo caso. Lo activan disparadores clínicos (reconsulta, evolución discordante, transferencia) y también el estado del razonador: turno largo, madrugada, ánimo alterado. No sustituye a la segunda opinión formal; la precede y cuesta menos.</w:t>
      </w:r>
    </w:p>
    <w:p>
      <w:pPr>
        <w:pStyle w:val="BodyJ"/>
        <w:keepNext w:val="false"/>
      </w:pPr>
      <w:r>
        <w:rPr>
          <w:b/>
          <w:bCs/>
        </w:rPr>
        <w:t xml:space="preserve">Sensibilidad metacognitiva (metacognitive sensitivity).</w:t>
      </w:r>
      <w:r>
        <w:t xml:space="preserve"> Capacidad de discriminar los propios aciertos de los propios errores mediante la confianza; distinta del sesgo metacognitivo (tendencia global a confiar mucho o poco).</w:t>
      </w:r>
    </w:p>
    <w:p>
      <w:pPr>
        <w:pStyle w:val="BodyJ"/>
        <w:keepNext w:val="false"/>
      </w:pPr>
      <w:r>
        <w:rPr>
          <w:b/>
          <w:bCs/>
        </w:rPr>
        <w:t xml:space="preserve">Sesgo de automatización (automation bias).</w:t>
      </w:r>
      <w:r>
        <w:t xml:space="preserve"> Tendencia a aceptar la recomendación de un sistema automatizado por encima de la propia evidencia o el propio juicio; los apoyos a la decisión corrigen errores humanos e introducen errores nuevos por deferencia (Goddard et al.). Pariente del anclaje, con interfaz.</w:t>
      </w:r>
    </w:p>
    <w:p>
      <w:pPr>
        <w:pStyle w:val="BodyJ"/>
        <w:keepNext w:val="false"/>
      </w:pPr>
      <w:r>
        <w:rPr>
          <w:b/>
          <w:bCs/>
        </w:rPr>
        <w:t xml:space="preserve">Sobreconfianza (overconfidence).</w:t>
      </w:r>
      <w:r>
        <w:t xml:space="preserve"> Confianza declarada mayor que la exactitud real; falla de calibración asociada al error diagnóstico porque impide buscar evidencia o revisar una conclusión (Berner y Graber). Medirla no es trivial: la confianza puede ser apropiada en los casos fáciles y excesiva en los difíciles.</w:t>
      </w:r>
    </w:p>
    <w:p>
      <w:pPr>
        <w:pStyle w:val="BodyJ"/>
        <w:keepNext w:val="false"/>
      </w:pPr>
      <w:r>
        <w:rPr>
          <w:b/>
          <w:bCs/>
        </w:rPr>
        <w:t xml:space="preserve">Testimonio (epistemología del; epistemology of testimony).</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keepNext w:val="false"/>
      </w:pPr>
      <w:r>
        <w:rPr>
          <w:b/>
          <w:bCs/>
        </w:rPr>
        <w:t xml:space="preserve">Umbral de decisión (decision threshold).</w:t>
      </w:r>
      <w:r>
        <w:t xml:space="preserve"> Nivel de probabilidad sobre el cual una conducta (testear, tratar) supera a sus alternativas, dado el balance de daños y beneficios (Pauker y Kassirer).</w:t>
      </w:r>
    </w:p>
    <w:p>
      <w:pPr>
        <w:pStyle w:val="BodyJ"/>
        <w:keepNext w:val="false"/>
      </w:pPr>
      <w:r>
        <w:rPr>
          <w:b/>
          <w:bCs/>
        </w:rPr>
        <w:t xml:space="preserve">Validez del entorno (high-validity environment).</w:t>
      </w:r>
      <w:r>
        <w:t xml:space="preserve"> Grado en que un ambiente de práctica ofrece regularidades estables entre señales y desenlaces, junto a oportunidad de aprenderlas con feedback oportuno; condición para que la intuición experta sea confiable (Kahneman y Klein).</w:t>
      </w:r>
    </w:p>
    <w:p>
      <w:pPr>
        <w:pStyle w:val="BodyJ"/>
        <w:keepNext w:val="false"/>
      </w:pPr>
      <w:r>
        <w:rPr>
          <w:b/>
          <w:bCs/>
        </w:rPr>
        <w:t xml:space="preserve">Validez externa / transportabilidad (external validity / transportability).</w:t>
      </w:r>
      <w:r>
        <w:t xml:space="preserve"> Grado en que un resultado de investigación puede aplicarse fuera del contexto en que fue producido; no es propiedad binaria del estudio sino relación entre evidencia y uso propuesto.</w:t>
      </w:r>
    </w:p>
    <w:p>
      <w:pPr>
        <w:pStyle w:val="Heading1"/>
        <w:keepNext/>
        <w:keepLines/>
        <w:pageBreakBefore/>
        <w:spacing w:after="320" w:before="720"/>
      </w:pPr>
      <w:r>
        <w:rPr>
          <w:rFonts w:ascii="Gelasio" w:cs="Gelasio" w:eastAsia="Gelasio" w:hAnsi="Gelasio"/>
          <w:b/>
          <w:bCs/>
          <w:color w:val="2B2B2B"/>
          <w:sz w:val="34"/>
          <w:szCs w:val="34"/>
        </w:rPr>
        <w:t xml:space="preserve">Índice analítico</w:t>
      </w:r>
    </w:p>
    <w:p>
      <w:pPr>
        <w:pStyle w:val="BodyJ"/>
        <w:keepNext w:val="false"/>
      </w:pPr>
      <w:r>
        <w:t xml:space="preserve">Los números remiten a capítulos (Int = introducción, Interludios I–III, CC = cuaderno de casos, C = conclusión, Ap = apéndices).</w:t>
      </w:r>
    </w:p>
    <w:p>
      <w:pPr>
        <w:pStyle w:val="BodyJ"/>
        <w:keepNext w:val="false"/>
        <w:numPr>
          <w:ilvl w:val="0"/>
          <w:numId w:val="5"/>
        </w:numPr>
      </w:pPr>
      <w:r>
        <w:t xml:space="preserve">Abducción — 2; vigilada por la metacognición — 5; mantenida abierta por la humildad — 14</w:t>
      </w:r>
    </w:p>
    <w:p>
      <w:pPr>
        <w:pStyle w:val="BodyJ"/>
        <w:keepNext w:val="false"/>
        <w:numPr>
          <w:ilvl w:val="0"/>
          <w:numId w:val="5"/>
        </w:numPr>
      </w:pPr>
      <w:r>
        <w:t xml:space="preserve">Actos de habla en la ficha (Austin) — 4</w:t>
      </w:r>
    </w:p>
    <w:p>
      <w:pPr>
        <w:pStyle w:val="BodyJ"/>
        <w:keepNext w:val="false"/>
        <w:numPr>
          <w:ilvl w:val="0"/>
          <w:numId w:val="5"/>
        </w:numPr>
      </w:pPr>
      <w:r>
        <w:t xml:space="preserve">Anclaje — 7, 11, CC (viñeta 6)</w:t>
      </w:r>
    </w:p>
    <w:p>
      <w:pPr>
        <w:pStyle w:val="BodyJ"/>
        <w:keepNext w:val="false"/>
        <w:numPr>
          <w:ilvl w:val="0"/>
          <w:numId w:val="5"/>
        </w:numPr>
      </w:pPr>
      <w:r>
        <w:t xml:space="preserve">Antipoesía como léxico de certeza (Parra) — 18</w:t>
      </w:r>
    </w:p>
    <w:p>
      <w:pPr>
        <w:pStyle w:val="BodyJ"/>
        <w:keepNext w:val="false"/>
        <w:numPr>
          <w:ilvl w:val="0"/>
          <w:numId w:val="5"/>
        </w:numPr>
      </w:pPr>
      <w:r>
        <w:t xml:space="preserve">Atrofia de la pericia por asistencia de IA (deskilling) — 17</w:t>
      </w:r>
    </w:p>
    <w:p>
      <w:pPr>
        <w:pStyle w:val="BodyJ"/>
        <w:keepNext w:val="false"/>
        <w:numPr>
          <w:ilvl w:val="0"/>
          <w:numId w:val="5"/>
        </w:numPr>
      </w:pPr>
      <w:r>
        <w:t xml:space="preserve">Ausencia de evidencia / evidencia de ausencia — 1, 4, Ap B</w:t>
      </w:r>
    </w:p>
    <w:p>
      <w:pPr>
        <w:pStyle w:val="BodyJ"/>
        <w:keepNext w:val="false"/>
        <w:numPr>
          <w:ilvl w:val="0"/>
          <w:numId w:val="5"/>
        </w:numPr>
      </w:pPr>
      <w:r>
        <w:t xml:space="preserve">Autoridad revisable — 7, 13, 14</w:t>
      </w:r>
    </w:p>
    <w:p>
      <w:pPr>
        <w:pStyle w:val="BodyJ"/>
        <w:keepNext w:val="false"/>
        <w:numPr>
          <w:ilvl w:val="0"/>
          <w:numId w:val="5"/>
        </w:numPr>
      </w:pPr>
      <w:r>
        <w:t xml:space="preserve">Bioética y razonamiento clínico (cuatro tópicos, proporcionalidad, deliberación) — 10, 15, CC (viñeta 5), Ap A</w:t>
      </w:r>
    </w:p>
    <w:p>
      <w:pPr>
        <w:pStyle w:val="BodyJ"/>
        <w:keepNext w:val="false"/>
        <w:numPr>
          <w:ilvl w:val="0"/>
          <w:numId w:val="5"/>
        </w:numPr>
      </w:pPr>
      <w:r>
        <w:t xml:space="preserve">Calibración — 5, 15, 16, Ap C</w:t>
      </w:r>
    </w:p>
    <w:p>
      <w:pPr>
        <w:pStyle w:val="BodyJ"/>
        <w:keepNext w:val="false"/>
        <w:numPr>
          <w:ilvl w:val="0"/>
          <w:numId w:val="5"/>
        </w:numPr>
      </w:pPr>
      <w:r>
        <w:t xml:space="preserve">Capacidad de decidir (cuatro criterios; lucidez fluctuante) — CC (viñeta 5)</w:t>
      </w:r>
    </w:p>
    <w:p>
      <w:pPr>
        <w:pStyle w:val="BodyJ"/>
        <w:keepNext w:val="false"/>
        <w:numPr>
          <w:ilvl w:val="0"/>
          <w:numId w:val="5"/>
        </w:numPr>
      </w:pPr>
      <w:r>
        <w:t xml:space="preserve">Captura cognitiva por IA (la respuesta antes que el caso) — 17</w:t>
      </w:r>
    </w:p>
    <w:p>
      <w:pPr>
        <w:pStyle w:val="BodyJ"/>
        <w:keepNext w:val="false"/>
        <w:numPr>
          <w:ilvl w:val="0"/>
          <w:numId w:val="5"/>
        </w:numPr>
      </w:pPr>
      <w:r>
        <w:t xml:space="preserve">Carga teórica de la observación — 1</w:t>
      </w:r>
    </w:p>
    <w:p>
      <w:pPr>
        <w:pStyle w:val="BodyJ"/>
        <w:keepNext w:val="false"/>
        <w:numPr>
          <w:ilvl w:val="0"/>
          <w:numId w:val="5"/>
        </w:numPr>
      </w:pPr>
      <w:r>
        <w:t xml:space="preserve">Cierre prematuro — 2, 7, CC (viñeta 6)</w:t>
      </w:r>
    </w:p>
    <w:p>
      <w:pPr>
        <w:pStyle w:val="BodyJ"/>
        <w:keepNext w:val="false"/>
        <w:numPr>
          <w:ilvl w:val="0"/>
          <w:numId w:val="5"/>
        </w:numPr>
      </w:pPr>
      <w:r>
        <w:t xml:space="preserve">Cognición distribuida — 13</w:t>
      </w:r>
    </w:p>
    <w:p>
      <w:pPr>
        <w:pStyle w:val="BodyJ"/>
        <w:keepNext w:val="false"/>
        <w:numPr>
          <w:ilvl w:val="0"/>
          <w:numId w:val="5"/>
        </w:numPr>
      </w:pPr>
      <w:r>
        <w:t xml:space="preserve">Comparación de HII-D con otros modelos (SOAP, scripts, reflexión deliberada) — 15</w:t>
      </w:r>
    </w:p>
    <w:p>
      <w:pPr>
        <w:pStyle w:val="BodyJ"/>
        <w:keepNext w:val="false"/>
        <w:numPr>
          <w:ilvl w:val="0"/>
          <w:numId w:val="5"/>
        </w:numPr>
      </w:pPr>
      <w:r>
        <w:t xml:space="preserve">Comunicación de incertidumbre — 13, 14, CC (viñeta 5)</w:t>
      </w:r>
    </w:p>
    <w:p>
      <w:pPr>
        <w:pStyle w:val="BodyJ"/>
        <w:keepNext w:val="false"/>
        <w:numPr>
          <w:ilvl w:val="0"/>
          <w:numId w:val="5"/>
        </w:numPr>
      </w:pPr>
      <w:r>
        <w:t xml:space="preserve">Conocimiento tácito — 6; saber hacer y quiebre (Varela) — 6</w:t>
      </w:r>
    </w:p>
    <w:p>
      <w:pPr>
        <w:pStyle w:val="BodyJ"/>
        <w:keepNext w:val="false"/>
        <w:numPr>
          <w:ilvl w:val="0"/>
          <w:numId w:val="5"/>
        </w:numPr>
      </w:pPr>
      <w:r>
        <w:t xml:space="preserve">Contexto global del paciente (funcionalidad, pronóstico de fondo, red de apoyo) — 10, 15, Ap A</w:t>
      </w:r>
    </w:p>
    <w:p>
      <w:pPr>
        <w:pStyle w:val="BodyJ"/>
        <w:keepNext w:val="false"/>
        <w:numPr>
          <w:ilvl w:val="0"/>
          <w:numId w:val="5"/>
        </w:numPr>
      </w:pPr>
      <w:r>
        <w:t xml:space="preserve">Contrafactuales — 11</w:t>
      </w:r>
    </w:p>
    <w:p>
      <w:pPr>
        <w:pStyle w:val="BodyJ"/>
        <w:keepNext w:val="false"/>
        <w:numPr>
          <w:ilvl w:val="0"/>
          <w:numId w:val="5"/>
        </w:numPr>
      </w:pPr>
      <w:r>
        <w:t xml:space="preserve">Conversaciones para la acción (Flores y Winograd) — 13</w:t>
      </w:r>
    </w:p>
    <w:p>
      <w:pPr>
        <w:pStyle w:val="BodyJ"/>
        <w:keepNext w:val="false"/>
        <w:numPr>
          <w:ilvl w:val="0"/>
          <w:numId w:val="5"/>
        </w:numPr>
      </w:pPr>
      <w:r>
        <w:t xml:space="preserve">Copiado de notas (fósil narrativo; magnitud medida) — 12, Ap C</w:t>
      </w:r>
    </w:p>
    <w:p>
      <w:pPr>
        <w:pStyle w:val="BodyJ"/>
        <w:keepNext w:val="false"/>
        <w:numPr>
          <w:ilvl w:val="0"/>
          <w:numId w:val="5"/>
        </w:numPr>
      </w:pPr>
      <w:r>
        <w:t xml:space="preserve">Creatividad en el juicio clínico (abducción, problem setting, tercera opción) — 2, 18</w:t>
      </w:r>
    </w:p>
    <w:p>
      <w:pPr>
        <w:pStyle w:val="BodyJ"/>
        <w:keepNext w:val="false"/>
        <w:numPr>
          <w:ilvl w:val="0"/>
          <w:numId w:val="5"/>
        </w:numPr>
      </w:pPr>
      <w:r>
        <w:t xml:space="preserve">Criterio de reapertura — 8, 12, 15, Interludio III, CC (viñeta 6), Ap A, Ap C</w:t>
      </w:r>
    </w:p>
    <w:p>
      <w:pPr>
        <w:pStyle w:val="BodyJ"/>
        <w:keepNext w:val="false"/>
        <w:numPr>
          <w:ilvl w:val="0"/>
          <w:numId w:val="5"/>
        </w:numPr>
      </w:pPr>
      <w:r>
        <w:t xml:space="preserve">Cuatro tópicos (Jonsen, Siegler y Winslade) — 10, Ap A</w:t>
      </w:r>
    </w:p>
    <w:p>
      <w:pPr>
        <w:pStyle w:val="BodyJ"/>
        <w:keepNext w:val="false"/>
        <w:numPr>
          <w:ilvl w:val="0"/>
          <w:numId w:val="5"/>
        </w:numPr>
      </w:pPr>
      <w:r>
        <w:t xml:space="preserve">Debate sobre la enseñanza del razonamiento (Croskerry vs. Norman/Monteiro) — 16</w:t>
      </w:r>
    </w:p>
    <w:p>
      <w:pPr>
        <w:pStyle w:val="BodyJ"/>
        <w:keepNext w:val="false"/>
        <w:numPr>
          <w:ilvl w:val="0"/>
          <w:numId w:val="5"/>
        </w:numPr>
      </w:pPr>
      <w:r>
        <w:t xml:space="preserve">Decisión compartida — 14, Interludio III</w:t>
      </w:r>
    </w:p>
    <w:p>
      <w:pPr>
        <w:pStyle w:val="BodyJ"/>
        <w:keepNext w:val="false"/>
        <w:numPr>
          <w:ilvl w:val="0"/>
          <w:numId w:val="5"/>
        </w:numPr>
      </w:pPr>
      <w:r>
        <w:t xml:space="preserve">Deliberación moral (Gracia) — 10</w:t>
      </w:r>
    </w:p>
    <w:p>
      <w:pPr>
        <w:pStyle w:val="BodyJ"/>
        <w:keepNext w:val="false"/>
        <w:numPr>
          <w:ilvl w:val="0"/>
          <w:numId w:val="5"/>
        </w:numPr>
      </w:pPr>
      <w:r>
        <w:t xml:space="preserve">Densidad epistémica — 4; seis dimensiones de auditoría — 4, Ap B</w:t>
      </w:r>
    </w:p>
    <w:p>
      <w:pPr>
        <w:pStyle w:val="BodyJ"/>
        <w:keepNext w:val="false"/>
        <w:numPr>
          <w:ilvl w:val="0"/>
          <w:numId w:val="5"/>
        </w:numPr>
      </w:pPr>
      <w:r>
        <w:t xml:space="preserve">Desaceleración selectiva — 8, Interludio II; disparadores, incluido el estado del razonador — 8</w:t>
      </w:r>
    </w:p>
    <w:p>
      <w:pPr>
        <w:pStyle w:val="BodyJ"/>
        <w:keepNext w:val="false"/>
        <w:numPr>
          <w:ilvl w:val="0"/>
          <w:numId w:val="5"/>
        </w:numPr>
      </w:pPr>
      <w:r>
        <w:t xml:space="preserve">Desacuerdo clínico — 13, Interludio III</w:t>
      </w:r>
    </w:p>
    <w:p>
      <w:pPr>
        <w:pStyle w:val="BodyJ"/>
        <w:keepNext w:val="false"/>
        <w:numPr>
          <w:ilvl w:val="0"/>
          <w:numId w:val="5"/>
        </w:numPr>
      </w:pPr>
      <w:r>
        <w:t xml:space="preserve">Doble proceso — 6</w:t>
      </w:r>
    </w:p>
    <w:p>
      <w:pPr>
        <w:pStyle w:val="BodyJ"/>
        <w:keepNext w:val="false"/>
        <w:numPr>
          <w:ilvl w:val="0"/>
          <w:numId w:val="5"/>
        </w:numPr>
      </w:pPr>
      <w:r>
        <w:t xml:space="preserve">Documentación defensiva — 14</w:t>
      </w:r>
    </w:p>
    <w:p>
      <w:pPr>
        <w:pStyle w:val="BodyJ"/>
        <w:keepNext w:val="false"/>
        <w:numPr>
          <w:ilvl w:val="0"/>
          <w:numId w:val="5"/>
        </w:numPr>
      </w:pPr>
      <w:r>
        <w:t xml:space="preserve">Ensombrecimiento diagnóstico — CC (viñeta 8)</w:t>
      </w:r>
    </w:p>
    <w:p>
      <w:pPr>
        <w:pStyle w:val="BodyJ"/>
        <w:keepNext w:val="false"/>
        <w:numPr>
          <w:ilvl w:val="0"/>
          <w:numId w:val="5"/>
        </w:numPr>
      </w:pPr>
      <w:r>
        <w:t xml:space="preserve">Error diagnóstico: magnitud medida y estimada — 7</w:t>
      </w:r>
    </w:p>
    <w:p>
      <w:pPr>
        <w:pStyle w:val="BodyJ"/>
        <w:keepNext w:val="false"/>
        <w:numPr>
          <w:ilvl w:val="0"/>
          <w:numId w:val="5"/>
        </w:numPr>
      </w:pPr>
      <w:r>
        <w:t xml:space="preserve">Errores asimétricos — 10, CC (viñeta 3)</w:t>
      </w:r>
    </w:p>
    <w:p>
      <w:pPr>
        <w:pStyle w:val="BodyJ"/>
        <w:keepNext w:val="false"/>
        <w:numPr>
          <w:ilvl w:val="0"/>
          <w:numId w:val="5"/>
        </w:numPr>
      </w:pPr>
      <w:r>
        <w:t xml:space="preserve">Errores típicos en los talleres — Ap D</w:t>
      </w:r>
    </w:p>
    <w:p>
      <w:pPr>
        <w:pStyle w:val="BodyJ"/>
        <w:keepNext w:val="false"/>
        <w:numPr>
          <w:ilvl w:val="0"/>
          <w:numId w:val="5"/>
        </w:numPr>
      </w:pPr>
      <w:r>
        <w:t xml:space="preserve">Escribas ambientales (regla «la capa H, verificada; la capa D, no») — 17</w:t>
      </w:r>
    </w:p>
    <w:p>
      <w:pPr>
        <w:pStyle w:val="BodyJ"/>
        <w:keepNext w:val="false"/>
        <w:numPr>
          <w:ilvl w:val="0"/>
          <w:numId w:val="5"/>
        </w:numPr>
      </w:pPr>
      <w:r>
        <w:t xml:space="preserve">Estado de verificación de un diagnóstico en la ficha electrónica — 12</w:t>
      </w:r>
    </w:p>
    <w:p>
      <w:pPr>
        <w:pStyle w:val="BodyJ"/>
        <w:keepNext w:val="false"/>
        <w:numPr>
          <w:ilvl w:val="0"/>
          <w:numId w:val="5"/>
        </w:numPr>
      </w:pPr>
      <w:r>
        <w:t xml:space="preserve">Estado del razonador (esfuerzo, sueño, ánimo; turnos como condición epistémica) — 8, 16, Ap A</w:t>
      </w:r>
    </w:p>
    <w:p>
      <w:pPr>
        <w:pStyle w:val="BodyJ"/>
        <w:keepNext w:val="false"/>
        <w:numPr>
          <w:ilvl w:val="0"/>
          <w:numId w:val="5"/>
        </w:numPr>
      </w:pPr>
      <w:r>
        <w:t xml:space="preserve">Ética de la creencia (Clifford); pensar bien como deber primordial — 14, C</w:t>
      </w:r>
    </w:p>
    <w:p>
      <w:pPr>
        <w:pStyle w:val="BodyJ"/>
        <w:keepNext w:val="false"/>
        <w:numPr>
          <w:ilvl w:val="0"/>
          <w:numId w:val="5"/>
        </w:numPr>
      </w:pPr>
      <w:r>
        <w:t xml:space="preserve">Evidencia poblacional y particularización — 9</w:t>
      </w:r>
    </w:p>
    <w:p>
      <w:pPr>
        <w:pStyle w:val="BodyJ"/>
        <w:keepNext w:val="false"/>
        <w:numPr>
          <w:ilvl w:val="0"/>
          <w:numId w:val="5"/>
        </w:numPr>
      </w:pPr>
      <w:r>
        <w:t xml:space="preserve">Falsabilidad del método HII-D — 15</w:t>
      </w:r>
    </w:p>
    <w:p>
      <w:pPr>
        <w:pStyle w:val="BodyJ"/>
        <w:keepNext w:val="false"/>
        <w:numPr>
          <w:ilvl w:val="0"/>
          <w:numId w:val="5"/>
        </w:numPr>
      </w:pPr>
      <w:r>
        <w:t xml:space="preserve">Feedback diagnóstico — 5, 16, Ap C</w:t>
      </w:r>
    </w:p>
    <w:p>
      <w:pPr>
        <w:pStyle w:val="BodyJ"/>
        <w:keepNext w:val="false"/>
        <w:numPr>
          <w:ilvl w:val="0"/>
          <w:numId w:val="5"/>
        </w:numPr>
      </w:pPr>
      <w:r>
        <w:t xml:space="preserve">Ficha como dispositivo que produce lo visible (Foucault) — 12</w:t>
      </w:r>
    </w:p>
    <w:p>
      <w:pPr>
        <w:pStyle w:val="BodyJ"/>
        <w:keepNext w:val="false"/>
        <w:numPr>
          <w:ilvl w:val="0"/>
          <w:numId w:val="5"/>
        </w:numPr>
      </w:pPr>
      <w:r>
        <w:t xml:space="preserve">Ficha de proceso vs. ficha de resultados (los verbos del razonamiento) — 12, Ap D</w:t>
      </w:r>
    </w:p>
    <w:p>
      <w:pPr>
        <w:pStyle w:val="BodyJ"/>
        <w:keepNext w:val="false"/>
        <w:numPr>
          <w:ilvl w:val="0"/>
          <w:numId w:val="5"/>
        </w:numPr>
      </w:pPr>
      <w:r>
        <w:t xml:space="preserve">Fichas clínicas y plantillas — 12, 16, Ap C; ficha electrónica pensada desde HII-D — 12</w:t>
      </w:r>
    </w:p>
    <w:p>
      <w:pPr>
        <w:pStyle w:val="BodyJ"/>
        <w:keepNext w:val="false"/>
        <w:numPr>
          <w:ilvl w:val="0"/>
          <w:numId w:val="5"/>
        </w:numPr>
      </w:pPr>
      <w:r>
        <w:t xml:space="preserve">Formación clínica en la era de la IA (deskilling, never-skilling, mis-skilling) — 17</w:t>
      </w:r>
    </w:p>
    <w:p>
      <w:pPr>
        <w:pStyle w:val="BodyJ"/>
        <w:keepNext w:val="false"/>
        <w:numPr>
          <w:ilvl w:val="0"/>
          <w:numId w:val="5"/>
        </w:numPr>
      </w:pPr>
      <w:r>
        <w:t xml:space="preserve">Fragilidad y funcionalidad como hechos clínicos — 10, 15, Ap A</w:t>
      </w:r>
    </w:p>
    <w:p>
      <w:pPr>
        <w:pStyle w:val="BodyJ"/>
        <w:keepNext w:val="false"/>
        <w:numPr>
          <w:ilvl w:val="0"/>
          <w:numId w:val="5"/>
        </w:numPr>
      </w:pPr>
      <w:r>
        <w:t xml:space="preserve">Frase medular — 4, 12, C, CC (todas las viñetas); como argumento de Toulmin — 4</w:t>
      </w:r>
    </w:p>
    <w:p>
      <w:pPr>
        <w:pStyle w:val="BodyJ"/>
        <w:keepNext w:val="false"/>
        <w:numPr>
          <w:ilvl w:val="0"/>
          <w:numId w:val="5"/>
        </w:numPr>
      </w:pPr>
      <w:r>
        <w:t xml:space="preserve">Frecuencias naturales — 2, 10</w:t>
      </w:r>
    </w:p>
    <w:p>
      <w:pPr>
        <w:pStyle w:val="BodyJ"/>
        <w:keepNext w:val="false"/>
        <w:numPr>
          <w:ilvl w:val="0"/>
          <w:numId w:val="5"/>
        </w:numPr>
      </w:pPr>
      <w:r>
        <w:t xml:space="preserve">Fuentes del hecho clínico (matriz de procedencia) — 1</w:t>
      </w:r>
    </w:p>
    <w:p>
      <w:pPr>
        <w:pStyle w:val="BodyJ"/>
        <w:keepNext w:val="false"/>
        <w:numPr>
          <w:ilvl w:val="0"/>
          <w:numId w:val="5"/>
        </w:numPr>
      </w:pPr>
      <w:r>
        <w:t xml:space="preserve">Grados de facticidad — 1</w:t>
      </w:r>
    </w:p>
    <w:p>
      <w:pPr>
        <w:pStyle w:val="BodyJ"/>
        <w:keepNext w:val="false"/>
        <w:numPr>
          <w:ilvl w:val="0"/>
          <w:numId w:val="5"/>
        </w:numPr>
      </w:pPr>
      <w:r>
        <w:t xml:space="preserve">Hecho como estatus provisional (frontera hecho/inferencia) — 1</w:t>
      </w:r>
    </w:p>
    <w:p>
      <w:pPr>
        <w:pStyle w:val="BodyJ"/>
        <w:keepNext w:val="false"/>
        <w:numPr>
          <w:ilvl w:val="0"/>
          <w:numId w:val="5"/>
        </w:numPr>
      </w:pPr>
      <w:r>
        <w:t xml:space="preserve">HII-D (método) — 12, 15, Ap A; auditoría de IA con — 17</w:t>
      </w:r>
    </w:p>
    <w:p>
      <w:pPr>
        <w:pStyle w:val="BodyJ"/>
        <w:keepNext w:val="false"/>
        <w:numPr>
          <w:ilvl w:val="0"/>
          <w:numId w:val="5"/>
        </w:numPr>
      </w:pPr>
      <w:r>
        <w:t xml:space="preserve">Hindsight bias — 8, 11, 16, CC (viñeta 6)</w:t>
      </w:r>
    </w:p>
    <w:p>
      <w:pPr>
        <w:pStyle w:val="BodyJ"/>
        <w:keepNext w:val="false"/>
        <w:numPr>
          <w:ilvl w:val="0"/>
          <w:numId w:val="5"/>
        </w:numPr>
      </w:pPr>
      <w:r>
        <w:t xml:space="preserve">Hoja de ruta para el docente (talleres por nivel) — Ap C</w:t>
      </w:r>
    </w:p>
    <w:p>
      <w:pPr>
        <w:pStyle w:val="BodyJ"/>
        <w:keepNext w:val="false"/>
        <w:numPr>
          <w:ilvl w:val="0"/>
          <w:numId w:val="5"/>
        </w:numPr>
      </w:pPr>
      <w:r>
        <w:t xml:space="preserve">Humildad epistémica como motor (explorar, aprender, reenfocar) — 14</w:t>
      </w:r>
    </w:p>
    <w:p>
      <w:pPr>
        <w:pStyle w:val="BodyJ"/>
        <w:keepNext w:val="false"/>
        <w:numPr>
          <w:ilvl w:val="0"/>
          <w:numId w:val="5"/>
        </w:numPr>
      </w:pPr>
      <w:r>
        <w:t xml:space="preserve">Illness scripts — 2, 6, 16</w:t>
      </w:r>
    </w:p>
    <w:p>
      <w:pPr>
        <w:pStyle w:val="BodyJ"/>
        <w:keepNext w:val="false"/>
        <w:numPr>
          <w:ilvl w:val="0"/>
          <w:numId w:val="5"/>
        </w:numPr>
      </w:pPr>
      <w:r>
        <w:t xml:space="preserve">Improvisación y saber hacer (jazz; Limb y Braun) — 6</w:t>
      </w:r>
    </w:p>
    <w:p>
      <w:pPr>
        <w:pStyle w:val="BodyJ"/>
        <w:keepNext w:val="false"/>
        <w:numPr>
          <w:ilvl w:val="0"/>
          <w:numId w:val="5"/>
        </w:numPr>
      </w:pPr>
      <w:r>
        <w:t xml:space="preserve">Incertidumbre: taxonomía y cartografía — 3; epistémica y aleatoria — 3; knightiana — 3</w:t>
      </w:r>
    </w:p>
    <w:p>
      <w:pPr>
        <w:pStyle w:val="BodyJ"/>
        <w:keepNext w:val="false"/>
        <w:numPr>
          <w:ilvl w:val="0"/>
          <w:numId w:val="5"/>
        </w:numPr>
      </w:pPr>
      <w:r>
        <w:t xml:space="preserve">Injusticia epistémica — 14, CC (viñetas 6 y 8)</w:t>
      </w:r>
    </w:p>
    <w:p>
      <w:pPr>
        <w:pStyle w:val="BodyJ"/>
        <w:keepNext w:val="false"/>
        <w:numPr>
          <w:ilvl w:val="0"/>
          <w:numId w:val="5"/>
        </w:numPr>
      </w:pPr>
      <w:r>
        <w:t xml:space="preserve">Inteligencia artificial: rol diagnóstico y terapéutico, catálogo de riesgos, defensas — 17</w:t>
      </w:r>
    </w:p>
    <w:p>
      <w:pPr>
        <w:pStyle w:val="BodyJ"/>
        <w:keepNext w:val="false"/>
        <w:numPr>
          <w:ilvl w:val="0"/>
          <w:numId w:val="5"/>
        </w:numPr>
      </w:pPr>
      <w:r>
        <w:t xml:space="preserve">Intuición experta — 5, 6, Interludio II</w:t>
      </w:r>
    </w:p>
    <w:p>
      <w:pPr>
        <w:pStyle w:val="BodyJ"/>
        <w:keepNext w:val="false"/>
        <w:numPr>
          <w:ilvl w:val="0"/>
          <w:numId w:val="5"/>
        </w:numPr>
      </w:pPr>
      <w:r>
        <w:t xml:space="preserve">Lectura de ensayos clínicos (significación, reanálisis bayesiano, saga ANDROMEDA) — 9</w:t>
      </w:r>
    </w:p>
    <w:p>
      <w:pPr>
        <w:pStyle w:val="BodyJ"/>
        <w:keepNext w:val="false"/>
        <w:numPr>
          <w:ilvl w:val="0"/>
          <w:numId w:val="5"/>
        </w:numPr>
      </w:pPr>
      <w:r>
        <w:t xml:space="preserve">Léxico de certeza — 4, Ap B; sus precedentes (Kent, radiología) — 15</w:t>
      </w:r>
    </w:p>
    <w:p>
      <w:pPr>
        <w:pStyle w:val="BodyJ"/>
        <w:keepNext w:val="false"/>
        <w:numPr>
          <w:ilvl w:val="0"/>
          <w:numId w:val="5"/>
        </w:numPr>
      </w:pPr>
      <w:r>
        <w:t xml:space="preserve">Marcador y enfermedad (lactato, perfusión, ANDROMEDA-SHOCK) — 1, 9</w:t>
      </w:r>
    </w:p>
    <w:p>
      <w:pPr>
        <w:pStyle w:val="BodyJ"/>
        <w:keepNext w:val="false"/>
        <w:numPr>
          <w:ilvl w:val="0"/>
          <w:numId w:val="5"/>
        </w:numPr>
      </w:pPr>
      <w:r>
        <w:t xml:space="preserve">Medicina basada en evidencia — 9</w:t>
      </w:r>
    </w:p>
    <w:p>
      <w:pPr>
        <w:pStyle w:val="BodyJ"/>
        <w:keepNext w:val="false"/>
        <w:numPr>
          <w:ilvl w:val="0"/>
          <w:numId w:val="5"/>
        </w:numPr>
      </w:pPr>
      <w:r>
        <w:t xml:space="preserve">Mente del principiante (Zen, shoshin) — 8</w:t>
      </w:r>
    </w:p>
    <w:p>
      <w:pPr>
        <w:pStyle w:val="BodyJ"/>
        <w:keepNext w:val="false"/>
        <w:numPr>
          <w:ilvl w:val="0"/>
          <w:numId w:val="5"/>
        </w:numPr>
      </w:pPr>
      <w:r>
        <w:t xml:space="preserve">Meta-d′ y medición de la metacognición — 5</w:t>
      </w:r>
    </w:p>
    <w:p>
      <w:pPr>
        <w:pStyle w:val="BodyJ"/>
        <w:keepNext w:val="false"/>
        <w:numPr>
          <w:ilvl w:val="0"/>
          <w:numId w:val="5"/>
        </w:numPr>
      </w:pPr>
      <w:r>
        <w:t xml:space="preserve">Metacognición: definición y niveles — Int, 5; monitoreo y control — 5; social (señales del equipo y del paciente) — 5, 13; sensibilidad vs. sesgo — Int, 5; auditoría de salidas de IA — 17</w:t>
      </w:r>
    </w:p>
    <w:p>
      <w:pPr>
        <w:pStyle w:val="BodyJ"/>
        <w:keepNext w:val="false"/>
        <w:numPr>
          <w:ilvl w:val="0"/>
          <w:numId w:val="5"/>
        </w:numPr>
      </w:pPr>
      <w:r>
        <w:t xml:space="preserve">Miedo y decisión (documentación defensiva, sobreestudio) — 3, 14</w:t>
      </w:r>
    </w:p>
    <w:p>
      <w:pPr>
        <w:pStyle w:val="BodyJ"/>
        <w:keepNext w:val="false"/>
        <w:numPr>
          <w:ilvl w:val="0"/>
          <w:numId w:val="5"/>
        </w:numPr>
      </w:pPr>
      <w:r>
        <w:t xml:space="preserve">Modelo de Toulmin (dato, garantía, calificador, refutación) — 4</w:t>
      </w:r>
    </w:p>
    <w:p>
      <w:pPr>
        <w:pStyle w:val="BodyJ"/>
        <w:keepNext w:val="false"/>
        <w:numPr>
          <w:ilvl w:val="0"/>
          <w:numId w:val="5"/>
        </w:numPr>
      </w:pPr>
      <w:r>
        <w:t xml:space="preserve">Nota clínica generada por IA (degradación del registro) — 17</w:t>
      </w:r>
    </w:p>
    <w:p>
      <w:pPr>
        <w:pStyle w:val="BodyJ"/>
        <w:keepNext w:val="false"/>
        <w:numPr>
          <w:ilvl w:val="0"/>
          <w:numId w:val="5"/>
        </w:numPr>
      </w:pPr>
      <w:r>
        <w:t xml:space="preserve">Nota de enfermería como hecho clínico — 13</w:t>
      </w:r>
    </w:p>
    <w:p>
      <w:pPr>
        <w:pStyle w:val="BodyJ"/>
        <w:keepNext w:val="false"/>
        <w:numPr>
          <w:ilvl w:val="0"/>
          <w:numId w:val="5"/>
        </w:numPr>
      </w:pPr>
      <w:r>
        <w:t xml:space="preserve">Objetividad entre paréntesis y observador (Maturana) — 1; emociones como dominio de acción — 8</w:t>
      </w:r>
    </w:p>
    <w:p>
      <w:pPr>
        <w:pStyle w:val="BodyJ"/>
        <w:keepNext w:val="false"/>
        <w:numPr>
          <w:ilvl w:val="0"/>
          <w:numId w:val="5"/>
        </w:numPr>
      </w:pPr>
      <w:r>
        <w:t xml:space="preserve">Observación activa — 11, Ap D</w:t>
      </w:r>
    </w:p>
    <w:p>
      <w:pPr>
        <w:pStyle w:val="BodyJ"/>
        <w:keepNext w:val="false"/>
        <w:numPr>
          <w:ilvl w:val="0"/>
          <w:numId w:val="5"/>
        </w:numPr>
      </w:pPr>
      <w:r>
        <w:t xml:space="preserve">Paradoja de la automatización — 17</w:t>
      </w:r>
    </w:p>
    <w:p>
      <w:pPr>
        <w:pStyle w:val="BodyJ"/>
        <w:keepNext w:val="false"/>
        <w:numPr>
          <w:ilvl w:val="0"/>
          <w:numId w:val="5"/>
        </w:numPr>
      </w:pPr>
      <w:r>
        <w:t xml:space="preserve">Pausa diagnóstica — 8, 16, Ap B, Ap C</w:t>
      </w:r>
    </w:p>
    <w:p>
      <w:pPr>
        <w:pStyle w:val="BodyJ"/>
        <w:keepNext w:val="false"/>
        <w:numPr>
          <w:ilvl w:val="0"/>
          <w:numId w:val="5"/>
        </w:numPr>
      </w:pPr>
      <w:r>
        <w:t xml:space="preserve">Pericia y práctica deliberada — 6</w:t>
      </w:r>
    </w:p>
    <w:p>
      <w:pPr>
        <w:pStyle w:val="BodyJ"/>
        <w:keepNext w:val="false"/>
        <w:numPr>
          <w:ilvl w:val="0"/>
          <w:numId w:val="5"/>
        </w:numPr>
      </w:pPr>
      <w:r>
        <w:t xml:space="preserve">Phronesis — 6, 14</w:t>
      </w:r>
    </w:p>
    <w:p>
      <w:pPr>
        <w:pStyle w:val="BodyJ"/>
        <w:keepNext w:val="false"/>
        <w:numPr>
          <w:ilvl w:val="0"/>
          <w:numId w:val="5"/>
        </w:numPr>
      </w:pPr>
      <w:r>
        <w:t xml:space="preserve">Poesía y juicio clínico (Huidobro, Parra; belleza como señal y trampa) — 18</w:t>
      </w:r>
    </w:p>
    <w:p>
      <w:pPr>
        <w:pStyle w:val="BodyJ"/>
        <w:keepNext w:val="false"/>
        <w:numPr>
          <w:ilvl w:val="0"/>
          <w:numId w:val="5"/>
        </w:numPr>
      </w:pPr>
      <w:r>
        <w:t xml:space="preserve">Portafolio de calibración — 5, 8, 14, 16, Ap C, Ap D</w:t>
      </w:r>
    </w:p>
    <w:p>
      <w:pPr>
        <w:pStyle w:val="BodyJ"/>
        <w:keepNext w:val="false"/>
        <w:numPr>
          <w:ilvl w:val="0"/>
          <w:numId w:val="5"/>
        </w:numPr>
      </w:pPr>
      <w:r>
        <w:t xml:space="preserve">Preguntas para la próxima visita (reunidas) — Ap E</w:t>
      </w:r>
    </w:p>
    <w:p>
      <w:pPr>
        <w:pStyle w:val="BodyJ"/>
        <w:keepNext w:val="false"/>
        <w:numPr>
          <w:ilvl w:val="0"/>
          <w:numId w:val="5"/>
        </w:numPr>
      </w:pPr>
      <w:r>
        <w:t xml:space="preserve">Pronóstico e incertidumbre de plazo — CC (viñeta 5)</w:t>
      </w:r>
    </w:p>
    <w:p>
      <w:pPr>
        <w:pStyle w:val="BodyJ"/>
        <w:keepNext w:val="false"/>
        <w:numPr>
          <w:ilvl w:val="0"/>
          <w:numId w:val="5"/>
        </w:numPr>
      </w:pPr>
      <w:r>
        <w:t xml:space="preserve">Proporcionalidad terapéutica (Taboada) — 10, 15, CC (viñeta 5)</w:t>
      </w:r>
    </w:p>
    <w:p>
      <w:pPr>
        <w:pStyle w:val="BodyJ"/>
        <w:keepNext w:val="false"/>
        <w:numPr>
          <w:ilvl w:val="0"/>
          <w:numId w:val="5"/>
        </w:numPr>
      </w:pPr>
      <w:r>
        <w:t xml:space="preserve">Proteína C reactiva: cinética y lectura temporal — 11, 12</w:t>
      </w:r>
    </w:p>
    <w:p>
      <w:pPr>
        <w:pStyle w:val="BodyJ"/>
        <w:keepNext w:val="false"/>
        <w:numPr>
          <w:ilvl w:val="0"/>
          <w:numId w:val="5"/>
        </w:numPr>
      </w:pPr>
      <w:r>
        <w:t xml:space="preserve">Prueba de Parra (taller del capítulo 18) — Ap D</w:t>
      </w:r>
    </w:p>
    <w:p>
      <w:pPr>
        <w:pStyle w:val="BodyJ"/>
        <w:keepNext w:val="false"/>
        <w:numPr>
          <w:ilvl w:val="0"/>
          <w:numId w:val="5"/>
        </w:numPr>
      </w:pPr>
      <w:r>
        <w:t xml:space="preserve">Pruebas severas (Popper) — 2</w:t>
      </w:r>
    </w:p>
    <w:p>
      <w:pPr>
        <w:pStyle w:val="BodyJ"/>
        <w:keepNext w:val="false"/>
        <w:numPr>
          <w:ilvl w:val="0"/>
          <w:numId w:val="5"/>
        </w:numPr>
      </w:pPr>
      <w:r>
        <w:t xml:space="preserve">Puntos de inflexión — 11, Interludio III</w:t>
      </w:r>
    </w:p>
    <w:p>
      <w:pPr>
        <w:pStyle w:val="BodyJ"/>
        <w:keepNext w:val="false"/>
        <w:numPr>
          <w:ilvl w:val="0"/>
          <w:numId w:val="5"/>
        </w:numPr>
      </w:pPr>
      <w:r>
        <w:t xml:space="preserve">Red de seguridad (safety-netting) — 11, CC (viñetas 3, 4 y 7)</w:t>
      </w:r>
    </w:p>
    <w:p>
      <w:pPr>
        <w:pStyle w:val="BodyJ"/>
        <w:keepNext w:val="false"/>
        <w:numPr>
          <w:ilvl w:val="0"/>
          <w:numId w:val="5"/>
        </w:numPr>
      </w:pPr>
      <w:r>
        <w:t xml:space="preserve">Reglas de decisión clínica (PERC) y umbral — CC (viñeta 6)</w:t>
      </w:r>
    </w:p>
    <w:p>
      <w:pPr>
        <w:pStyle w:val="BodyJ"/>
        <w:keepNext w:val="false"/>
        <w:numPr>
          <w:ilvl w:val="0"/>
          <w:numId w:val="5"/>
        </w:numPr>
      </w:pPr>
      <w:r>
        <w:t xml:space="preserve">Representación del problema — Int, 2, 8, 16</w:t>
      </w:r>
    </w:p>
    <w:p>
      <w:pPr>
        <w:pStyle w:val="BodyJ"/>
        <w:keepNext w:val="false"/>
        <w:numPr>
          <w:ilvl w:val="0"/>
          <w:numId w:val="5"/>
        </w:numPr>
      </w:pPr>
      <w:r>
        <w:t xml:space="preserve">Riesgo inductivo (Rudner, Douglas) — 10</w:t>
      </w:r>
    </w:p>
    <w:p>
      <w:pPr>
        <w:pStyle w:val="BodyJ"/>
        <w:keepNext w:val="false"/>
        <w:numPr>
          <w:ilvl w:val="0"/>
          <w:numId w:val="5"/>
        </w:numPr>
      </w:pPr>
      <w:r>
        <w:t xml:space="preserve">Segunda víctima — 14</w:t>
      </w:r>
    </w:p>
    <w:p>
      <w:pPr>
        <w:pStyle w:val="BodyJ"/>
        <w:keepNext w:val="false"/>
        <w:numPr>
          <w:ilvl w:val="0"/>
          <w:numId w:val="5"/>
        </w:numPr>
      </w:pPr>
      <w:r>
        <w:t xml:space="preserve">Segundo lector — 5, 8, 17</w:t>
      </w:r>
    </w:p>
    <w:p>
      <w:pPr>
        <w:pStyle w:val="BodyJ"/>
        <w:keepNext w:val="false"/>
        <w:numPr>
          <w:ilvl w:val="0"/>
          <w:numId w:val="5"/>
        </w:numPr>
      </w:pPr>
      <w:r>
        <w:t xml:space="preserve">Sesgo algorítmico (Obermeyer) — 17</w:t>
      </w:r>
    </w:p>
    <w:p>
      <w:pPr>
        <w:pStyle w:val="BodyJ"/>
        <w:keepNext w:val="false"/>
        <w:numPr>
          <w:ilvl w:val="0"/>
          <w:numId w:val="5"/>
        </w:numPr>
      </w:pPr>
      <w:r>
        <w:t xml:space="preserve">Sesgo de automatización (Goddard) — 17</w:t>
      </w:r>
    </w:p>
    <w:p>
      <w:pPr>
        <w:pStyle w:val="BodyJ"/>
        <w:keepNext w:val="false"/>
        <w:numPr>
          <w:ilvl w:val="0"/>
          <w:numId w:val="5"/>
        </w:numPr>
      </w:pPr>
      <w:r>
        <w:t xml:space="preserve">Sesgos cognitivos: alcance y límites del vocabulario — 7</w:t>
      </w:r>
    </w:p>
    <w:p>
      <w:pPr>
        <w:pStyle w:val="BodyJ"/>
        <w:keepNext w:val="false"/>
        <w:numPr>
          <w:ilvl w:val="0"/>
          <w:numId w:val="5"/>
        </w:numPr>
      </w:pPr>
      <w:r>
        <w:t xml:space="preserve">Sobreconfianza — 5, 7</w:t>
      </w:r>
    </w:p>
    <w:p>
      <w:pPr>
        <w:pStyle w:val="BodyJ"/>
        <w:keepNext w:val="false"/>
        <w:numPr>
          <w:ilvl w:val="0"/>
          <w:numId w:val="5"/>
        </w:numPr>
      </w:pPr>
      <w:r>
        <w:t xml:space="preserve">Sobreestudio e intervenciones innecesarias — 3</w:t>
      </w:r>
    </w:p>
    <w:p>
      <w:pPr>
        <w:pStyle w:val="BodyJ"/>
        <w:keepNext w:val="false"/>
        <w:numPr>
          <w:ilvl w:val="0"/>
          <w:numId w:val="5"/>
        </w:numPr>
      </w:pPr>
      <w:r>
        <w:t xml:space="preserve">Talleres (ejercicios por capítulo) — Ap D</w:t>
      </w:r>
    </w:p>
    <w:p>
      <w:pPr>
        <w:pStyle w:val="BodyJ"/>
        <w:keepNext w:val="false"/>
        <w:numPr>
          <w:ilvl w:val="0"/>
          <w:numId w:val="5"/>
        </w:numPr>
      </w:pPr>
      <w:r>
        <w:t xml:space="preserve">Tarjeta HII-D en sesenta segundos — última página</w:t>
      </w:r>
    </w:p>
    <w:p>
      <w:pPr>
        <w:pStyle w:val="BodyJ"/>
        <w:keepNext w:val="false"/>
        <w:numPr>
          <w:ilvl w:val="0"/>
          <w:numId w:val="5"/>
        </w:numPr>
      </w:pPr>
      <w:r>
        <w:t xml:space="preserve">Testimonio del paciente — 1, 14; epistemología del testimonio (Coady, Lackey) — 14; testimonio de terceros y cuidadores — CC (viñeta 7)</w:t>
      </w:r>
    </w:p>
    <w:p>
      <w:pPr>
        <w:pStyle w:val="BodyJ"/>
        <w:keepNext w:val="false"/>
        <w:numPr>
          <w:ilvl w:val="0"/>
          <w:numId w:val="5"/>
        </w:numPr>
      </w:pPr>
      <w:r>
        <w:t xml:space="preserve">Trayectoria del error (estaciones y barreras) — 7</w:t>
      </w:r>
    </w:p>
    <w:p>
      <w:pPr>
        <w:pStyle w:val="BodyJ"/>
        <w:keepNext w:val="false"/>
        <w:numPr>
          <w:ilvl w:val="0"/>
          <w:numId w:val="5"/>
        </w:numPr>
      </w:pPr>
      <w:r>
        <w:t xml:space="preserve">Trayectoria y temporalidad — 11, Interludio I</w:t>
      </w:r>
    </w:p>
    <w:p>
      <w:pPr>
        <w:pStyle w:val="BodyJ"/>
        <w:keepNext w:val="false"/>
        <w:numPr>
          <w:ilvl w:val="0"/>
          <w:numId w:val="5"/>
        </w:numPr>
      </w:pPr>
      <w:r>
        <w:t xml:space="preserve">Umbral y geografía (hospital insular, evacuación aeromédica) — 11</w:t>
      </w:r>
    </w:p>
    <w:p>
      <w:pPr>
        <w:pStyle w:val="BodyJ"/>
        <w:keepNext w:val="false"/>
        <w:numPr>
          <w:ilvl w:val="0"/>
          <w:numId w:val="5"/>
        </w:numPr>
      </w:pPr>
      <w:r>
        <w:t xml:space="preserve">Umbrales de decisión — 10, Interludio III, CC (viñeta 3)</w:t>
      </w:r>
    </w:p>
    <w:p>
      <w:pPr>
        <w:pStyle w:val="BodyJ"/>
        <w:keepNext w:val="false"/>
        <w:numPr>
          <w:ilvl w:val="0"/>
          <w:numId w:val="5"/>
        </w:numPr>
      </w:pPr>
      <w:r>
        <w:t xml:space="preserve">Validación local y monitoreo de herramientas de IA — 17</w:t>
      </w:r>
    </w:p>
    <w:p>
      <w:pPr>
        <w:pStyle w:val="BodyJ"/>
        <w:keepNext w:val="false"/>
        <w:numPr>
          <w:ilvl w:val="0"/>
          <w:numId w:val="5"/>
        </w:numPr>
      </w:pPr>
      <w:r>
        <w:t xml:space="preserve">Validez del entorno e intuición (Kahneman y Klein) — 6</w:t>
      </w:r>
    </w:p>
    <w:p>
      <w:pPr>
        <w:pStyle w:val="BodyJ"/>
        <w:keepNext w:val="false"/>
        <w:numPr>
          <w:ilvl w:val="0"/>
          <w:numId w:val="5"/>
        </w:numPr>
      </w:pPr>
      <w:r>
        <w:t xml:space="preserve">Verbos epistémicos — 4, Ap B</w:t>
      </w:r>
    </w:p>
    <w:p>
      <w:pPr>
        <w:pStyle w:val="Heading1"/>
        <w:keepNext/>
        <w:keepLines/>
        <w:pageBreakBefore/>
        <w:spacing w:after="320" w:before="720"/>
      </w:pPr>
      <w:r>
        <w:rPr>
          <w:rFonts w:ascii="Gelasio" w:cs="Gelasio" w:eastAsia="Gelasio" w:hAnsi="Gelasio"/>
          <w:b/>
          <w:bCs/>
          <w:color w:val="2B2B2B"/>
          <w:sz w:val="34"/>
          <w:szCs w:val="34"/>
        </w:rPr>
        <w:t xml:space="preserve">Lista de figuras</w:t>
      </w:r>
    </w:p>
    <w:p>
      <w:pPr>
        <w:pStyle w:val="BodyJ"/>
        <w:keepNext w:val="false"/>
        <w:numPr>
          <w:ilvl w:val="0"/>
          <w:numId w:val="5"/>
        </w:numPr>
      </w:pPr>
      <w:r>
        <w:t xml:space="preserve">Figura 1. Mapa del libro (Cómo leer este libro).</w:t>
      </w:r>
    </w:p>
    <w:p>
      <w:pPr>
        <w:pStyle w:val="BodyJ"/>
        <w:keepNext w:val="false"/>
        <w:numPr>
          <w:ilvl w:val="0"/>
          <w:numId w:val="5"/>
        </w:numPr>
      </w:pPr>
      <w:r>
        <w:t xml:space="preserve">Figura 2. Las cuatro capas del conocimiento clínico, la franja de incertidumbre que las atraviesa y el circuito de reevaluación que vuelve a la pregunta y a los hechos (Introducción).</w:t>
      </w:r>
    </w:p>
    <w:p>
      <w:pPr>
        <w:pStyle w:val="BodyJ"/>
        <w:keepNext w:val="false"/>
        <w:numPr>
          <w:ilvl w:val="0"/>
          <w:numId w:val="5"/>
        </w:numPr>
      </w:pPr>
      <w:r>
        <w:t xml:space="preserve">Figura 3. Fuentes del hecho clínico (Capítulo 1).</w:t>
      </w:r>
    </w:p>
    <w:p>
      <w:pPr>
        <w:pStyle w:val="BodyJ"/>
        <w:keepNext w:val="false"/>
        <w:numPr>
          <w:ilvl w:val="0"/>
          <w:numId w:val="5"/>
        </w:numPr>
      </w:pPr>
      <w:r>
        <w:t xml:space="preserve">Figura 4. Un mapa de la incertidumbre clínica (adaptado de la taxonomía de Han et al.) (Capítulo 3).</w:t>
      </w:r>
    </w:p>
    <w:p>
      <w:pPr>
        <w:pStyle w:val="BodyJ"/>
        <w:keepNext w:val="false"/>
        <w:numPr>
          <w:ilvl w:val="0"/>
          <w:numId w:val="5"/>
        </w:numPr>
      </w:pPr>
      <w:r>
        <w:t xml:space="preserve">Figura 5. La frase medular como argumento de Toulmin (Capítulo 4).</w:t>
      </w:r>
    </w:p>
    <w:p>
      <w:pPr>
        <w:pStyle w:val="BodyJ"/>
        <w:keepNext w:val="false"/>
        <w:numPr>
          <w:ilvl w:val="0"/>
          <w:numId w:val="5"/>
        </w:numPr>
      </w:pPr>
      <w:r>
        <w:t xml:space="preserve">Figura 6. El modelo de dos niveles de Nelson y Narens (Capítulo 5).</w:t>
      </w:r>
    </w:p>
    <w:p>
      <w:pPr>
        <w:pStyle w:val="BodyJ"/>
        <w:keepNext w:val="false"/>
        <w:numPr>
          <w:ilvl w:val="0"/>
          <w:numId w:val="5"/>
        </w:numPr>
      </w:pPr>
      <w:r>
        <w:t xml:space="preserve">Figura 7. Curva de calibración, esquemática (Capítulo 5).</w:t>
      </w:r>
    </w:p>
    <w:p>
      <w:pPr>
        <w:pStyle w:val="BodyJ"/>
        <w:keepNext w:val="false"/>
        <w:numPr>
          <w:ilvl w:val="0"/>
          <w:numId w:val="5"/>
        </w:numPr>
      </w:pPr>
      <w:r>
        <w:t xml:space="preserve">Figura 8. El error como trayectoria (Capítulo 7).</w:t>
      </w:r>
    </w:p>
    <w:p>
      <w:pPr>
        <w:pStyle w:val="BodyJ"/>
        <w:keepNext w:val="false"/>
        <w:numPr>
          <w:ilvl w:val="0"/>
          <w:numId w:val="5"/>
        </w:numPr>
      </w:pPr>
      <w:r>
        <w:t xml:space="preserve">Figura 9. Una década sobre un mismo dato (Capítulo 9).</w:t>
      </w:r>
    </w:p>
    <w:p>
      <w:pPr>
        <w:pStyle w:val="BodyJ"/>
        <w:keepNext w:val="false"/>
        <w:numPr>
          <w:ilvl w:val="0"/>
          <w:numId w:val="5"/>
        </w:numPr>
      </w:pPr>
      <w:r>
        <w:t xml:space="preserve">Figura 10. El enfoque de umbrales de Pauker y Kassirer (Capítulo 10).</w:t>
      </w:r>
    </w:p>
    <w:p>
      <w:pPr>
        <w:pStyle w:val="BodyJ"/>
        <w:keepNext w:val="false"/>
        <w:numPr>
          <w:ilvl w:val="0"/>
          <w:numId w:val="5"/>
        </w:numPr>
      </w:pPr>
      <w:r>
        <w:t xml:space="preserve">Figura 11. La línea de tiempo de Carmen y el umbral que se mueve (Capítulo 10).</w:t>
      </w:r>
    </w:p>
    <w:p>
      <w:pPr>
        <w:pStyle w:val="BodyJ"/>
        <w:keepNext w:val="false"/>
        <w:numPr>
          <w:ilvl w:val="0"/>
          <w:numId w:val="5"/>
        </w:numPr>
      </w:pPr>
      <w:r>
        <w:t xml:space="preserve">Figura 12. El cálculo en frecuencias naturales (Capítulo 10).</w:t>
      </w:r>
    </w:p>
    <w:p>
      <w:pPr>
        <w:pStyle w:val="BodyJ"/>
        <w:keepNext w:val="false"/>
        <w:numPr>
          <w:ilvl w:val="0"/>
          <w:numId w:val="5"/>
        </w:numPr>
      </w:pPr>
      <w:r>
        <w:t xml:space="preserve">Figura 13. El viaje de una frase (Capítulo 12).</w:t>
      </w:r>
    </w:p>
    <w:p>
      <w:pPr>
        <w:pStyle w:val="BodyJ"/>
        <w:keepNext w:val="false"/>
        <w:numPr>
          <w:ilvl w:val="0"/>
          <w:numId w:val="5"/>
        </w:numPr>
      </w:pPr>
      <w:r>
        <w:t xml:space="preserve">Figura 14. El método HII-D en una página (Capítulo 15).</w:t>
      </w:r>
    </w:p>
    <w:p>
      <w:pPr>
        <w:pStyle w:val="BodyJ"/>
        <w:keepNext w:val="false"/>
        <w:numPr>
          <w:ilvl w:val="0"/>
          <w:numId w:val="5"/>
        </w:numPr>
      </w:pPr>
      <w:r>
        <w:t xml:space="preserve">Figura 15. Parentescos: cada riesgo de la IA clínica junto al sesgo ya descrito (Capítulo 17).</w:t>
      </w:r>
    </w:p>
    <w:p>
      <w:pPr>
        <w:pStyle w:val="Heading1"/>
        <w:keepNext/>
        <w:keepLines/>
        <w:pageBreakBefore/>
        <w:spacing w:after="320" w:before="720"/>
      </w:pPr>
      <w:r>
        <w:rPr>
          <w:rFonts w:ascii="Gelasio" w:cs="Gelasio" w:eastAsia="Gelasio" w:hAnsi="Gelasio"/>
          <w:b/>
          <w:bCs/>
          <w:color w:val="2B2B2B"/>
          <w:sz w:val="34"/>
          <w:szCs w:val="34"/>
        </w:rPr>
        <w:t xml:space="preserve">Nota metodológica y estatuto de las afirmaciones</w:t>
      </w:r>
    </w:p>
    <w:p>
      <w:pPr>
        <w:pStyle w:val="BodyJ"/>
        <w:keepNext w:val="false"/>
      </w:pPr>
      <w:r>
        <w:rPr>
          <w:b/>
          <w:bCs/>
        </w:rPr>
        <w:t xml:space="preserve">Naturaleza de la obra.</w:t>
      </w:r>
      <w:r>
        <w:t xml:space="preserve"> Este libro es un ensayo académico de integración científico-filosófica dirigido a profesionales clínicos. No es una revisión sistemática, ni una guía clínica, ni contiene instrumentos validados.</w:t>
      </w:r>
    </w:p>
    <w:p>
      <w:pPr>
        <w:pStyle w:val="BodyJ"/>
        <w:keepNext w:val="false"/>
      </w:pPr>
      <w:r>
        <w:rPr>
          <w:b/>
          <w:bCs/>
        </w:rPr>
        <w:t xml:space="preserve">Estrategia bibliográfica.</w:t>
      </w:r>
      <w:r>
        <w:t xml:space="preserve"> Las fuentes provienen de tres cuerpos: investigación biomédica y de razonamiento clínico, filosofía de la ciencia y epistemología, y educación médica. Se privilegiaron fuentes primarias y revisiones reconocidas; el período cubierto llega hasta el cierre bibliográfico, en octubre de 2026. Durante la redacción se aplicó una regla fija: ninguna referencia entró al manuscrito sin verificación previa contra su fuente —autoría, año, revista y resultado—. No se pretende exhaustividad sistemática: la selección sirve al argumento y se declara como tal.</w:t>
      </w:r>
    </w:p>
    <w:p>
      <w:pPr>
        <w:pStyle w:val="BodyJ"/>
        <w:keepNext w:val="false"/>
      </w:pPr>
      <w:r>
        <w:rPr>
          <w:b/>
          <w:bCs/>
        </w:rPr>
        <w:t xml:space="preserve">Estatuto de las afirmaciones.</w:t>
      </w:r>
      <w:r>
        <w:t xml:space="preserve"> El lector encontrará seis clases de enunciados, y el texto procura que cada uno se presente como lo que es: resultados verificados de fuentes primarias, citados con autor y año; conclusiones de revisiones o consensos; argumentos filosóficos, atribuidos a sus autores; experiencia autoral, narrada en primera persona; ejemplos docentes construidos, señalados como tales («en ejercicios docentes suele observarse…»); y propuestas originales del libro —la densidad epistémica, la frase medular y el método HII-D—, que no deben leerse como hallazgos sino como hipótesis de trabajo.</w:t>
      </w:r>
    </w:p>
    <w:p>
      <w:pPr>
        <w:pStyle w:val="BodyJ"/>
        <w:keepNext w:val="false"/>
      </w:pPr>
      <w:r>
        <w:rPr>
          <w:b/>
          <w:bCs/>
        </w:rPr>
        <w:t xml:space="preserve">Los casos.</w:t>
      </w:r>
      <w:r>
        <w:t xml:space="preserve"> Las escenas clínicas de este libro —Carmen, los interludios, las viñetas y los pasajes en primera persona— son composiciones docentes en el sentido declarado en la página legal: condensan experiencias reales y situaciones compuestas, sin reproducir episodios literales ni permitir identificación de personas o instituciones.</w:t>
      </w:r>
    </w:p>
    <w:p>
      <w:pPr>
        <w:pStyle w:val="BodyJ"/>
        <w:keepNext w:val="false"/>
      </w:pPr>
      <w:r>
        <w:rPr>
          <w:b/>
          <w:bCs/>
        </w:rPr>
        <w:t xml:space="preserve">Uso de inteligencia artificial.</w:t>
      </w:r>
      <w:r>
        <w:t xml:space="preserve"> Este manuscrito se desarrolló a partir de ideas y formulaciones del autor, con asistencia de inteligencia artificial en búsqueda inicial, organización, comparación bibliográfica, apoyo en redacción y edición. La IA no sustituyó la verificación de fuentes, el juicio clínico, la autoría ni la responsabilidad: las tesis, las decisiones de contenido y los errores pertenecen al autor. El libro intenta aplicar a su propia escritura la disciplina que su capítulo 17 recomienda.</w:t>
      </w:r>
    </w:p>
    <w:p>
      <w:pPr>
        <w:pStyle w:val="BodyJ"/>
        <w:keepNext w:val="false"/>
      </w:pPr>
      <w:r>
        <w:rPr>
          <w:b/>
          <w:bCs/>
        </w:rPr>
        <w:t xml:space="preserve">Verificación de las referencias.</w:t>
      </w:r>
      <w:r>
        <w:t xml:space="preserve"> Cada referencia se cotejó contra su fuente primaria antes de citarse, y el registro de ese cotejo —cifra por cifra— acompaña a las fuentes del libro. Cuatro se verificaron sólo por metadatos o por fuentes secundarias, y el lector debe saberlo: Estrada, Isen y Young (1997), cuyo texto completo no estuvo accesible, por lo que el hallazgo se enuncia tal como lo formula el título y sin cifras; la frase de Maturana (1970), tomada de su reimpresión y de </w:t>
      </w:r>
      <w:r>
        <w:rPr>
          <w:i/>
          <w:iCs/>
        </w:rPr>
        <w:t xml:space="preserve">El árbol del conocimiento</w:t>
      </w:r>
      <w:r>
        <w:t xml:space="preserve">; la cita de Suzuki (1970), confirmada contra la edición y no contra una copia del prólogo; y la localización de la tesis de Clifford (1877), tomada de la </w:t>
      </w:r>
      <w:r>
        <w:rPr>
          <w:i/>
          <w:iCs/>
        </w:rPr>
        <w:t xml:space="preserve">Stanford Encyclopedia of Philosophy</w:t>
      </w:r>
      <w:r>
        <w:t xml:space="preserve"> y no del volumen original de la </w:t>
      </w:r>
      <w:r>
        <w:rPr>
          <w:i/>
          <w:iCs/>
        </w:rPr>
        <w:t xml:space="preserve">Contemporary Review</w:t>
      </w:r>
      <w:r>
        <w:t xml:space="preserve">. Ninguna de ellas sostiene por sí sola una cifra ni una conducta. La distribución de citas es plana: de las 210 citas del cuerpo, ningún autor supera el 4%, y Croskerry, Norman y Kahneman —las voces dominantes de la literatura sobre razonamiento clínico— suman el 8%. Las referencias con siete o más autores listan los seis primeros seguidos de «et al.»; los ensayos firmados por un grupo conservan el nombre del grupo.</w:t>
      </w:r>
    </w:p>
    <w:p>
      <w:pPr>
        <w:pStyle w:val="BodyJ"/>
        <w:keepNext w:val="false"/>
      </w:pPr>
      <w:r>
        <w:rPr>
          <w:b/>
          <w:bCs/>
        </w:rPr>
        <w:t xml:space="preserve">HII-D.</w:t>
      </w:r>
      <w:r>
        <w:t xml:space="preserve"> Es una heurística conceptual no validada. Sus compromisos de falsabilidad están en el capítulo 15 («Qué evidencia me haría abandonar este método»); su evaluación empírica —concordancia entre lectores, efecto sobre la reconstrucción del razonamiento y sobre conductas medibles, y costo en tiempo— es un programa pendiente, no un resultado.</w:t>
      </w:r>
    </w:p>
    <w:p>
      <w:pPr>
        <w:pStyle w:val="Heading1"/>
        <w:keepNext/>
        <w:keepLines/>
        <w:pageBreakBefore/>
        <w:spacing w:after="320" w:before="720"/>
      </w:pPr>
      <w:r>
        <w:rPr>
          <w:rFonts w:ascii="Gelasio" w:cs="Gelasio" w:eastAsia="Gelasio" w:hAnsi="Gelasio"/>
          <w:b/>
          <w:bCs/>
          <w:color w:val="2B2B2B"/>
          <w:sz w:val="34"/>
          <w:szCs w:val="34"/>
        </w:rPr>
        <w:t xml:space="preserve">Referencias</w:t>
      </w:r>
    </w:p>
    <w:p>
      <w:pPr>
        <w:pStyle w:val="BodyJ"/>
        <w:keepNext w:val="false"/>
      </w:pPr>
      <w:r>
        <w:t xml:space="preserve">Abdulnour, R.-E. E., Akbarialiabad, H., Haghighi, A., &amp; Leachman, S. A. (2026). Crew resource management — Navigating AI's automation paradox. </w:t>
      </w:r>
      <w:r>
        <w:rPr>
          <w:i/>
          <w:iCs/>
        </w:rPr>
        <w:t xml:space="preserve">New England Journal of Medicine, 395</w:t>
      </w:r>
      <w:r>
        <w:t xml:space="preserve">(8), 731–734.</w:t>
      </w:r>
    </w:p>
    <w:p>
      <w:pPr>
        <w:pStyle w:val="BodyJ"/>
        <w:keepNext w:val="false"/>
      </w:pPr>
      <w:r>
        <w:t xml:space="preserve">Abdulnour, R.-E. E., Gin, B., &amp; Boscardin, C. K. (2025). Educational strategies for clinical supervision of artificial intelligence use. </w:t>
      </w:r>
      <w:r>
        <w:rPr>
          <w:i/>
          <w:iCs/>
        </w:rPr>
        <w:t xml:space="preserve">New England Journal of Medicine, 393</w:t>
      </w:r>
      <w:r>
        <w:t xml:space="preserve">(8), 786–797.</w:t>
      </w:r>
    </w:p>
    <w:p>
      <w:pPr>
        <w:pStyle w:val="BodyJ"/>
        <w:keepNext w:val="false"/>
      </w:pPr>
      <w:r>
        <w:t xml:space="preserve">Afshar, M., Baumann, M. R., Resnik, F., Hintzke, J., Sullivan, A. G., Wills, G., et al. (2025). A pragmatic randomized controlled trial of ambient artificial intelligence to improve health practitioner well-being. </w:t>
      </w:r>
      <w:r>
        <w:rPr>
          <w:i/>
          <w:iCs/>
        </w:rPr>
        <w:t xml:space="preserve">NEJM AI, 2</w:t>
      </w:r>
      <w:r>
        <w:t xml:space="preserve">(12), AIoa2500945.</w:t>
      </w:r>
    </w:p>
    <w:p>
      <w:pPr>
        <w:pStyle w:val="BodyJ"/>
        <w:keepNext w:val="false"/>
      </w:pPr>
      <w:r>
        <w:t xml:space="preserve">Akram, A. R., Chalmers, J. D., Taylor, J. K., Rutherford, J., Singanayagam, A., &amp; Hill, A. T. (2013). An evaluation of clinical stability criteria to predict hospital course in community-acquired pneumonia. </w:t>
      </w:r>
      <w:r>
        <w:rPr>
          <w:i/>
          <w:iCs/>
        </w:rPr>
        <w:t xml:space="preserve">Clinical Microbiology and Infection, 19</w:t>
      </w:r>
      <w:r>
        <w:t xml:space="preserve">(12), 1174–1180.</w:t>
      </w:r>
    </w:p>
    <w:p>
      <w:pPr>
        <w:pStyle w:val="BodyJ"/>
        <w:keepNext w:val="false"/>
      </w:pPr>
      <w:r>
        <w:t xml:space="preserve">Alves de Lima, A. (2008). Devolución constructiva: Una estrategia para mejorar el aprendizaje. </w:t>
      </w:r>
      <w:r>
        <w:rPr>
          <w:i/>
          <w:iCs/>
        </w:rPr>
        <w:t xml:space="preserve">Medicina (Buenos Aires), 68</w:t>
      </w:r>
      <w:r>
        <w:t xml:space="preserve">(1), 88–92.</w:t>
      </w:r>
    </w:p>
    <w:p>
      <w:pPr>
        <w:pStyle w:val="BodyJ"/>
        <w:keepNext w:val="false"/>
      </w:pPr>
      <w:r>
        <w:t xml:space="preserve">Andreadis, K., Chan, E., Park, M., Benda, N. C., Sharma, M. M., Demetres, M., et al. (2021). Imprecision and preferences in interpretation of verbal probabilities in health: A systematic review. </w:t>
      </w:r>
      <w:r>
        <w:rPr>
          <w:i/>
          <w:iCs/>
        </w:rPr>
        <w:t xml:space="preserve">Journal of General Internal Medicine, 36</w:t>
      </w:r>
      <w:r>
        <w:t xml:space="preserve">(12), 3820–3829.</w:t>
      </w:r>
    </w:p>
    <w:p>
      <w:pPr>
        <w:pStyle w:val="BodyJ"/>
        <w:keepNext w:val="false"/>
      </w:pPr>
      <w:r>
        <w:t xml:space="preserve">Appelbaum, P. S. (2007). Assessment of patients' competence to consent to treatment. </w:t>
      </w:r>
      <w:r>
        <w:rPr>
          <w:i/>
          <w:iCs/>
        </w:rPr>
        <w:t xml:space="preserve">New England Journal of Medicine, 357</w:t>
      </w:r>
      <w:r>
        <w:t xml:space="preserve">(18), 1834–1840.</w:t>
      </w:r>
    </w:p>
    <w:p>
      <w:pPr>
        <w:pStyle w:val="BodyJ"/>
        <w:keepNext w:val="false"/>
      </w:pPr>
      <w:r>
        <w:t xml:space="preserve">Aristóteles. (1985). </w:t>
      </w:r>
      <w:r>
        <w:rPr>
          <w:i/>
          <w:iCs/>
        </w:rPr>
        <w:t xml:space="preserve">Ética nicomáquea; Ética eudemia</w:t>
      </w:r>
      <w:r>
        <w:t xml:space="preserve"> (J. Pallí Bonet, Trad.; introd. E. Lledó). Gredos.</w:t>
      </w:r>
    </w:p>
    <w:p>
      <w:pPr>
        <w:pStyle w:val="BodyJ"/>
        <w:keepNext w:val="false"/>
      </w:pPr>
      <w:r>
        <w:t xml:space="preserve">Auerbach, A. D., Lee, T. M., Hubbard, C. C., Ranji, S. R., Raffel, K., Valdes, G., et al. (2024). Diagnostic errors in hospitalized adults who died or were transferred to intensive care. </w:t>
      </w:r>
      <w:r>
        <w:rPr>
          <w:i/>
          <w:iCs/>
        </w:rPr>
        <w:t xml:space="preserve">JAMA Internal Medicine, 184</w:t>
      </w:r>
      <w:r>
        <w:t xml:space="preserve">(2), 164–173.</w:t>
      </w:r>
    </w:p>
    <w:p>
      <w:pPr>
        <w:pStyle w:val="BodyJ"/>
        <w:keepNext w:val="false"/>
      </w:pPr>
      <w:r>
        <w:t xml:space="preserve">Austin, J. L. (1962). </w:t>
      </w:r>
      <w:r>
        <w:rPr>
          <w:i/>
          <w:iCs/>
        </w:rPr>
        <w:t xml:space="preserve">How to Do Things with Words</w:t>
      </w:r>
      <w:r>
        <w:t xml:space="preserve">. Clarendon Press.</w:t>
      </w:r>
    </w:p>
    <w:p>
      <w:pPr>
        <w:pStyle w:val="BodyJ"/>
        <w:keepNext w:val="false"/>
      </w:pPr>
      <w:r>
        <w:t xml:space="preserve">Barrows, H. S., &amp; Feltovich, P. J. (1987). The clinical reasoning process. </w:t>
      </w:r>
      <w:r>
        <w:rPr>
          <w:i/>
          <w:iCs/>
        </w:rPr>
        <w:t xml:space="preserve">Medical Education, 21</w:t>
      </w:r>
      <w:r>
        <w:t xml:space="preserve">(2), 86–91.</w:t>
      </w:r>
    </w:p>
    <w:p>
      <w:pPr>
        <w:pStyle w:val="BodyJ"/>
        <w:keepNext w:val="false"/>
      </w:pPr>
      <w:r>
        <w:t xml:space="preserve">Berner, E. S., &amp; Graber, M. L. (2008). Overconfidence as a cause of diagnostic error in medicine. </w:t>
      </w:r>
      <w:r>
        <w:rPr>
          <w:i/>
          <w:iCs/>
        </w:rPr>
        <w:t xml:space="preserve">The American Journal of Medicine, 121</w:t>
      </w:r>
      <w:r>
        <w:t xml:space="preserve">(5 Suppl), S2–S23.</w:t>
      </w:r>
    </w:p>
    <w:p>
      <w:pPr>
        <w:pStyle w:val="BodyJ"/>
        <w:keepNext w:val="false"/>
      </w:pPr>
      <w:r>
        <w:t xml:space="preserve">Biro, J., Handley, J. L., Cobb, N. K., Kottamasu, V., Collins, J., Krevat, S., et al. (2025). Accuracy and safety of AI-enabled scribe technology: Instrument validation study. </w:t>
      </w:r>
      <w:r>
        <w:rPr>
          <w:i/>
          <w:iCs/>
        </w:rPr>
        <w:t xml:space="preserve">Journal of Medical Internet Research, 27</w:t>
      </w:r>
      <w:r>
        <w:t xml:space="preserve">, e64993.</w:t>
      </w:r>
    </w:p>
    <w:p>
      <w:pPr>
        <w:pStyle w:val="BodyJ"/>
        <w:keepNext w:val="false"/>
      </w:pPr>
      <w:r>
        <w:t xml:space="preserve">Boden, M. A. (2004). </w:t>
      </w:r>
      <w:r>
        <w:rPr>
          <w:i/>
          <w:iCs/>
        </w:rPr>
        <w:t xml:space="preserve">The Creative Mind: Myths and Mechanisms</w:t>
      </w:r>
      <w:r>
        <w:t xml:space="preserve"> (2.ª ed.). Routledge.</w:t>
      </w:r>
    </w:p>
    <w:p>
      <w:pPr>
        <w:pStyle w:val="BodyJ"/>
        <w:keepNext w:val="false"/>
      </w:pPr>
      <w:r>
        <w:t xml:space="preserve">Bohm, D. (1996). </w:t>
      </w:r>
      <w:r>
        <w:rPr>
          <w:i/>
          <w:iCs/>
        </w:rPr>
        <w:t xml:space="preserve">On Creativity</w:t>
      </w:r>
      <w:r>
        <w:t xml:space="preserve"> (L. Nichol, Ed.). Routledge.</w:t>
      </w:r>
    </w:p>
    <w:p>
      <w:pPr>
        <w:pStyle w:val="BodyJ"/>
        <w:keepNext w:val="false"/>
      </w:pPr>
      <w:r>
        <w:t xml:space="preserve">Bohm, D., &amp; Peat, F. D. (1987). </w:t>
      </w:r>
      <w:r>
        <w:rPr>
          <w:i/>
          <w:iCs/>
        </w:rPr>
        <w:t xml:space="preserve">Science, Order, and Creativity</w:t>
      </w:r>
      <w:r>
        <w:t xml:space="preserve">. Bantam Books.</w:t>
      </w:r>
    </w:p>
    <w:p>
      <w:pPr>
        <w:pStyle w:val="BodyJ"/>
        <w:keepNext w:val="false"/>
      </w:pPr>
      <w:r>
        <w:t xml:space="preserve">Bordage, G. (1994). Elaborated knowledge: A key to successful diagnostic thinking. </w:t>
      </w:r>
      <w:r>
        <w:rPr>
          <w:i/>
          <w:iCs/>
        </w:rPr>
        <w:t xml:space="preserve">Academic Medicine, 69</w:t>
      </w:r>
      <w:r>
        <w:t xml:space="preserve">(11), 883–885.</w:t>
      </w:r>
    </w:p>
    <w:p>
      <w:pPr>
        <w:pStyle w:val="BodyJ"/>
        <w:keepNext w:val="false"/>
      </w:pPr>
      <w:r>
        <w:t xml:space="preserve">Bowen, J. L. (2006). Educational strategies to promote clinical diagnostic reasoning. </w:t>
      </w:r>
      <w:r>
        <w:rPr>
          <w:i/>
          <w:iCs/>
        </w:rPr>
        <w:t xml:space="preserve">New England Journal of Medicine, 355</w:t>
      </w:r>
      <w:r>
        <w:t xml:space="preserve">(21), 2217–2225.</w:t>
      </w:r>
    </w:p>
    <w:p>
      <w:pPr>
        <w:pStyle w:val="BodyJ"/>
        <w:keepNext w:val="false"/>
      </w:pPr>
      <w:r>
        <w:t xml:space="preserve">Budzyń, K., Romańczyk, M., Kitala, D., Kołodziej, P., Bugajski, M., Adami, H. O., et al. (2025). Endoscopist deskilling risk after exposure to artificial intelligence in colonoscopy: A multicentre, observational study. </w:t>
      </w:r>
      <w:r>
        <w:rPr>
          <w:i/>
          <w:iCs/>
        </w:rPr>
        <w:t xml:space="preserve">The Lancet Gastroenterology &amp; Hepatology, 10</w:t>
      </w:r>
      <w:r>
        <w:t xml:space="preserve">(10), 896–903.</w:t>
      </w:r>
    </w:p>
    <w:p>
      <w:pPr>
        <w:pStyle w:val="BodyJ"/>
        <w:keepNext w:val="false"/>
      </w:pPr>
      <w:r>
        <w:t xml:space="preserve">Cabitza, F., Rasoini, R., &amp; Gensini, G. F. (2017). Unintended consequences of machine learning in medicine. </w:t>
      </w:r>
      <w:r>
        <w:rPr>
          <w:i/>
          <w:iCs/>
        </w:rPr>
        <w:t xml:space="preserve">JAMA, 318</w:t>
      </w:r>
      <w:r>
        <w:t xml:space="preserve">(6), 517–518.</w:t>
      </w:r>
    </w:p>
    <w:p>
      <w:pPr>
        <w:pStyle w:val="BodyJ"/>
        <w:keepNext w:val="false"/>
      </w:pPr>
      <w:r>
        <w:t xml:space="preserve">Canguilhem, G. (1971). </w:t>
      </w:r>
      <w:r>
        <w:rPr>
          <w:i/>
          <w:iCs/>
        </w:rPr>
        <w:t xml:space="preserve">Lo normal y lo patológico</w:t>
      </w:r>
      <w:r>
        <w:t xml:space="preserve"> (R. Potschart, Trad.). Siglo XXI. (Obra original publicada en 1966).</w:t>
      </w:r>
    </w:p>
    <w:p>
      <w:pPr>
        <w:pStyle w:val="BodyJ"/>
        <w:keepNext w:val="false"/>
      </w:pPr>
      <w:r>
        <w:t xml:space="preserve">Carel, H., &amp; Kidd, I. J. (2014). Epistemic injustice in healthcare: A philosophical analysis. </w:t>
      </w:r>
      <w:r>
        <w:rPr>
          <w:i/>
          <w:iCs/>
        </w:rPr>
        <w:t xml:space="preserve">Medicine, Health Care and Philosophy, 17</w:t>
      </w:r>
      <w:r>
        <w:t xml:space="preserve">(4), 529–540.</w:t>
      </w:r>
    </w:p>
    <w:p>
      <w:pPr>
        <w:pStyle w:val="BodyJ"/>
        <w:keepNext w:val="false"/>
      </w:pPr>
      <w:r>
        <w:t xml:space="preserve">Cartwright, N., &amp; Hardie, J. (2012). </w:t>
      </w:r>
      <w:r>
        <w:rPr>
          <w:i/>
          <w:iCs/>
        </w:rPr>
        <w:t xml:space="preserve">Evidence-Based Policy: A Practical Guide to Doing It Better</w:t>
      </w:r>
      <w:r>
        <w:t xml:space="preserve">. Oxford University Press.</w:t>
      </w:r>
    </w:p>
    <w:p>
      <w:pPr>
        <w:pStyle w:val="BodyJ"/>
        <w:keepNext w:val="false"/>
      </w:pPr>
      <w:r>
        <w:t xml:space="preserve">Casscells, W., Schoenberger, A., &amp; Graboys, T. B. (1978). Interpretation by physicians of clinical laboratory results. </w:t>
      </w:r>
      <w:r>
        <w:rPr>
          <w:i/>
          <w:iCs/>
        </w:rPr>
        <w:t xml:space="preserve">New England Journal of Medicine, 299</w:t>
      </w:r>
      <w:r>
        <w:t xml:space="preserve">(18), 999–1001.</w:t>
      </w:r>
    </w:p>
    <w:p>
      <w:pPr>
        <w:pStyle w:val="BodyJ"/>
        <w:keepNext w:val="false"/>
      </w:pPr>
      <w:r>
        <w:t xml:space="preserve">Chalmers, J. D., Singanayagam, A., &amp; Hill, A. T. (2008). C-reactive protein is an independent predictor of severity in community-acquired pneumonia. </w:t>
      </w:r>
      <w:r>
        <w:rPr>
          <w:i/>
          <w:iCs/>
        </w:rPr>
        <w:t xml:space="preserve">American Journal of Medicine, 121</w:t>
      </w:r>
      <w:r>
        <w:t xml:space="preserve">(3), 219–225.</w:t>
      </w:r>
    </w:p>
    <w:p>
      <w:pPr>
        <w:pStyle w:val="BodyJ"/>
        <w:keepNext w:val="false"/>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keepNext w:val="false"/>
      </w:pPr>
      <w:r>
        <w:t xml:space="preserve">Charon, R. (2006). </w:t>
      </w:r>
      <w:r>
        <w:rPr>
          <w:i/>
          <w:iCs/>
        </w:rPr>
        <w:t xml:space="preserve">Narrative Medicine: Honoring the Stories of Illness</w:t>
      </w:r>
      <w:r>
        <w:t xml:space="preserve">. Oxford University Press.</w:t>
      </w:r>
    </w:p>
    <w:p>
      <w:pPr>
        <w:pStyle w:val="BodyJ"/>
        <w:keepNext w:val="false"/>
      </w:pPr>
      <w:r>
        <w:t xml:space="preserve">Chaudhuri, D., Nei, A. M., Rochwerg, B., Balk, R. A., Asehnoune, K., Cadena, R., et al. (2024). 2024 focused update: Guidelines on use of corticosteroids in sepsis, acute respiratory distress syndrome, and community-acquired pneumonia. </w:t>
      </w:r>
      <w:r>
        <w:rPr>
          <w:i/>
          <w:iCs/>
        </w:rPr>
        <w:t xml:space="preserve">Critical Care Medicine, 52</w:t>
      </w:r>
      <w:r>
        <w:t xml:space="preserve">(5), e219–e233.</w:t>
      </w:r>
    </w:p>
    <w:p>
      <w:pPr>
        <w:pStyle w:val="BodyJ"/>
        <w:keepNext w:val="false"/>
      </w:pPr>
      <w:r>
        <w:t xml:space="preserve">Clifford, W. K. (1877). The ethics of belief. </w:t>
      </w:r>
      <w:r>
        <w:rPr>
          <w:i/>
          <w:iCs/>
        </w:rPr>
        <w:t xml:space="preserve">Contemporary Review, 29</w:t>
      </w:r>
      <w:r>
        <w:t xml:space="preserve">, 289–309.</w:t>
      </w:r>
    </w:p>
    <w:p>
      <w:pPr>
        <w:pStyle w:val="BodyJ"/>
        <w:keepNext w:val="false"/>
      </w:pPr>
      <w:r>
        <w:t xml:space="preserve">Coady, C. A. J. (1992). </w:t>
      </w:r>
      <w:r>
        <w:rPr>
          <w:i/>
          <w:iCs/>
        </w:rPr>
        <w:t xml:space="preserve">Testimony: A Philosophical Study</w:t>
      </w:r>
      <w:r>
        <w:t xml:space="preserve">. Clarendon Press.</w:t>
      </w:r>
    </w:p>
    <w:p>
      <w:pPr>
        <w:pStyle w:val="BodyJ"/>
        <w:keepNext w:val="false"/>
      </w:pPr>
      <w:r>
        <w:t xml:space="preserve">Croskerry, P. (2003). The importance of cognitive errors in diagnosis and strategies to minimize them. </w:t>
      </w:r>
      <w:r>
        <w:rPr>
          <w:i/>
          <w:iCs/>
        </w:rPr>
        <w:t xml:space="preserve">Academic Medicine, 78</w:t>
      </w:r>
      <w:r>
        <w:t xml:space="preserve">(8), 775–780.</w:t>
      </w:r>
    </w:p>
    <w:p>
      <w:pPr>
        <w:pStyle w:val="BodyJ"/>
        <w:keepNext w:val="false"/>
      </w:pPr>
      <w:r>
        <w:t xml:space="preserve">Croskerry, P. (2009). A universal model of diagnostic reasoning. </w:t>
      </w:r>
      <w:r>
        <w:rPr>
          <w:i/>
          <w:iCs/>
        </w:rPr>
        <w:t xml:space="preserve">Academic Medicine, 84</w:t>
      </w:r>
      <w:r>
        <w:t xml:space="preserve">(8), 1022–1028.</w:t>
      </w:r>
    </w:p>
    <w:p>
      <w:pPr>
        <w:pStyle w:val="BodyJ"/>
        <w:keepNext w:val="false"/>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keepNext w:val="false"/>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keepNext w:val="false"/>
      </w:pPr>
      <w:r>
        <w:t xml:space="preserve">Custers, E. J. F. M. (2015). Thirty years of illness scripts: Theoretical origins and practical applications. </w:t>
      </w:r>
      <w:r>
        <w:rPr>
          <w:i/>
          <w:iCs/>
        </w:rPr>
        <w:t xml:space="preserve">Medical Teacher, 37</w:t>
      </w:r>
      <w:r>
        <w:t xml:space="preserve">(5), 457–462.</w:t>
      </w:r>
    </w:p>
    <w:p>
      <w:pPr>
        <w:pStyle w:val="BodyJ"/>
        <w:keepNext w:val="false"/>
      </w:pPr>
      <w:r>
        <w:t xml:space="preserve">Dequin, P.-F., Meziani, F., Quenot, J.-P., Kamel, T., Ricard, J.-D., Badie, J., et al. (2023). Hydrocortisone in severe community-acquired pneumonia. </w:t>
      </w:r>
      <w:r>
        <w:rPr>
          <w:i/>
          <w:iCs/>
        </w:rPr>
        <w:t xml:space="preserve">New England Journal of Medicine, 388</w:t>
      </w:r>
      <w:r>
        <w:t xml:space="preserve">(21), 1931–1941.</w:t>
      </w:r>
    </w:p>
    <w:p>
      <w:pPr>
        <w:pStyle w:val="BodyJ"/>
        <w:keepNext w:val="false"/>
      </w:pPr>
      <w:r>
        <w:t xml:space="preserve">Djulbegovic, B., &amp; Guyatt, G. H. (2017). Progress in evidence-based medicine: A quarter century on. </w:t>
      </w:r>
      <w:r>
        <w:rPr>
          <w:i/>
          <w:iCs/>
        </w:rPr>
        <w:t xml:space="preserve">The Lancet, 390</w:t>
      </w:r>
      <w:r>
        <w:t xml:space="preserve">(10092), 415–423.</w:t>
      </w:r>
    </w:p>
    <w:p>
      <w:pPr>
        <w:pStyle w:val="BodyJ"/>
        <w:keepNext w:val="false"/>
      </w:pPr>
      <w:r>
        <w:t xml:space="preserve">Douglas, H. (2000). Inductive risk and values in science. </w:t>
      </w:r>
      <w:r>
        <w:rPr>
          <w:i/>
          <w:iCs/>
        </w:rPr>
        <w:t xml:space="preserve">Philosophy of Science, 67</w:t>
      </w:r>
      <w:r>
        <w:t xml:space="preserve">(4), 559–579.</w:t>
      </w:r>
    </w:p>
    <w:p>
      <w:pPr>
        <w:pStyle w:val="BodyJ"/>
        <w:keepNext w:val="false"/>
      </w:pPr>
      <w:r>
        <w:t xml:space="preserve">Dunlosky, J., &amp; Metcalfe, J. (2009). </w:t>
      </w:r>
      <w:r>
        <w:rPr>
          <w:i/>
          <w:iCs/>
        </w:rPr>
        <w:t xml:space="preserve">Metacognition</w:t>
      </w:r>
      <w:r>
        <w:t xml:space="preserve">. SAGE.</w:t>
      </w:r>
    </w:p>
    <w:p>
      <w:pPr>
        <w:pStyle w:val="BodyJ"/>
        <w:keepNext w:val="false"/>
      </w:pPr>
      <w:r>
        <w:t xml:space="preserve">Elstein, A. S., Shulman, L. S., &amp; Sprafka, S. A. (1978). </w:t>
      </w:r>
      <w:r>
        <w:rPr>
          <w:i/>
          <w:iCs/>
        </w:rPr>
        <w:t xml:space="preserve">Medical Problem Solving: An Analysis of Clinical Reasoning</w:t>
      </w:r>
      <w:r>
        <w:t xml:space="preserve">. Harvard University Press.</w:t>
      </w:r>
    </w:p>
    <w:p>
      <w:pPr>
        <w:pStyle w:val="BodyJ"/>
        <w:keepNext w:val="false"/>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keepNext w:val="false"/>
      </w:pPr>
      <w:r>
        <w:t xml:space="preserve">Epstein, R. M. (1999). Mindful practice. </w:t>
      </w:r>
      <w:r>
        <w:rPr>
          <w:i/>
          <w:iCs/>
        </w:rPr>
        <w:t xml:space="preserve">JAMA, 282</w:t>
      </w:r>
      <w:r>
        <w:t xml:space="preserve">(9), 833–839.</w:t>
      </w:r>
    </w:p>
    <w:p>
      <w:pPr>
        <w:pStyle w:val="BodyJ"/>
        <w:keepNext w:val="false"/>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keepNext w:val="false"/>
      </w:pPr>
      <w:r>
        <w:t xml:space="preserve">Estrada, C. A., Isen, A. M., &amp; Young, M. J. (1997). Positive affect facilitates integration of information and decreases anchoring in reasoning among physicians. </w:t>
      </w:r>
      <w:r>
        <w:rPr>
          <w:i/>
          <w:iCs/>
        </w:rPr>
        <w:t xml:space="preserve">Organizational Behavior and Human Decision Processes, 72</w:t>
      </w:r>
      <w:r>
        <w:t xml:space="preserve">(1), 117–135.</w:t>
      </w:r>
    </w:p>
    <w:p>
      <w:pPr>
        <w:pStyle w:val="BodyJ"/>
        <w:keepNext w:val="false"/>
      </w:pPr>
      <w:r>
        <w:t xml:space="preserve">Eva, K. W. (2005). What every teacher needs to know about clinical reasoning. </w:t>
      </w:r>
      <w:r>
        <w:rPr>
          <w:i/>
          <w:iCs/>
        </w:rPr>
        <w:t xml:space="preserve">Medical Education, 39</w:t>
      </w:r>
      <w:r>
        <w:t xml:space="preserve">(1), 98–106.</w:t>
      </w:r>
    </w:p>
    <w:p>
      <w:pPr>
        <w:pStyle w:val="BodyJ"/>
        <w:keepNext w:val="false"/>
      </w:pPr>
      <w:r>
        <w:t xml:space="preserve">Eva, K. W., &amp; Regehr, G. (2005). Self-assessment in the health professions: A reformulation and research agenda. </w:t>
      </w:r>
      <w:r>
        <w:rPr>
          <w:i/>
          <w:iCs/>
        </w:rPr>
        <w:t xml:space="preserve">Academic Medicine, 80</w:t>
      </w:r>
      <w:r>
        <w:t xml:space="preserve">(10 Suppl), S46–S54.</w:t>
      </w:r>
    </w:p>
    <w:p>
      <w:pPr>
        <w:pStyle w:val="BodyJ"/>
        <w:keepNext w:val="false"/>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keepNext w:val="false"/>
      </w:pPr>
      <w:r>
        <w:t xml:space="preserve">Feinstein, A. R. (1967). </w:t>
      </w:r>
      <w:r>
        <w:rPr>
          <w:i/>
          <w:iCs/>
        </w:rPr>
        <w:t xml:space="preserve">Clinical Judgment</w:t>
      </w:r>
      <w:r>
        <w:t xml:space="preserve">. Williams &amp; Wilkins.</w:t>
      </w:r>
    </w:p>
    <w:p>
      <w:pPr>
        <w:pStyle w:val="BodyJ"/>
        <w:keepNext w:val="false"/>
      </w:pPr>
      <w:r>
        <w:t xml:space="preserve">Flavell, J. H. (1979). Metacognition and cognitive monitoring: A new area of cognitive-developmental inquiry. </w:t>
      </w:r>
      <w:r>
        <w:rPr>
          <w:i/>
          <w:iCs/>
        </w:rPr>
        <w:t xml:space="preserve">American Psychologist, 34</w:t>
      </w:r>
      <w:r>
        <w:t xml:space="preserve">(10), 906–911.</w:t>
      </w:r>
    </w:p>
    <w:p>
      <w:pPr>
        <w:pStyle w:val="BodyJ"/>
        <w:keepNext w:val="false"/>
      </w:pPr>
      <w:r>
        <w:t xml:space="preserve">Fleming, S. M. (2021). </w:t>
      </w:r>
      <w:r>
        <w:rPr>
          <w:i/>
          <w:iCs/>
        </w:rPr>
        <w:t xml:space="preserve">Know Thyself: The Science of Self-Awareness</w:t>
      </w:r>
      <w:r>
        <w:t xml:space="preserve">. Basic Books.</w:t>
      </w:r>
    </w:p>
    <w:p>
      <w:pPr>
        <w:pStyle w:val="BodyJ"/>
        <w:keepNext w:val="false"/>
      </w:pPr>
      <w:r>
        <w:t xml:space="preserve">Fleming, S. M., &amp; Dolan, R. J. (2012). The neural basis of metacognitive ability. </w:t>
      </w:r>
      <w:r>
        <w:rPr>
          <w:i/>
          <w:iCs/>
        </w:rPr>
        <w:t xml:space="preserve">Philosophical Transactions of the Royal Society B, 367</w:t>
      </w:r>
      <w:r>
        <w:t xml:space="preserve">(1594), 1338–1349.</w:t>
      </w:r>
    </w:p>
    <w:p>
      <w:pPr>
        <w:pStyle w:val="BodyJ"/>
        <w:keepNext w:val="false"/>
      </w:pPr>
      <w:r>
        <w:t xml:space="preserve">Fleming, S. M., &amp; Lau, H. C. (2014). How to measure metacognition. </w:t>
      </w:r>
      <w:r>
        <w:rPr>
          <w:i/>
          <w:iCs/>
        </w:rPr>
        <w:t xml:space="preserve">Frontiers in Human Neuroscience, 8</w:t>
      </w:r>
      <w:r>
        <w:t xml:space="preserve">, 443.</w:t>
      </w:r>
    </w:p>
    <w:p>
      <w:pPr>
        <w:pStyle w:val="BodyJ"/>
        <w:keepNext w:val="false"/>
      </w:pPr>
      <w:r>
        <w:t xml:space="preserve">Foucault, M. (1966). </w:t>
      </w:r>
      <w:r>
        <w:rPr>
          <w:i/>
          <w:iCs/>
        </w:rPr>
        <w:t xml:space="preserve">El nacimiento de la clínica: Una arqueología de la mirada médica</w:t>
      </w:r>
      <w:r>
        <w:t xml:space="preserve"> (F. Perujo, Trad.). Siglo XXI. (Obra original publicada en 1963).</w:t>
      </w:r>
    </w:p>
    <w:p>
      <w:pPr>
        <w:pStyle w:val="BodyJ"/>
        <w:keepNext w:val="false"/>
      </w:pPr>
      <w:r>
        <w:t xml:space="preserve">Fox, R. C. (1980). The evolution of medical uncertainty. </w:t>
      </w:r>
      <w:r>
        <w:rPr>
          <w:i/>
          <w:iCs/>
        </w:rPr>
        <w:t xml:space="preserve">Milbank Memorial Fund Quarterly: Health and Society, 58</w:t>
      </w:r>
      <w:r>
        <w:t xml:space="preserve">(1), 1–49.</w:t>
      </w:r>
    </w:p>
    <w:p>
      <w:pPr>
        <w:pStyle w:val="BodyJ"/>
        <w:keepNext w:val="false"/>
      </w:pPr>
      <w:r>
        <w:t xml:space="preserve">Fricker, M. (2007). </w:t>
      </w:r>
      <w:r>
        <w:rPr>
          <w:i/>
          <w:iCs/>
        </w:rPr>
        <w:t xml:space="preserve">Epistemic Injustice: Power and the Ethics of Knowing</w:t>
      </w:r>
      <w:r>
        <w:t xml:space="preserve">. Oxford University Press.</w:t>
      </w:r>
    </w:p>
    <w:p>
      <w:pPr>
        <w:pStyle w:val="BodyJ"/>
        <w:keepNext w:val="false"/>
      </w:pPr>
      <w:r>
        <w:t xml:space="preserve">Gadamer, H.-G. (1996). </w:t>
      </w:r>
      <w:r>
        <w:rPr>
          <w:i/>
          <w:iCs/>
        </w:rPr>
        <w:t xml:space="preserve">El estado oculto de la salud</w:t>
      </w:r>
      <w:r>
        <w:t xml:space="preserve"> (N. Machaín, Trad.). Gedisa.</w:t>
      </w:r>
    </w:p>
    <w:p>
      <w:pPr>
        <w:pStyle w:val="BodyJ"/>
        <w:keepNext w:val="false"/>
      </w:pPr>
      <w:r>
        <w:t xml:space="preserve">Gérvas, J., &amp; Pérez Fernández, M. (2013). </w:t>
      </w:r>
      <w:r>
        <w:rPr>
          <w:i/>
          <w:iCs/>
        </w:rPr>
        <w:t xml:space="preserve">Sano y salvo (y libre de intervenciones médicas innecesarias)</w:t>
      </w:r>
      <w:r>
        <w:t xml:space="preserve">. Los Libros del Lince.</w:t>
      </w:r>
    </w:p>
    <w:p>
      <w:pPr>
        <w:pStyle w:val="BodyJ"/>
        <w:keepNext w:val="false"/>
      </w:pPr>
      <w:r>
        <w:t xml:space="preserve">Gigerenzer, G., &amp; Gaissmaier, W. (2011). Heuristic decision making. </w:t>
      </w:r>
      <w:r>
        <w:rPr>
          <w:i/>
          <w:iCs/>
        </w:rPr>
        <w:t xml:space="preserve">Annual Review of Psychology, 62</w:t>
      </w:r>
      <w:r>
        <w:t xml:space="preserve">, 451–482.</w:t>
      </w:r>
    </w:p>
    <w:p>
      <w:pPr>
        <w:pStyle w:val="BodyJ"/>
        <w:keepNext w:val="false"/>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keepNext w:val="false"/>
      </w:pPr>
      <w:r>
        <w:t xml:space="preserve">Goddard, K., Roudsari, A., &amp; Wyatt, J. C. (2012). Automation bias: A systematic review of frequency, effect mediators, and mitigators. </w:t>
      </w:r>
      <w:r>
        <w:rPr>
          <w:i/>
          <w:iCs/>
        </w:rPr>
        <w:t xml:space="preserve">Journal of the American Medical Informatics Association, 19</w:t>
      </w:r>
      <w:r>
        <w:t xml:space="preserve">(1), 121–127.</w:t>
      </w:r>
    </w:p>
    <w:p>
      <w:pPr>
        <w:pStyle w:val="BodyJ"/>
        <w:keepNext w:val="false"/>
      </w:pPr>
      <w:r>
        <w:t xml:space="preserve">Goh, E., Gallo, R., Hom, J., Strong, E., Weng, Y., Kerman, H., et al. (2024). Large language model influence on diagnostic reasoning: A randomized clinical trial. </w:t>
      </w:r>
      <w:r>
        <w:rPr>
          <w:i/>
          <w:iCs/>
        </w:rPr>
        <w:t xml:space="preserve">JAMA Network Open, 7</w:t>
      </w:r>
      <w:r>
        <w:t xml:space="preserve">(10), e2440969.</w:t>
      </w:r>
    </w:p>
    <w:p>
      <w:pPr>
        <w:pStyle w:val="BodyJ"/>
        <w:keepNext w:val="false"/>
      </w:pPr>
      <w:r>
        <w:t xml:space="preserve">Goh, E., Gallo, R. J., Strong, E., Weng, Y., Kerman, H., Freed, J. A., et al. (2025). GPT-4 assistance for improvement of physician performance on patient care tasks: A randomized controlled trial. </w:t>
      </w:r>
      <w:r>
        <w:rPr>
          <w:i/>
          <w:iCs/>
        </w:rPr>
        <w:t xml:space="preserve">Nature Medicine, 31</w:t>
      </w:r>
      <w:r>
        <w:t xml:space="preserve">(4), 1233–1238.</w:t>
      </w:r>
    </w:p>
    <w:p>
      <w:pPr>
        <w:pStyle w:val="BodyJ"/>
        <w:keepNext w:val="false"/>
      </w:pPr>
      <w:r>
        <w:t xml:space="preserve">Graber, M. L., Franklin, N., &amp; Gordon, R. (2005). Diagnostic error in internal medicine. </w:t>
      </w:r>
      <w:r>
        <w:rPr>
          <w:i/>
          <w:iCs/>
        </w:rPr>
        <w:t xml:space="preserve">Archives of Internal Medicine, 165</w:t>
      </w:r>
      <w:r>
        <w:t xml:space="preserve">(13), 1493–1499.</w:t>
      </w:r>
    </w:p>
    <w:p>
      <w:pPr>
        <w:pStyle w:val="BodyJ"/>
        <w:keepNext w:val="false"/>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keepNext w:val="false"/>
      </w:pPr>
      <w:r>
        <w:t xml:space="preserve">Gracia, D. (2001). La deliberación moral: El método de la ética clínica. </w:t>
      </w:r>
      <w:r>
        <w:rPr>
          <w:i/>
          <w:iCs/>
        </w:rPr>
        <w:t xml:space="preserve">Medicina Clínica, 117</w:t>
      </w:r>
      <w:r>
        <w:t xml:space="preserve">(1), 18–23.</w:t>
      </w:r>
    </w:p>
    <w:p>
      <w:pPr>
        <w:pStyle w:val="BodyJ"/>
        <w:keepNext w:val="false"/>
      </w:pPr>
      <w:r>
        <w:t xml:space="preserve">Greenhalgh, T., Howick, J., &amp; Maskrey, N. (2014). Evidence based medicine: A movement in crisis? </w:t>
      </w:r>
      <w:r>
        <w:rPr>
          <w:i/>
          <w:iCs/>
        </w:rPr>
        <w:t xml:space="preserve">BMJ, 348</w:t>
      </w:r>
      <w:r>
        <w:t xml:space="preserve">, g3725.</w:t>
      </w:r>
    </w:p>
    <w:p>
      <w:pPr>
        <w:pStyle w:val="BodyJ"/>
        <w:keepNext w:val="false"/>
      </w:pPr>
      <w:r>
        <w:t xml:space="preserve">Greenhalgh, T., &amp; Hurwitz, B. (Eds.). (1998). </w:t>
      </w:r>
      <w:r>
        <w:rPr>
          <w:i/>
          <w:iCs/>
        </w:rPr>
        <w:t xml:space="preserve">Narrative Based Medicine: Dialogue and Discourse in Clinical Practice</w:t>
      </w:r>
      <w:r>
        <w:t xml:space="preserve">. BMJ Books.</w:t>
      </w:r>
    </w:p>
    <w:p>
      <w:pPr>
        <w:pStyle w:val="BodyJ"/>
        <w:keepNext w:val="false"/>
      </w:pPr>
      <w:r>
        <w:t xml:space="preserve">Groopman, J. (2007). </w:t>
      </w:r>
      <w:r>
        <w:rPr>
          <w:i/>
          <w:iCs/>
        </w:rPr>
        <w:t xml:space="preserve">How Doctors Think</w:t>
      </w:r>
      <w:r>
        <w:t xml:space="preserve">. Houghton Mifflin.</w:t>
      </w:r>
    </w:p>
    <w:p>
      <w:pPr>
        <w:pStyle w:val="BodyJ"/>
        <w:keepNext w:val="false"/>
      </w:pPr>
      <w:r>
        <w:t xml:space="preserve">Han, P. K. J., Klein, W. M. P., &amp; Arora, N. K. (2011). Varieties of uncertainty in health care: A conceptual taxonomy. </w:t>
      </w:r>
      <w:r>
        <w:rPr>
          <w:i/>
          <w:iCs/>
        </w:rPr>
        <w:t xml:space="preserve">Medical Decision Making, 31</w:t>
      </w:r>
      <w:r>
        <w:t xml:space="preserve">(6), 828–838.</w:t>
      </w:r>
    </w:p>
    <w:p>
      <w:pPr>
        <w:pStyle w:val="BodyJ"/>
        <w:keepNext w:val="false"/>
      </w:pPr>
      <w:r>
        <w:t xml:space="preserve">Hempel, C. G. (1965). Science and human values. In </w:t>
      </w:r>
      <w:r>
        <w:rPr>
          <w:i/>
          <w:iCs/>
        </w:rPr>
        <w:t xml:space="preserve">Aspects of Scientific Explanation and Other Essays in the Philosophy of Science</w:t>
      </w:r>
      <w:r>
        <w:t xml:space="preserve"> (pp. 81–96). Free Press.</w:t>
      </w:r>
    </w:p>
    <w:p>
      <w:pPr>
        <w:pStyle w:val="BodyJ"/>
        <w:keepNext w:val="false"/>
      </w:pPr>
      <w:r>
        <w:t xml:space="preserve">Hernán, M. A., &amp; Robins, J. M. (2020). </w:t>
      </w:r>
      <w:r>
        <w:rPr>
          <w:i/>
          <w:iCs/>
        </w:rPr>
        <w:t xml:space="preserve">Causal Inference: What If</w:t>
      </w:r>
      <w:r>
        <w:t xml:space="preserve">. Chapman &amp; Hall/CRC.</w:t>
      </w:r>
    </w:p>
    <w:p>
      <w:pPr>
        <w:pStyle w:val="BodyJ"/>
        <w:keepNext w:val="false"/>
      </w:pPr>
      <w:r>
        <w:t xml:space="preserve">Hernández, G., Bellomo, R., &amp; Bakker, J. (2019). The ten pitfalls of lactate clearance in sepsis. </w:t>
      </w:r>
      <w:r>
        <w:rPr>
          <w:i/>
          <w:iCs/>
        </w:rPr>
        <w:t xml:space="preserve">Intensive Care Medicine, 45</w:t>
      </w:r>
      <w:r>
        <w:t xml:space="preserve">(1), 82–85.</w:t>
      </w:r>
    </w:p>
    <w:p>
      <w:pPr>
        <w:pStyle w:val="BodyJ"/>
        <w:keepNext w:val="false"/>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keepNext w:val="false"/>
      </w:pPr>
      <w:r>
        <w:t xml:space="preserve">Hernández, G., Ospina-Tascón, G. A., Kattan, E., Ibarra-Estrada, M., Ramasco, F., Orozco, N.,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keepNext w:val="false"/>
      </w:pPr>
      <w:r>
        <w:t xml:space="preserve">Hoffrage, U., &amp; Gigerenzer, G. (1998). Using natural frequencies to improve diagnostic inferences. </w:t>
      </w:r>
      <w:r>
        <w:rPr>
          <w:i/>
          <w:iCs/>
        </w:rPr>
        <w:t xml:space="preserve">Academic Medicine, 73</w:t>
      </w:r>
      <w:r>
        <w:t xml:space="preserve">(5), 538–540.</w:t>
      </w:r>
    </w:p>
    <w:p>
      <w:pPr>
        <w:pStyle w:val="BodyJ"/>
        <w:keepNext w:val="false"/>
      </w:pPr>
      <w:r>
        <w:t xml:space="preserve">Huidobro, V. (1916). </w:t>
      </w:r>
      <w:r>
        <w:rPr>
          <w:i/>
          <w:iCs/>
        </w:rPr>
        <w:t xml:space="preserve">El espejo de agua</w:t>
      </w:r>
      <w:r>
        <w:t xml:space="preserve">. Orión.</w:t>
      </w:r>
    </w:p>
    <w:p>
      <w:pPr>
        <w:pStyle w:val="BodyJ"/>
        <w:keepNext w:val="false"/>
      </w:pPr>
      <w:r>
        <w:t xml:space="preserve">Hunter, K. M. (1991). </w:t>
      </w:r>
      <w:r>
        <w:rPr>
          <w:i/>
          <w:iCs/>
        </w:rPr>
        <w:t xml:space="preserve">Doctors' Stories: The Narrative Structure of Medical Knowledge</w:t>
      </w:r>
      <w:r>
        <w:t xml:space="preserve">. Princeton University Press.</w:t>
      </w:r>
    </w:p>
    <w:p>
      <w:pPr>
        <w:pStyle w:val="BodyJ"/>
        <w:keepNext w:val="false"/>
      </w:pPr>
      <w:r>
        <w:t xml:space="preserve">Hutchins, E. (1995). </w:t>
      </w:r>
      <w:r>
        <w:rPr>
          <w:i/>
          <w:iCs/>
        </w:rPr>
        <w:t xml:space="preserve">Cognition in the Wild</w:t>
      </w:r>
      <w:r>
        <w:t xml:space="preserve">. MIT Press.</w:t>
      </w:r>
    </w:p>
    <w:p>
      <w:pPr>
        <w:pStyle w:val="BodyJ"/>
        <w:keepNext w:val="false"/>
      </w:pPr>
      <w:r>
        <w:t xml:space="preserve">Hyland, K. (1998). </w:t>
      </w:r>
      <w:r>
        <w:rPr>
          <w:i/>
          <w:iCs/>
        </w:rPr>
        <w:t xml:space="preserve">Hedging in Scientific Research Articles</w:t>
      </w:r>
      <w:r>
        <w:t xml:space="preserve">. John Benjamins.</w:t>
      </w:r>
    </w:p>
    <w:p>
      <w:pPr>
        <w:pStyle w:val="BodyJ"/>
        <w:keepNext w:val="false"/>
      </w:pPr>
      <w:r>
        <w:t xml:space="preserve">Ji, Z., Lee, N., Frieske, R., Yu, T., Su, D., Xu, Y., et al. (2023). Survey of hallucination in natural language generation. </w:t>
      </w:r>
      <w:r>
        <w:rPr>
          <w:i/>
          <w:iCs/>
        </w:rPr>
        <w:t xml:space="preserve">ACM Computing Surveys, 55</w:t>
      </w:r>
      <w:r>
        <w:t xml:space="preserve">(12), Article 248.</w:t>
      </w:r>
    </w:p>
    <w:p>
      <w:pPr>
        <w:pStyle w:val="BodyJ"/>
        <w:keepNext w:val="false"/>
      </w:pPr>
      <w:r>
        <w:t xml:space="preserve">Jonsen, A. R., Siegler, M., &amp; Winslade, W. J. (2022). </w:t>
      </w:r>
      <w:r>
        <w:rPr>
          <w:i/>
          <w:iCs/>
        </w:rPr>
        <w:t xml:space="preserve">Clinical Ethics: A Practical Approach to Ethical Decisions in Clinical Medicine</w:t>
      </w:r>
      <w:r>
        <w:t xml:space="preserve"> (9.ª ed.). McGraw-Hill. (1.ª ed., 1982).</w:t>
      </w:r>
    </w:p>
    <w:p>
      <w:pPr>
        <w:pStyle w:val="BodyJ"/>
        <w:keepNext w:val="false"/>
      </w:pPr>
      <w:r>
        <w:t xml:space="preserve">Jonsen, A. R., &amp; Toulmin, S. (1988). </w:t>
      </w:r>
      <w:r>
        <w:rPr>
          <w:i/>
          <w:iCs/>
        </w:rPr>
        <w:t xml:space="preserve">The Abuse of Casuistry: A History of Moral Reasoning</w:t>
      </w:r>
      <w:r>
        <w:t xml:space="preserve">. University of California Press.</w:t>
      </w:r>
    </w:p>
    <w:p>
      <w:pPr>
        <w:pStyle w:val="BodyJ"/>
        <w:keepNext w:val="false"/>
      </w:pPr>
      <w:r>
        <w:t xml:space="preserve">Kadavath, S., Conerly, T., Askell, A., Henighan, T., Drain, D., Perez, E., et al. (2022). Language models (mostly) know what they know. </w:t>
      </w:r>
      <w:r>
        <w:rPr>
          <w:i/>
          <w:iCs/>
        </w:rPr>
        <w:t xml:space="preserve">arXiv preprint</w:t>
      </w:r>
      <w:r>
        <w:t xml:space="preserve">, arXiv:2207.05221.</w:t>
      </w:r>
    </w:p>
    <w:p>
      <w:pPr>
        <w:pStyle w:val="BodyJ"/>
        <w:keepNext w:val="false"/>
      </w:pPr>
      <w:r>
        <w:t xml:space="preserve">Kahneman, D. (2011). </w:t>
      </w:r>
      <w:r>
        <w:rPr>
          <w:i/>
          <w:iCs/>
        </w:rPr>
        <w:t xml:space="preserve">Thinking, Fast and Slow</w:t>
      </w:r>
      <w:r>
        <w:t xml:space="preserve">. Farrar, Straus and Giroux.</w:t>
      </w:r>
    </w:p>
    <w:p>
      <w:pPr>
        <w:pStyle w:val="BodyJ"/>
        <w:keepNext w:val="false"/>
      </w:pPr>
      <w:r>
        <w:t xml:space="preserve">Kahneman, D., &amp; Klein, G. (2009). Conditions for intuitive expertise: A failure to disagree. </w:t>
      </w:r>
      <w:r>
        <w:rPr>
          <w:i/>
          <w:iCs/>
        </w:rPr>
        <w:t xml:space="preserve">American Psychologist, 64</w:t>
      </w:r>
      <w:r>
        <w:t xml:space="preserve">(6), 515–526.</w:t>
      </w:r>
    </w:p>
    <w:p>
      <w:pPr>
        <w:pStyle w:val="BodyJ"/>
        <w:keepNext w:val="false"/>
      </w:pPr>
      <w:r>
        <w:t xml:space="preserve">Kassirer, J. P. (1989). Our stubborn quest for diagnostic certainty. </w:t>
      </w:r>
      <w:r>
        <w:rPr>
          <w:i/>
          <w:iCs/>
        </w:rPr>
        <w:t xml:space="preserve">New England Journal of Medicine, 320</w:t>
      </w:r>
      <w:r>
        <w:t xml:space="preserve">(22), 1489–1491.</w:t>
      </w:r>
    </w:p>
    <w:p>
      <w:pPr>
        <w:pStyle w:val="BodyJ"/>
        <w:keepNext w:val="false"/>
      </w:pPr>
      <w:r>
        <w:t xml:space="preserve">Kent, S. (1964). Words of estimative probability. </w:t>
      </w:r>
      <w:r>
        <w:rPr>
          <w:i/>
          <w:iCs/>
        </w:rPr>
        <w:t xml:space="preserve">Studies in Intelligence, 8</w:t>
      </w:r>
      <w:r>
        <w:t xml:space="preserve">(4).</w:t>
      </w:r>
    </w:p>
    <w:p>
      <w:pPr>
        <w:pStyle w:val="BodyJ"/>
        <w:keepNext w:val="false"/>
      </w:pPr>
      <w:r>
        <w:t xml:space="preserve">Kidd, I. J., &amp; Carel, H. (2017). Epistemic injustice and illness. </w:t>
      </w:r>
      <w:r>
        <w:rPr>
          <w:i/>
          <w:iCs/>
        </w:rPr>
        <w:t xml:space="preserve">Journal of Applied Philosophy, 34</w:t>
      </w:r>
      <w:r>
        <w:t xml:space="preserve">(2), 172–190.</w:t>
      </w:r>
    </w:p>
    <w:p>
      <w:pPr>
        <w:pStyle w:val="BodyJ"/>
        <w:keepNext w:val="false"/>
      </w:pPr>
      <w:r>
        <w:t xml:space="preserve">Kline, J. A., Mitchell, A. M., Kabrhel, C., Richman, P. B., &amp; Courtney, D. M. (2004). Clinical criteria to prevent unnecessary diagnostic testing in emergency department patients with suspected pulmonary embolism. </w:t>
      </w:r>
      <w:r>
        <w:rPr>
          <w:i/>
          <w:iCs/>
        </w:rPr>
        <w:t xml:space="preserve">Journal of Thrombosis and Haemostasis, 2</w:t>
      </w:r>
      <w:r>
        <w:t xml:space="preserve">(8), 1247–1255.</w:t>
      </w:r>
    </w:p>
    <w:p>
      <w:pPr>
        <w:pStyle w:val="BodyJ"/>
        <w:keepNext w:val="false"/>
      </w:pPr>
      <w:r>
        <w:t xml:space="preserve">Knight, F. H. (1921). </w:t>
      </w:r>
      <w:r>
        <w:rPr>
          <w:i/>
          <w:iCs/>
        </w:rPr>
        <w:t xml:space="preserve">Risk, Uncertainty and Profit</w:t>
      </w:r>
      <w:r>
        <w:t xml:space="preserve">. Houghton Mifflin.</w:t>
      </w:r>
    </w:p>
    <w:p>
      <w:pPr>
        <w:pStyle w:val="BodyJ"/>
        <w:keepNext w:val="false"/>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keepNext w:val="false"/>
      </w:pPr>
      <w:r>
        <w:t xml:space="preserve">Krasner, M. S., Epstein, R. M., Beckman, H., Suchman, A. L., Chapman, B., Mooney, C. J., et al. (2009). Association of an educational program in mindful communication with burnout, empathy, and attitudes among primary care physicians. </w:t>
      </w:r>
      <w:r>
        <w:rPr>
          <w:i/>
          <w:iCs/>
        </w:rPr>
        <w:t xml:space="preserve">JAMA, 302</w:t>
      </w:r>
      <w:r>
        <w:t xml:space="preserve">(12), 1284–1293.</w:t>
      </w:r>
    </w:p>
    <w:p>
      <w:pPr>
        <w:pStyle w:val="BodyJ"/>
        <w:keepNext w:val="false"/>
      </w:pPr>
      <w:r>
        <w:t xml:space="preserve">Lackey, J. (2008). </w:t>
      </w:r>
      <w:r>
        <w:rPr>
          <w:i/>
          <w:iCs/>
        </w:rPr>
        <w:t xml:space="preserve">Learning from Words: Testimony as a Source of Knowledge</w:t>
      </w:r>
      <w:r>
        <w:t xml:space="preserve">. Oxford University Press.</w:t>
      </w:r>
    </w:p>
    <w:p>
      <w:pPr>
        <w:pStyle w:val="BodyJ"/>
        <w:keepNext w:val="false"/>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keepNext w:val="false"/>
      </w:pPr>
      <w:r>
        <w:t xml:space="preserve">Landrigan, C. P., Rothschild, J. M., Cronin, J. W., Kaushal, R., Burdick, E., Katz, J. T., et al. (2004). Effect of reducing interns' work hours on serious medical errors in intensive care units. </w:t>
      </w:r>
      <w:r>
        <w:rPr>
          <w:i/>
          <w:iCs/>
        </w:rPr>
        <w:t xml:space="preserve">New England Journal of Medicine, 351</w:t>
      </w:r>
      <w:r>
        <w:t xml:space="preserve">(18), 1838–1848.</w:t>
      </w:r>
    </w:p>
    <w:p>
      <w:pPr>
        <w:pStyle w:val="BodyJ"/>
        <w:keepNext w:val="false"/>
      </w:pPr>
      <w:r>
        <w:t xml:space="preserve">Landrigan, C. P., Rahman, S. A., Sullivan, J. P., Vittinghoff, E., Barger, L. K., Sanderson, A. L., et al. (2020). Effect on patient safety of a resident physician schedule without 24-hour shifts. </w:t>
      </w:r>
      <w:r>
        <w:rPr>
          <w:i/>
          <w:iCs/>
        </w:rPr>
        <w:t xml:space="preserve">New England Journal of Medicine, 382</w:t>
      </w:r>
      <w:r>
        <w:t xml:space="preserve">(26), 2514–2523.</w:t>
      </w:r>
    </w:p>
    <w:p>
      <w:pPr>
        <w:pStyle w:val="BodyJ"/>
        <w:keepNext w:val="false"/>
      </w:pPr>
      <w:r>
        <w:t xml:space="preserve">Lee, P., Bubeck, S., &amp; Petro, J. (2023). Benefits, limits, and risks of GPT-4 as an AI chatbot for medicine. </w:t>
      </w:r>
      <w:r>
        <w:rPr>
          <w:i/>
          <w:iCs/>
        </w:rPr>
        <w:t xml:space="preserve">New England Journal of Medicine, 388</w:t>
      </w:r>
      <w:r>
        <w:t xml:space="preserve">, 1233–1239.</w:t>
      </w:r>
    </w:p>
    <w:p>
      <w:pPr>
        <w:pStyle w:val="BodyJ"/>
        <w:keepNext w:val="false"/>
      </w:pPr>
      <w:r>
        <w:t xml:space="preserve">Lifshitz, A. (2014). </w:t>
      </w:r>
      <w:r>
        <w:rPr>
          <w:i/>
          <w:iCs/>
        </w:rPr>
        <w:t xml:space="preserve">La nueva clínica</w:t>
      </w:r>
      <w:r>
        <w:t xml:space="preserve">. Academia Nacional de Medicina de México.</w:t>
      </w:r>
    </w:p>
    <w:p>
      <w:pPr>
        <w:pStyle w:val="BodyJ"/>
        <w:keepNext w:val="false"/>
      </w:pPr>
      <w:r>
        <w:t xml:space="preserve">Limb, C. J., &amp; Braun, A. R. (2008). Neural substrates of spontaneous musical performance: An fMRI study of jazz improvisation. </w:t>
      </w:r>
      <w:r>
        <w:rPr>
          <w:i/>
          <w:iCs/>
        </w:rPr>
        <w:t xml:space="preserve">PLoS ONE, 3</w:t>
      </w:r>
      <w:r>
        <w:t xml:space="preserve">(2), e1679.</w:t>
      </w:r>
    </w:p>
    <w:p>
      <w:pPr>
        <w:pStyle w:val="BodyJ"/>
        <w:keepNext w:val="false"/>
      </w:pPr>
      <w:r>
        <w:t xml:space="preserve">Linder, J. A., Doctor, J. N., Friedberg, M. W., Reyes Nieva, H., Birks, C., Meeker, D., et al. (2014). Time of day and the decision to prescribe antibiotics. </w:t>
      </w:r>
      <w:r>
        <w:rPr>
          <w:i/>
          <w:iCs/>
        </w:rPr>
        <w:t xml:space="preserve">JAMA Internal Medicine, 174</w:t>
      </w:r>
      <w:r>
        <w:t xml:space="preserve">(12), 2029–2031.</w:t>
      </w:r>
    </w:p>
    <w:p>
      <w:pPr>
        <w:pStyle w:val="BodyJ"/>
        <w:keepNext w:val="false"/>
      </w:pPr>
      <w:r>
        <w:t xml:space="preserve">Lukac, P. J., Turner, W., Vangala, S., Chin, A. T., Khalili, J., Shih, Y.-C. T., et al. (2025). Ambient AI scribes in clinical practice: A randomized trial. </w:t>
      </w:r>
      <w:r>
        <w:rPr>
          <w:i/>
          <w:iCs/>
        </w:rPr>
        <w:t xml:space="preserve">NEJM AI, 2</w:t>
      </w:r>
      <w:r>
        <w:t xml:space="preserve">(12), AIoa2501000.</w:t>
      </w:r>
    </w:p>
    <w:p>
      <w:pPr>
        <w:pStyle w:val="BodyJ"/>
        <w:keepNext w:val="false"/>
      </w:pPr>
      <w:r>
        <w:t xml:space="preserve">Mamede, S., Schmidt, H. G., &amp; Penaforte, J. C. (2008). Effects of reflective practice on the accuracy of medical diagnoses. </w:t>
      </w:r>
      <w:r>
        <w:rPr>
          <w:i/>
          <w:iCs/>
        </w:rPr>
        <w:t xml:space="preserve">Medical Education, 42</w:t>
      </w:r>
      <w:r>
        <w:t xml:space="preserve">(5), 468–475.</w:t>
      </w:r>
    </w:p>
    <w:p>
      <w:pPr>
        <w:pStyle w:val="BodyJ"/>
        <w:keepNext w:val="false"/>
      </w:pPr>
      <w:r>
        <w:t xml:space="preserve">Mamede, S., van Gog, T., van den Berge, K., Rikers, R. M. J. P., van Saase, J. L. C. M., van Guldener, C., et al. (2010). Effect of availability bias and reflective reasoning on diagnostic accuracy among internal medicine residents. </w:t>
      </w:r>
      <w:r>
        <w:rPr>
          <w:i/>
          <w:iCs/>
        </w:rPr>
        <w:t xml:space="preserve">JAMA, 304</w:t>
      </w:r>
      <w:r>
        <w:t xml:space="preserve">(11), 1198–1203.</w:t>
      </w:r>
    </w:p>
    <w:p>
      <w:pPr>
        <w:pStyle w:val="BodyJ"/>
        <w:keepNext w:val="false"/>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keepNext w:val="false"/>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keepNext w:val="false"/>
      </w:pPr>
      <w:r>
        <w:t xml:space="preserve">Maturana, H. R. (1970). </w:t>
      </w:r>
      <w:r>
        <w:rPr>
          <w:i/>
          <w:iCs/>
        </w:rPr>
        <w:t xml:space="preserve">Biology of cognition</w:t>
      </w:r>
      <w:r>
        <w:t xml:space="preserve"> (BCL Report 9.0). Biological Computer Laboratory, University of Illinois. Reimpreso en H. R. Maturana &amp; F. J. Varela (1980), </w:t>
      </w:r>
      <w:r>
        <w:rPr>
          <w:i/>
          <w:iCs/>
        </w:rPr>
        <w:t xml:space="preserve">Autopoiesis and Cognition: The Realization of the Living</w:t>
      </w:r>
      <w:r>
        <w:t xml:space="preserve"> (pp. 5–58). Reidel.</w:t>
      </w:r>
    </w:p>
    <w:p>
      <w:pPr>
        <w:pStyle w:val="BodyJ"/>
        <w:keepNext w:val="false"/>
      </w:pPr>
      <w:r>
        <w:t xml:space="preserve">Maturana, H. (1990). </w:t>
      </w:r>
      <w:r>
        <w:rPr>
          <w:i/>
          <w:iCs/>
        </w:rPr>
        <w:t xml:space="preserve">Emociones y lenguaje en educación y política</w:t>
      </w:r>
      <w:r>
        <w:t xml:space="preserve">. Hachette / CED.</w:t>
      </w:r>
    </w:p>
    <w:p>
      <w:pPr>
        <w:pStyle w:val="BodyJ"/>
        <w:keepNext w:val="false"/>
      </w:pPr>
      <w:r>
        <w:t xml:space="preserve">Maturana, H., &amp; Varela, F. (1984). </w:t>
      </w:r>
      <w:r>
        <w:rPr>
          <w:i/>
          <w:iCs/>
        </w:rPr>
        <w:t xml:space="preserve">El árbol del conocimiento: Las bases biológicas del entendimiento humano</w:t>
      </w:r>
      <w:r>
        <w:t xml:space="preserve">. Editorial Universitaria.</w:t>
      </w:r>
    </w:p>
    <w:p>
      <w:pPr>
        <w:pStyle w:val="BodyJ"/>
        <w:keepNext w:val="false"/>
      </w:pPr>
      <w:r>
        <w:t xml:space="preserve">McCoy, L. G., Manrai, A. K., &amp; Rodman, A. (2024). Large language models and the degradation of the medical record. </w:t>
      </w:r>
      <w:r>
        <w:rPr>
          <w:i/>
          <w:iCs/>
        </w:rPr>
        <w:t xml:space="preserve">New England Journal of Medicine, 391</w:t>
      </w:r>
      <w:r>
        <w:t xml:space="preserve">(17), 1561–1564.</w:t>
      </w:r>
    </w:p>
    <w:p>
      <w:pPr>
        <w:pStyle w:val="BodyJ"/>
        <w:keepNext w:val="false"/>
      </w:pPr>
      <w:r>
        <w:t xml:space="preserve">McDuff, D., Schaekermann, M., Tu, T., Palepu, A., Wang, A., Garrison, J., et al. (2025). Towards accurate differential diagnosis with large language models. </w:t>
      </w:r>
      <w:r>
        <w:rPr>
          <w:i/>
          <w:iCs/>
        </w:rPr>
        <w:t xml:space="preserve">Nature, 642</w:t>
      </w:r>
      <w:r>
        <w:t xml:space="preserve">(8067), 451–457.</w:t>
      </w:r>
    </w:p>
    <w:p>
      <w:pPr>
        <w:pStyle w:val="BodyJ"/>
        <w:keepNext w:val="false"/>
      </w:pPr>
      <w:r>
        <w:t xml:space="preserve">Metlay, J. P., Waterer, G. W., Long, A. C., Anzueto, A., Brozek, J., Crothers, K., et al. (2019). Diagnosis and treatment of adults with community-acquired pneumonia: An official clinical practice guideline of the American Thoracic Society and Infectious Diseases Society of America. </w:t>
      </w:r>
      <w:r>
        <w:rPr>
          <w:i/>
          <w:iCs/>
        </w:rPr>
        <w:t xml:space="preserve">American Journal of Respiratory and Critical Care Medicine, 200</w:t>
      </w:r>
      <w:r>
        <w:t xml:space="preserve">(7), e45–e67.</w:t>
      </w:r>
    </w:p>
    <w:p>
      <w:pPr>
        <w:pStyle w:val="BodyJ"/>
        <w:keepNext w:val="false"/>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keepNext w:val="false"/>
      </w:pPr>
      <w:r>
        <w:t xml:space="preserve">Monteiro, S., &amp; Norman, G. (2013). Diagnostic reasoning: Where we've been, where we're going. </w:t>
      </w:r>
      <w:r>
        <w:rPr>
          <w:i/>
          <w:iCs/>
        </w:rPr>
        <w:t xml:space="preserve">Teaching and Learning in Medicine, 25</w:t>
      </w:r>
      <w:r>
        <w:t xml:space="preserve">(Suppl 1), S26–S32.</w:t>
      </w:r>
    </w:p>
    <w:p>
      <w:pPr>
        <w:pStyle w:val="BodyJ"/>
        <w:keepNext w:val="false"/>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keepNext w:val="false"/>
      </w:pPr>
      <w:r>
        <w:t xml:space="preserve">Montgomery, K. (2006). </w:t>
      </w:r>
      <w:r>
        <w:rPr>
          <w:i/>
          <w:iCs/>
        </w:rPr>
        <w:t xml:space="preserve">How Doctors Think: Clinical Judgment and the Practice of Medicine</w:t>
      </w:r>
      <w:r>
        <w:t xml:space="preserve">. Oxford University Press.</w:t>
      </w:r>
    </w:p>
    <w:p>
      <w:pPr>
        <w:pStyle w:val="BodyJ"/>
        <w:keepNext w:val="false"/>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keepNext w:val="false"/>
      </w:pPr>
      <w:r>
        <w:t xml:space="preserve">National Academies of Sciences, Engineering, and Medicine. (2015). </w:t>
      </w:r>
      <w:r>
        <w:rPr>
          <w:i/>
          <w:iCs/>
        </w:rPr>
        <w:t xml:space="preserve">Improving Diagnosis in Health Care</w:t>
      </w:r>
      <w:r>
        <w:t xml:space="preserve">. The National Academies Press.</w:t>
      </w:r>
    </w:p>
    <w:p>
      <w:pPr>
        <w:pStyle w:val="BodyJ"/>
        <w:keepNext w:val="false"/>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keepNext w:val="false"/>
      </w:pPr>
      <w:r>
        <w:t xml:space="preserve">Newman-Toker, D. E., Nassery, N., Schaffer, A. C., Yu-Moe, C. W., Clemens, G. D., Wang, Z., et al. (2024). Burden of serious harms from diagnostic error in the USA. </w:t>
      </w:r>
      <w:r>
        <w:rPr>
          <w:i/>
          <w:iCs/>
        </w:rPr>
        <w:t xml:space="preserve">BMJ Quality &amp; Safety, 33</w:t>
      </w:r>
      <w:r>
        <w:t xml:space="preserve">(2), 109–120.</w:t>
      </w:r>
    </w:p>
    <w:p>
      <w:pPr>
        <w:pStyle w:val="BodyJ"/>
        <w:keepNext w:val="false"/>
      </w:pPr>
      <w:r>
        <w:t xml:space="preserve">Nicolle, L. E., Gupta, K., Bradley, S. F., Colgan, R., DeMuri, G. P., Drekonja, D., et al. (2019). Clinical practice guideline for the management of asymptomatic bacteriuria: 2019 update by the Infectious Diseases Society of America. </w:t>
      </w:r>
      <w:r>
        <w:rPr>
          <w:i/>
          <w:iCs/>
        </w:rPr>
        <w:t xml:space="preserve">Clinical Infectious Diseases, 68</w:t>
      </w:r>
      <w:r>
        <w:t xml:space="preserve">(10), e83–e110.</w:t>
      </w:r>
    </w:p>
    <w:p>
      <w:pPr>
        <w:pStyle w:val="BodyJ"/>
        <w:keepNext w:val="false"/>
      </w:pPr>
      <w:r>
        <w:t xml:space="preserve">Norman, G. (2005). Research in clinical reasoning: Past history and current trends. </w:t>
      </w:r>
      <w:r>
        <w:rPr>
          <w:i/>
          <w:iCs/>
        </w:rPr>
        <w:t xml:space="preserve">Medical Education, 39</w:t>
      </w:r>
      <w:r>
        <w:t xml:space="preserve">(4), 418–427.</w:t>
      </w:r>
    </w:p>
    <w:p>
      <w:pPr>
        <w:pStyle w:val="BodyJ"/>
        <w:keepNext w:val="false"/>
      </w:pPr>
      <w:r>
        <w:t xml:space="preserve">Norman, G. (2009). Dual processing and diagnostic errors. </w:t>
      </w:r>
      <w:r>
        <w:rPr>
          <w:i/>
          <w:iCs/>
        </w:rPr>
        <w:t xml:space="preserve">Advances in Health Sciences Education, 14</w:t>
      </w:r>
      <w:r>
        <w:t xml:space="preserve">(Suppl 1), 37–49.</w:t>
      </w:r>
    </w:p>
    <w:p>
      <w:pPr>
        <w:pStyle w:val="BodyJ"/>
        <w:keepNext w:val="false"/>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keepNext w:val="false"/>
      </w:pPr>
      <w:r>
        <w:t xml:space="preserve">Novoa Jurado, A. J. (2025). Terapia epistémica del conocimiento clínico. </w:t>
      </w:r>
      <w:r>
        <w:rPr>
          <w:i/>
          <w:iCs/>
        </w:rPr>
        <w:t xml:space="preserve">Revista Clínica de Medicina de Familia, 18</w:t>
      </w:r>
      <w:r>
        <w:t xml:space="preserve">(3), 274–282.</w:t>
      </w:r>
    </w:p>
    <w:p>
      <w:pPr>
        <w:pStyle w:val="BodyJ"/>
        <w:keepNext w:val="false"/>
      </w:pPr>
      <w:r>
        <w:t xml:space="preserve">Obermeyer, Z., Powers, B., Vogeli, C., &amp; Mullainathan, S. (2019). Dissecting racial bias in an algorithm used to manage the health of populations. </w:t>
      </w:r>
      <w:r>
        <w:rPr>
          <w:i/>
          <w:iCs/>
        </w:rPr>
        <w:t xml:space="preserve">Science, 366</w:t>
      </w:r>
      <w:r>
        <w:t xml:space="preserve">(6464), 447–453.</w:t>
      </w:r>
    </w:p>
    <w:p>
      <w:pPr>
        <w:pStyle w:val="BodyJ"/>
        <w:keepNext w:val="false"/>
      </w:pPr>
      <w:r>
        <w:t xml:space="preserve">Panicek, D. M., &amp; Hricak, H. (2016). How sure are you, doctor? A standardized lexicon to describe the radiologist's level of certainty. </w:t>
      </w:r>
      <w:r>
        <w:rPr>
          <w:i/>
          <w:iCs/>
        </w:rPr>
        <w:t xml:space="preserve">American Journal of Roentgenology, 207</w:t>
      </w:r>
      <w:r>
        <w:t xml:space="preserve">(1), 2–3.</w:t>
      </w:r>
    </w:p>
    <w:p>
      <w:pPr>
        <w:pStyle w:val="BodyJ"/>
        <w:keepNext w:val="false"/>
      </w:pPr>
      <w:r>
        <w:t xml:space="preserve">Parra, N. (1954). </w:t>
      </w:r>
      <w:r>
        <w:rPr>
          <w:i/>
          <w:iCs/>
        </w:rPr>
        <w:t xml:space="preserve">Poemas y antipoemas</w:t>
      </w:r>
      <w:r>
        <w:t xml:space="preserve">. Nascimento.</w:t>
      </w:r>
    </w:p>
    <w:p>
      <w:pPr>
        <w:pStyle w:val="BodyJ"/>
        <w:keepNext w:val="false"/>
      </w:pPr>
      <w:r>
        <w:t xml:space="preserve">Parra, N. (1969). </w:t>
      </w:r>
      <w:r>
        <w:rPr>
          <w:i/>
          <w:iCs/>
        </w:rPr>
        <w:t xml:space="preserve">Obra gruesa</w:t>
      </w:r>
      <w:r>
        <w:t xml:space="preserve">. Editorial Universitaria.</w:t>
      </w:r>
    </w:p>
    <w:p>
      <w:pPr>
        <w:pStyle w:val="BodyJ"/>
        <w:keepNext w:val="false"/>
      </w:pPr>
      <w:r>
        <w:t xml:space="preserve">Pauker, S. G., &amp; Kassirer, J. P. (1980). The threshold approach to clinical decision making. </w:t>
      </w:r>
      <w:r>
        <w:rPr>
          <w:i/>
          <w:iCs/>
        </w:rPr>
        <w:t xml:space="preserve">New England Journal of Medicine, 302</w:t>
      </w:r>
      <w:r>
        <w:t xml:space="preserve">(20), 1109–1117.</w:t>
      </w:r>
    </w:p>
    <w:p>
      <w:pPr>
        <w:pStyle w:val="BodyJ"/>
        <w:keepNext w:val="false"/>
      </w:pPr>
      <w:r>
        <w:t xml:space="preserve">Pearl, J., &amp; Mackenzie, D. (2018). </w:t>
      </w:r>
      <w:r>
        <w:rPr>
          <w:i/>
          <w:iCs/>
        </w:rPr>
        <w:t xml:space="preserve">The Book of Why: The New Science of Cause and Effect</w:t>
      </w:r>
      <w:r>
        <w:t xml:space="preserve">. Basic Books.</w:t>
      </w:r>
    </w:p>
    <w:p>
      <w:pPr>
        <w:pStyle w:val="BodyJ"/>
        <w:keepNext w:val="false"/>
      </w:pPr>
      <w:r>
        <w:t xml:space="preserve">Peirce, C. S. (1878). Deduction, induction, and hypothesis. </w:t>
      </w:r>
      <w:r>
        <w:rPr>
          <w:i/>
          <w:iCs/>
        </w:rPr>
        <w:t xml:space="preserve">Popular Science Monthly, 13</w:t>
      </w:r>
      <w:r>
        <w:t xml:space="preserve">, 470–482.</w:t>
      </w:r>
    </w:p>
    <w:p>
      <w:pPr>
        <w:pStyle w:val="BodyJ"/>
        <w:keepNext w:val="false"/>
      </w:pPr>
      <w:r>
        <w:t xml:space="preserve">Peirce, C. S. (1934). </w:t>
      </w:r>
      <w:r>
        <w:rPr>
          <w:i/>
          <w:iCs/>
        </w:rPr>
        <w:t xml:space="preserve">Collected Papers of Charles Sanders Peirce: Vol. 5. Pragmatism and Pragmaticism</w:t>
      </w:r>
      <w:r>
        <w:t xml:space="preserve"> (C. Hartshorne &amp; P. Weiss, Eds.). Harvard University Press.</w:t>
      </w:r>
    </w:p>
    <w:p>
      <w:pPr>
        <w:pStyle w:val="BodyJ"/>
        <w:keepNext w:val="false"/>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keepNext w:val="false"/>
      </w:pPr>
      <w:r>
        <w:t xml:space="preserve">Pepys, M. B., &amp; Hirschfield, G. M. (2003). C-reactive protein: A critical update. </w:t>
      </w:r>
      <w:r>
        <w:rPr>
          <w:i/>
          <w:iCs/>
        </w:rPr>
        <w:t xml:space="preserve">Journal of Clinical Investigation, 111</w:t>
      </w:r>
      <w:r>
        <w:t xml:space="preserve">(12), 1805–1812.</w:t>
      </w:r>
    </w:p>
    <w:p>
      <w:pPr>
        <w:pStyle w:val="BodyJ"/>
        <w:keepNext w:val="false"/>
      </w:pPr>
      <w:r>
        <w:t xml:space="preserve">Philibert, I. (2005). Sleep loss and performance in residents and nonphysicians: A meta-analytic examination. </w:t>
      </w:r>
      <w:r>
        <w:rPr>
          <w:i/>
          <w:iCs/>
        </w:rPr>
        <w:t xml:space="preserve">Sleep, 28</w:t>
      </w:r>
      <w:r>
        <w:t xml:space="preserve">(11), 1392–1402.</w:t>
      </w:r>
    </w:p>
    <w:p>
      <w:pPr>
        <w:pStyle w:val="BodyJ"/>
        <w:keepNext w:val="false"/>
      </w:pPr>
      <w:r>
        <w:t xml:space="preserve">Polanyi, M. (1966). </w:t>
      </w:r>
      <w:r>
        <w:rPr>
          <w:i/>
          <w:iCs/>
        </w:rPr>
        <w:t xml:space="preserve">The Tacit Dimension</w:t>
      </w:r>
      <w:r>
        <w:t xml:space="preserve">. University of Chicago Press.</w:t>
      </w:r>
    </w:p>
    <w:p>
      <w:pPr>
        <w:pStyle w:val="BodyJ"/>
        <w:keepNext w:val="false"/>
      </w:pPr>
      <w:r>
        <w:t xml:space="preserve">Popper, K. R. (1959). </w:t>
      </w:r>
      <w:r>
        <w:rPr>
          <w:i/>
          <w:iCs/>
        </w:rPr>
        <w:t xml:space="preserve">The Logic of Scientific Discovery</w:t>
      </w:r>
      <w:r>
        <w:t xml:space="preserve">. Hutchinson.</w:t>
      </w:r>
    </w:p>
    <w:p>
      <w:pPr>
        <w:pStyle w:val="BodyJ"/>
        <w:keepNext w:val="false"/>
      </w:pPr>
      <w:r>
        <w:t xml:space="preserve">Qazi, I. A., Ali, A., Khawaja, A. U., Akhtar, M. J., Sheikh, A. Z., &amp; Alizai, M. H. (2026). Automation bias in large language model–assisted diagnostic reasoning among physicians trained in AI literacy: A randomized clinical trial. </w:t>
      </w:r>
      <w:r>
        <w:rPr>
          <w:i/>
          <w:iCs/>
        </w:rPr>
        <w:t xml:space="preserve">NEJM AI, 3</w:t>
      </w:r>
      <w:r>
        <w:t xml:space="preserve">(5), AIoa2501001.</w:t>
      </w:r>
    </w:p>
    <w:p>
      <w:pPr>
        <w:pStyle w:val="BodyJ"/>
        <w:keepNext w:val="false"/>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keepNext w:val="false"/>
      </w:pPr>
      <w:r>
        <w:t xml:space="preserve">Riquelme, A., Méndez, B., de la Fuente, P., Padilla, O., Benaglio, C., Sirhan, M., et al. (2011). Desarrollo y validación de encuesta de percepción del portafolio en estudiantes de medicina de pregrado. </w:t>
      </w:r>
      <w:r>
        <w:rPr>
          <w:i/>
          <w:iCs/>
        </w:rPr>
        <w:t xml:space="preserve">Revista Médica de Chile, 139</w:t>
      </w:r>
      <w:r>
        <w:t xml:space="preserve">(1), 45–53.</w:t>
      </w:r>
    </w:p>
    <w:p>
      <w:pPr>
        <w:pStyle w:val="BodyJ"/>
        <w:keepNext w:val="false"/>
      </w:pPr>
      <w:r>
        <w:t xml:space="preserve">Rockwood, K., Song, X., MacKnight, C., Bergman, H., Hogan, D. B., McDowell, I., et al. (2005). A global clinical measure of fitness and frailty in elderly people. </w:t>
      </w:r>
      <w:r>
        <w:rPr>
          <w:i/>
          <w:iCs/>
        </w:rPr>
        <w:t xml:space="preserve">CMAJ, 173</w:t>
      </w:r>
      <w:r>
        <w:t xml:space="preserve">(5), 489–495.</w:t>
      </w:r>
    </w:p>
    <w:p>
      <w:pPr>
        <w:pStyle w:val="BodyJ"/>
        <w:keepNext w:val="false"/>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keepNext w:val="false"/>
      </w:pPr>
      <w:r>
        <w:t xml:space="preserve">Rudner, R. (1953). The scientist qua scientist makes value judgments. </w:t>
      </w:r>
      <w:r>
        <w:rPr>
          <w:i/>
          <w:iCs/>
        </w:rPr>
        <w:t xml:space="preserve">Philosophy of Science, 20</w:t>
      </w:r>
      <w:r>
        <w:t xml:space="preserve">(1), 1–6.</w:t>
      </w:r>
    </w:p>
    <w:p>
      <w:pPr>
        <w:pStyle w:val="BodyJ"/>
        <w:keepNext w:val="false"/>
      </w:pPr>
      <w:r>
        <w:t xml:space="preserve">Sackett, D. L., Rosenberg, W. M. C., Gray, J. A. M., Haynes, R. B., &amp; Richardson, W. S. (1996). Evidence based medicine: What it is and what it isn't. </w:t>
      </w:r>
      <w:r>
        <w:rPr>
          <w:i/>
          <w:iCs/>
        </w:rPr>
        <w:t xml:space="preserve">BMJ, 312</w:t>
      </w:r>
      <w:r>
        <w:t xml:space="preserve">, 71–72.</w:t>
      </w:r>
    </w:p>
    <w:p>
      <w:pPr>
        <w:pStyle w:val="BodyJ"/>
        <w:keepNext w:val="false"/>
      </w:pPr>
      <w:r>
        <w:t xml:space="preserve">Salager-Meyer, F. (1994). Hedges and textual communicative function in medical English written discourse. </w:t>
      </w:r>
      <w:r>
        <w:rPr>
          <w:i/>
          <w:iCs/>
        </w:rPr>
        <w:t xml:space="preserve">English for Specific Purposes, 13</w:t>
      </w:r>
      <w:r>
        <w:t xml:space="preserve">(2), 149–170.</w:t>
      </w:r>
    </w:p>
    <w:p>
      <w:pPr>
        <w:pStyle w:val="BodyJ"/>
        <w:keepNext w:val="false"/>
      </w:pPr>
      <w:r>
        <w:t xml:space="preserve">Sandars, J. (2009). The use of reflection in medical education: AMEE Guide No. 44. </w:t>
      </w:r>
      <w:r>
        <w:rPr>
          <w:i/>
          <w:iCs/>
        </w:rPr>
        <w:t xml:space="preserve">Medical Teacher, 31</w:t>
      </w:r>
      <w:r>
        <w:t xml:space="preserve">(8), 685–695.</w:t>
      </w:r>
    </w:p>
    <w:p>
      <w:pPr>
        <w:pStyle w:val="BodyJ"/>
        <w:keepNext w:val="false"/>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keepNext w:val="false"/>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keepNext w:val="false"/>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keepNext w:val="false"/>
      </w:pPr>
      <w:r>
        <w:t xml:space="preserve">Schön, D. A. (1983). </w:t>
      </w:r>
      <w:r>
        <w:rPr>
          <w:i/>
          <w:iCs/>
        </w:rPr>
        <w:t xml:space="preserve">The Reflective Practitioner: How Professionals Think in Action</w:t>
      </w:r>
      <w:r>
        <w:t xml:space="preserve">. Basic Books.</w:t>
      </w:r>
    </w:p>
    <w:p>
      <w:pPr>
        <w:pStyle w:val="BodyJ"/>
        <w:keepNext w:val="false"/>
      </w:pPr>
      <w:r>
        <w:t xml:space="preserve">Shinagare, A. B., Lacson, R., Boland, G. W., Wang, A., Silverman, S. G., Mayo-Smith, W. W., et al. (2019). Radiologist preferences, agreement, and variability in phrases used to convey diagnostic certainty in radiology reports. </w:t>
      </w:r>
      <w:r>
        <w:rPr>
          <w:i/>
          <w:iCs/>
        </w:rPr>
        <w:t xml:space="preserve">Journal of the American College of Radiology, 16</w:t>
      </w:r>
      <w:r>
        <w:t xml:space="preserve">(4), 458–464.</w:t>
      </w:r>
    </w:p>
    <w:p>
      <w:pPr>
        <w:pStyle w:val="BodyJ"/>
        <w:keepNext w:val="false"/>
      </w:pPr>
      <w:r>
        <w:t xml:space="preserve">Shinagare, A. B., Alper, D. P., Hashemi, S. R., Chai, J. L., Hammer, M. M., Boland, G. W., et al. (2020). Early adoption of a certainty scale to improve diagnostic certainty communication. </w:t>
      </w:r>
      <w:r>
        <w:rPr>
          <w:i/>
          <w:iCs/>
        </w:rPr>
        <w:t xml:space="preserve">Journal of the American College of Radiology, 17</w:t>
      </w:r>
      <w:r>
        <w:t xml:space="preserve">(10), 1276–1284.</w:t>
      </w:r>
    </w:p>
    <w:p>
      <w:pPr>
        <w:pStyle w:val="BodyJ"/>
        <w:keepNext w:val="false"/>
      </w:pPr>
      <w:r>
        <w:t xml:space="preserve">Simpkin, A. L., &amp; Schwartzstein, R. M. (2016). Tolerating uncertainty — The next medical revolution? </w:t>
      </w:r>
      <w:r>
        <w:rPr>
          <w:i/>
          <w:iCs/>
        </w:rPr>
        <w:t xml:space="preserve">New England Journal of Medicine, 375</w:t>
      </w:r>
      <w:r>
        <w:t xml:space="preserve">, 1713–1715.</w:t>
      </w:r>
    </w:p>
    <w:p>
      <w:pPr>
        <w:pStyle w:val="BodyJ"/>
        <w:keepNext w:val="false"/>
      </w:pPr>
      <w:r>
        <w:t xml:space="preserve">Singhal, K., Azizi, S., Tu, T., Mahdavi, S. S., Wei, J., Chung, H. W., et al. (2023). Large language models encode clinical knowledge. </w:t>
      </w:r>
      <w:r>
        <w:rPr>
          <w:i/>
          <w:iCs/>
        </w:rPr>
        <w:t xml:space="preserve">Nature, 620</w:t>
      </w:r>
      <w:r>
        <w:t xml:space="preserve">, 172–180.</w:t>
      </w:r>
    </w:p>
    <w:p>
      <w:pPr>
        <w:pStyle w:val="BodyJ"/>
        <w:keepNext w:val="false"/>
      </w:pPr>
      <w:r>
        <w:t xml:space="preserve">Staal, J., Hooftman, J., Gunput, S. T. G., Mamede, S., Frens, M. A., Van den Broek, W. W., et al. (2022). Effect on diagnostic accuracy of cognitive reasoning tools for the workplace setting: Systematic review and meta-analysis. </w:t>
      </w:r>
      <w:r>
        <w:rPr>
          <w:i/>
          <w:iCs/>
        </w:rPr>
        <w:t xml:space="preserve">BMJ Quality &amp; Safety, 31</w:t>
      </w:r>
      <w:r>
        <w:t xml:space="preserve">(12), 899–910.</w:t>
      </w:r>
    </w:p>
    <w:p>
      <w:pPr>
        <w:pStyle w:val="BodyJ"/>
        <w:keepNext w:val="false"/>
      </w:pPr>
      <w:r>
        <w:t xml:space="preserve">Steinkamp, J., Kantrowitz, J. J., &amp; Airan-Javia, S. (2022). Prevalence and sources of duplicate information in the electronic medical record. </w:t>
      </w:r>
      <w:r>
        <w:rPr>
          <w:i/>
          <w:iCs/>
        </w:rPr>
        <w:t xml:space="preserve">JAMA Network Open, 5</w:t>
      </w:r>
      <w:r>
        <w:t xml:space="preserve">(9), e2233348.</w:t>
      </w:r>
    </w:p>
    <w:p>
      <w:pPr>
        <w:pStyle w:val="BodyJ"/>
        <w:keepNext w:val="false"/>
      </w:pPr>
      <w:r>
        <w:t xml:space="preserve">Stetson, P. D., Bakken, S., Wrenn, J. O., &amp; Siegler, E. L. (2012). Assessing electronic note quality using the Physician Documentation Quality Instrument (PDQI-9). </w:t>
      </w:r>
      <w:r>
        <w:rPr>
          <w:i/>
          <w:iCs/>
        </w:rPr>
        <w:t xml:space="preserve">Applied Clinical Informatics, 3</w:t>
      </w:r>
      <w:r>
        <w:t xml:space="preserve">(2), 164–174.</w:t>
      </w:r>
    </w:p>
    <w:p>
      <w:pPr>
        <w:pStyle w:val="BodyJ"/>
        <w:keepNext w:val="false"/>
      </w:pPr>
      <w:r>
        <w:t xml:space="preserve">Suzuki, S. (1970). </w:t>
      </w:r>
      <w:r>
        <w:rPr>
          <w:i/>
          <w:iCs/>
        </w:rPr>
        <w:t xml:space="preserve">Zen Mind, Beginner's Mind</w:t>
      </w:r>
      <w:r>
        <w:t xml:space="preserve">. Weatherhill. [Trad. esp.: </w:t>
      </w:r>
      <w:r>
        <w:rPr>
          <w:i/>
          <w:iCs/>
        </w:rPr>
        <w:t xml:space="preserve">Mente zen, mente de principiante</w:t>
      </w:r>
      <w:r>
        <w:t xml:space="preserve">.]</w:t>
      </w:r>
    </w:p>
    <w:p>
      <w:pPr>
        <w:pStyle w:val="BodyJ"/>
        <w:keepNext w:val="false"/>
      </w:pPr>
      <w:r>
        <w:t xml:space="preserve">Taboada, P. (2000). El derecho a morir con dignidad. </w:t>
      </w:r>
      <w:r>
        <w:rPr>
          <w:i/>
          <w:iCs/>
        </w:rPr>
        <w:t xml:space="preserve">Acta Bioethica, 6</w:t>
      </w:r>
      <w:r>
        <w:t xml:space="preserve">(1), 89–101.</w:t>
      </w:r>
    </w:p>
    <w:p>
      <w:pPr>
        <w:pStyle w:val="BodyJ"/>
        <w:keepNext w:val="false"/>
      </w:pPr>
      <w:r>
        <w:t xml:space="preserve">Tajer, C. (2008). </w:t>
      </w:r>
      <w:r>
        <w:rPr>
          <w:i/>
          <w:iCs/>
        </w:rPr>
        <w:t xml:space="preserve">El corazón enfermo: Puentes entre las emociones y el infarto</w:t>
      </w:r>
      <w:r>
        <w:t xml:space="preserve">. Libros del Zorzal.</w:t>
      </w:r>
    </w:p>
    <w:p>
      <w:pPr>
        <w:pStyle w:val="BodyJ"/>
        <w:keepNext w:val="false"/>
      </w:pPr>
      <w:r>
        <w:t xml:space="preserve">Thornicroft, G. (2011). Physical health disparities and mental illness: The scandal of premature mortality. </w:t>
      </w:r>
      <w:r>
        <w:rPr>
          <w:i/>
          <w:iCs/>
        </w:rPr>
        <w:t xml:space="preserve">British Journal of Psychiatry, 199</w:t>
      </w:r>
      <w:r>
        <w:t xml:space="preserve">(6), 441–442.</w:t>
      </w:r>
    </w:p>
    <w:p>
      <w:pPr>
        <w:pStyle w:val="BodyJ"/>
        <w:keepNext w:val="false"/>
      </w:pPr>
      <w:r>
        <w:t xml:space="preserve">Tierney, A. A., Gayre, G., Hoberman, B., Mattern, B., Ballesca, M., Kipnis, P., et al. (2024). Ambient artificial intelligence scribes to alleviate the burden of clinical documentation. </w:t>
      </w:r>
      <w:r>
        <w:rPr>
          <w:i/>
          <w:iCs/>
        </w:rPr>
        <w:t xml:space="preserve">NEJM Catalyst Innovations in Care Delivery, 5</w:t>
      </w:r>
      <w:r>
        <w:t xml:space="preserve">(3), CAT.23.0404.</w:t>
      </w:r>
    </w:p>
    <w:p>
      <w:pPr>
        <w:pStyle w:val="BodyJ"/>
        <w:keepNext w:val="false"/>
      </w:pPr>
      <w:r>
        <w:t xml:space="preserve">Tonelli, M. R. (1998). The philosophical limits of evidence-based medicine. </w:t>
      </w:r>
      <w:r>
        <w:rPr>
          <w:i/>
          <w:iCs/>
        </w:rPr>
        <w:t xml:space="preserve">Academic Medicine, 73</w:t>
      </w:r>
      <w:r>
        <w:t xml:space="preserve">(12), 1234–1240.</w:t>
      </w:r>
    </w:p>
    <w:p>
      <w:pPr>
        <w:pStyle w:val="BodyJ"/>
        <w:keepNext w:val="false"/>
      </w:pPr>
      <w:r>
        <w:t xml:space="preserve">Toulmin, S. (1958). </w:t>
      </w:r>
      <w:r>
        <w:rPr>
          <w:i/>
          <w:iCs/>
        </w:rPr>
        <w:t xml:space="preserve">The Uses of Argument</w:t>
      </w:r>
      <w:r>
        <w:t xml:space="preserve">. Cambridge University Press.</w:t>
      </w:r>
    </w:p>
    <w:p>
      <w:pPr>
        <w:pStyle w:val="BodyJ"/>
        <w:keepNext w:val="false"/>
      </w:pPr>
      <w:r>
        <w:t xml:space="preserve">Tversky, A., &amp; Kahneman, D. (1974). Judgment under uncertainty: Heuristics and biases. </w:t>
      </w:r>
      <w:r>
        <w:rPr>
          <w:i/>
          <w:iCs/>
        </w:rPr>
        <w:t xml:space="preserve">Science, 185</w:t>
      </w:r>
      <w:r>
        <w:t xml:space="preserve">(4157), 1124–1131.</w:t>
      </w:r>
    </w:p>
    <w:p>
      <w:pPr>
        <w:pStyle w:val="BodyJ"/>
        <w:keepNext w:val="false"/>
      </w:pPr>
      <w:r>
        <w:t xml:space="preserve">Van den Bruel, A., Thompson, M., Buntinx, F., &amp; Mant, D. (2012). Clinicians' gut feeling about serious infections in children: Observational study. </w:t>
      </w:r>
      <w:r>
        <w:rPr>
          <w:i/>
          <w:iCs/>
        </w:rPr>
        <w:t xml:space="preserve">BMJ, 345</w:t>
      </w:r>
      <w:r>
        <w:t xml:space="preserve">, e6144.</w:t>
      </w:r>
    </w:p>
    <w:p>
      <w:pPr>
        <w:pStyle w:val="BodyJ"/>
        <w:keepNext w:val="false"/>
      </w:pPr>
      <w:r>
        <w:t xml:space="preserve">Varela, F. J. (1996). </w:t>
      </w:r>
      <w:r>
        <w:rPr>
          <w:i/>
          <w:iCs/>
        </w:rPr>
        <w:t xml:space="preserve">Ética y acción</w:t>
      </w:r>
      <w:r>
        <w:t xml:space="preserve">. Dolmen.</w:t>
      </w:r>
    </w:p>
    <w:p>
      <w:pPr>
        <w:pStyle w:val="BodyJ"/>
        <w:keepNext w:val="false"/>
      </w:pPr>
      <w:r>
        <w:t xml:space="preserve">Wang, M. D., Khanna, R., &amp; Najafi, N. (2017). Characterizing the source of text in electronic health record progress notes. </w:t>
      </w:r>
      <w:r>
        <w:rPr>
          <w:i/>
          <w:iCs/>
        </w:rPr>
        <w:t xml:space="preserve">JAMA Internal Medicine, 177</w:t>
      </w:r>
      <w:r>
        <w:t xml:space="preserve">(8), 1212–1213.</w:t>
      </w:r>
    </w:p>
    <w:p>
      <w:pPr>
        <w:pStyle w:val="BodyJ"/>
        <w:keepNext w:val="false"/>
      </w:pPr>
      <w:r>
        <w:t xml:space="preserve">Weed, L. L. (1968a). Medical records that guide and teach. </w:t>
      </w:r>
      <w:r>
        <w:rPr>
          <w:i/>
          <w:iCs/>
        </w:rPr>
        <w:t xml:space="preserve">New England Journal of Medicine, 278</w:t>
      </w:r>
      <w:r>
        <w:t xml:space="preserve">(11), 593–600.</w:t>
      </w:r>
    </w:p>
    <w:p>
      <w:pPr>
        <w:pStyle w:val="BodyJ"/>
        <w:keepNext w:val="false"/>
      </w:pPr>
      <w:r>
        <w:t xml:space="preserve">Weed, L. L. (1968b). Medical records that guide and teach. </w:t>
      </w:r>
      <w:r>
        <w:rPr>
          <w:i/>
          <w:iCs/>
        </w:rPr>
        <w:t xml:space="preserve">New England Journal of Medicine, 278</w:t>
      </w:r>
      <w:r>
        <w:t xml:space="preserve">(12), 652–657.</w:t>
      </w:r>
    </w:p>
    <w:p>
      <w:pPr>
        <w:pStyle w:val="BodyJ"/>
        <w:keepNext w:val="false"/>
      </w:pPr>
      <w:r>
        <w:t xml:space="preserve">Whitcomb, D., Battaly, H., Baehr, J., &amp; Howard-Snyder, D. (2017). Intellectual humility: Owning our limitations. </w:t>
      </w:r>
      <w:r>
        <w:rPr>
          <w:i/>
          <w:iCs/>
        </w:rPr>
        <w:t xml:space="preserve">Philosophy and Phenomenological Research, 94</w:t>
      </w:r>
      <w:r>
        <w:t xml:space="preserve">(3), 509–539.</w:t>
      </w:r>
    </w:p>
    <w:p>
      <w:pPr>
        <w:pStyle w:val="BodyJ"/>
        <w:keepNext w:val="false"/>
      </w:pPr>
      <w:r>
        <w:t xml:space="preserve">Winograd, T., &amp; Flores, F. (1986). </w:t>
      </w:r>
      <w:r>
        <w:rPr>
          <w:i/>
          <w:iCs/>
        </w:rPr>
        <w:t xml:space="preserve">Understanding Computers and Cognition: A New Foundation for Design</w:t>
      </w:r>
      <w:r>
        <w:t xml:space="preserve">. Ablex.</w:t>
      </w:r>
    </w:p>
    <w:p>
      <w:pPr>
        <w:pStyle w:val="BodyJ"/>
        <w:keepNext w:val="false"/>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keepNext w:val="false"/>
      </w:pPr>
      <w:r>
        <w:t xml:space="preserve">Wong, A., Otles, E., Donnelly, J. P., Krumm, A., McCullough, J., DeTroyer-Cooley, O., et al. (2021). External validation of a widely implemented proprietary sepsis prediction model in hospitalized patients. </w:t>
      </w:r>
      <w:r>
        <w:rPr>
          <w:i/>
          <w:iCs/>
        </w:rPr>
        <w:t xml:space="preserve">JAMA Internal Medicine, 181</w:t>
      </w:r>
      <w:r>
        <w:t xml:space="preserve">(8), 1065–1070.</w:t>
      </w:r>
    </w:p>
    <w:p>
      <w:pPr>
        <w:pStyle w:val="BodyJ"/>
        <w:keepNext w:val="false"/>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keepNext w:val="false"/>
      </w:pPr>
      <w:r>
        <w:t xml:space="preserve">Wu, A. W. (2000). Medical error: The second victim. The doctor who makes the mistake needs help too. </w:t>
      </w:r>
      <w:r>
        <w:rPr>
          <w:i/>
          <w:iCs/>
        </w:rPr>
        <w:t xml:space="preserve">BMJ, 320</w:t>
      </w:r>
      <w:r>
        <w:t xml:space="preserve">(7237), 726–727.</w:t>
      </w:r>
    </w:p>
    <w:p>
      <w:pPr>
        <w:pStyle w:val="BodyJ"/>
        <w:keepNext w:val="false"/>
      </w:pPr>
      <w:r>
        <w:t xml:space="preserve">Xiong, M., Hu, Z., Lu, X., Li, Y., Fu, J., He, J., et al. (2024). Can LLMs express their uncertainty? An empirical evaluation of confidence elicitation in LLMs. </w:t>
      </w:r>
      <w:r>
        <w:rPr>
          <w:i/>
          <w:iCs/>
        </w:rPr>
        <w:t xml:space="preserve">Proceedings of ICLR 2024</w:t>
      </w:r>
      <w:r>
        <w:t xml:space="preserve">.</w:t>
      </w:r>
    </w:p>
    <w:p>
      <w:pPr>
        <w:pStyle w:val="BodyJ"/>
        <w:keepNext w:val="false"/>
      </w:pPr>
      <w:r>
        <w:t xml:space="preserve">Zampieri, F. G., Damiani, L. P., Bakker, J., Ospina-Tascón, G. A., Castro, R., Cavalcanti, A. B., et al.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p>
      <w:pPr>
        <w:pStyle w:val="BodyJ"/>
        <w:keepNext w:val="false"/>
      </w:pPr>
      <w:r>
        <w:t xml:space="preserve">Zwaan, L., Monteiro, S., Sherbino, J., Ilgen, J., Howey, B., &amp; Norman, G. (2017). Is bias in the eye of the beholder? A vignette study to assess recognition of cognitive biases in clinical case workups. </w:t>
      </w:r>
      <w:r>
        <w:rPr>
          <w:i/>
          <w:iCs/>
        </w:rPr>
        <w:t xml:space="preserve">BMJ Quality &amp; Safety, 26</w:t>
      </w:r>
      <w:r>
        <w:t xml:space="preserve">(2), 104–110.</w:t>
      </w:r>
    </w:p>
    <w:p>
      <w:pPr>
        <w:pStyle w:val="Heading1"/>
        <w:keepNext/>
        <w:keepLines/>
        <w:pageBreakBefore/>
        <w:spacing w:after="320" w:before="720"/>
      </w:pPr>
      <w:r>
        <w:rPr>
          <w:rFonts w:ascii="Gelasio" w:cs="Gelasio" w:eastAsia="Gelasio" w:hAnsi="Gelasio"/>
          <w:b/>
          <w:bCs/>
          <w:color w:val="2B2B2B"/>
          <w:sz w:val="34"/>
          <w:szCs w:val="34"/>
        </w:rPr>
        <w:t xml:space="preserve">Tarjeta: HII-D en sesenta segundos</w:t>
      </w:r>
    </w:p>
    <w:p>
      <w:pPr>
        <w:pStyle w:val="BodyJ"/>
        <w:keepNext w:val="false"/>
      </w:pPr>
      <w:r>
        <w:t xml:space="preserve">Para recortar y llevar en el bolsillo del delantal. Cuatro preguntas y un criterio de reapertura; en voz alta en la visita de sala o por escrito antes de firmar un alta. La versión completa está en el capítulo 15 y en el Apéndice 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HII-D en sesenta segundos</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1. ¿Qué vi y qué me contaron?</w:t>
            </w:r>
            <w:r>
              <w:rPr>
                <w:sz w:val="17"/>
                <w:szCs w:val="17"/>
              </w:rPr>
              <w:t xml:space="preserve"> Un hecho decisivo, con fuente, hora y método.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2. ¿Qué creo y cuánto derecho tengo a creerlo?</w:t>
            </w:r>
            <w:r>
              <w:rPr>
                <w:sz w:val="17"/>
                <w:szCs w:val="17"/>
              </w:rPr>
              <w:t xml:space="preserve"> La inferencia con su grado: demostrado, altamente probable, probable, posible, no demostrado.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3. ¿Qué daño importante podría producir si estoy equivocado?</w:t>
            </w:r>
            <w:r>
              <w:rPr>
                <w:sz w:val="17"/>
                <w:szCs w:val="17"/>
              </w:rPr>
              <w:t xml:space="preserve"> La incertidumbre peligrosa, no la lista completa de dudas.</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4. ¿Qué hago y qué me haría cambiar antes del próximo control?</w:t>
            </w:r>
            <w:r>
              <w:rPr>
                <w:sz w:val="17"/>
                <w:szCs w:val="17"/>
              </w:rPr>
              <w:t xml:space="preserve"> La decisión con su criterio de reapertura: qué cambio, quién lo detectará y cuándo.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Criterio de reapertura:</w:t>
            </w:r>
            <w:r>
              <w:rPr>
                <w:sz w:val="17"/>
                <w:szCs w:val="17"/>
              </w:rPr>
              <w:t xml:space="preserve"> «Reevaluar si …; responsable: …; plazo: …». Y una pregunta sobre el instrumento: ¿en qué condiciones estoy pensando esto?</w:t>
            </w:r>
          </w:p>
        </w:tc>
      </w:tr>
    </w:tbl>
    <w:p>
      <w:pPr>
        <w:spacing w:after="120"/>
      </w:pPr>
    </w:p>
    <w:p>
      <w:pPr>
        <w:pStyle w:val="BodyJ"/>
      </w:pPr>
      <w:r>
        <w:t xml:space="preserve">Léxico mínimo: demostrado · altamente probable · probable · posible · no demostrado · sin evidencia actual de · descartado, sólo con un método que excluya.</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lasio" w:cs="Gelasio" w:eastAsia="Gelasio" w:hAnsi="Gelasio"/>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lasio" w:cs="Gelasio" w:eastAsia="Gelasio" w:hAnsi="Gelasio"/>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abstractNum w:abstractNumId="27" w15:restartNumberingAfterBreak="0">
    <w:multiLevelType w:val="hybridMultilevel"/>
    <w:lvl w:ilvl="0" w15:tentative="1">
      <w:start w:val="1"/>
      <w:numFmt w:val="decimal"/>
      <w:lvlText w:val="%1."/>
      <w:lvlJc w:val="left"/>
      <w:pPr>
        <w:ind w:left="560" w:hanging="280"/>
      </w:pPr>
    </w:lvl>
  </w:abstractNum>
  <w:abstractNum w:abstractNumId="28"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nsecutiveHyphenLimit w:val="2"/>
  <w:doNotHyphenateCap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lasio" w:cs="Gelasio" w:eastAsia="Gelasio" w:hAnsi="Gelasio"/>
        <w:color w:val="2B2B2B"/>
        <w:sz w:val="22"/>
        <w:szCs w:val="22"/>
        <w:lang w:val="es-CL"/>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uppressAutoHyphens/>
    </w:pPr>
    <w:rPr>
      <w:color w:val="2E74B5"/>
      <w:sz w:val="32"/>
      <w:szCs w:val="32"/>
    </w:rPr>
  </w:style>
  <w:style w:type="paragraph" w:styleId="Heading2">
    <w:name w:val="Heading 2"/>
    <w:basedOn w:val="Normal"/>
    <w:next w:val="Normal"/>
    <w:qFormat/>
    <w:pPr>
      <w:suppressAutoHyphens/>
    </w:pPr>
    <w:rPr>
      <w:color w:val="2E74B5"/>
      <w:sz w:val="26"/>
      <w:szCs w:val="26"/>
    </w:rPr>
  </w:style>
  <w:style w:type="paragraph" w:styleId="Heading3">
    <w:name w:val="Heading 3"/>
    <w:basedOn w:val="Normal"/>
    <w:next w:val="Normal"/>
    <w:qFormat/>
    <w:pPr>
      <w:suppressAutoHyphens/>
    </w:pPr>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lasio" w:cs="Gelasio" w:eastAsia="Gelasio" w:hAnsi="Gelasio"/>
      <w:color w:val="2B2B2B"/>
      <w:sz w:val="22"/>
      <w:szCs w:val="22"/>
    </w:rPr>
  </w:style>
  <w:style w:type="paragraph" w:styleId="PartLabel">
    <w:name w:val="PartLabel"/>
    <w:basedOn w:val="Normal"/>
    <w:pPr>
      <w:suppressAutoHyphens/>
      <w:spacing w:after="160" w:before="2600"/>
      <w:jc w:val="center"/>
    </w:pPr>
    <w:rPr>
      <w:rFonts w:ascii="Gelasio" w:cs="Gelasio" w:eastAsia="Gelasio" w:hAnsi="Gelasio"/>
      <w:b/>
      <w:bCs/>
      <w:color w:val="8C2F2F"/>
      <w:spacing w:val="60"/>
      <w:sz w:val="24"/>
      <w:szCs w:val="24"/>
    </w:rPr>
  </w:style>
  <w:style w:type="paragraph" w:styleId="PartTitle">
    <w:name w:val="PartTitle"/>
    <w:basedOn w:val="Normal"/>
    <w:pPr>
      <w:suppressAutoHyphens/>
      <w:spacing w:after="480"/>
      <w:jc w:val="center"/>
    </w:pPr>
    <w:rPr>
      <w:rFonts w:ascii="Gelasio" w:cs="Gelasio" w:eastAsia="Gelasio" w:hAnsi="Gelasio"/>
      <w:b/>
      <w:bCs/>
      <w:color w:val="2B2B2B"/>
      <w:sz w:val="44"/>
      <w:szCs w:val="44"/>
    </w:rPr>
  </w:style>
  <w:style w:type="paragraph" w:styleId="PartIntro">
    <w:name w:val="PartIntro"/>
    <w:basedOn w:val="Normal"/>
    <w:pPr>
      <w:spacing w:after="160" w:line="300" w:lineRule="auto"/>
      <w:ind w:left="850" w:right="850"/>
      <w:jc w:val="both"/>
    </w:pPr>
    <w:rPr>
      <w:rFonts w:ascii="Gelasio" w:cs="Gelasio" w:eastAsia="Gelasio" w:hAnsi="Gelasio"/>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lasio" w:cs="Gelasio" w:eastAsia="Gelasio" w:hAnsi="Gelasio"/>
      <w:i/>
      <w:iCs/>
      <w:color w:val="2B2B2B"/>
      <w:sz w:val="23"/>
      <w:szCs w:val="23"/>
    </w:rPr>
  </w:style>
  <w:style w:type="paragraph" w:styleId="Caption">
    <w:name w:val="Caption"/>
    <w:basedOn w:val="Normal"/>
    <w:pPr>
      <w:suppressAutoHyphens/>
      <w:spacing w:after="280" w:before="60"/>
      <w:ind w:left="400" w:right="400"/>
      <w:jc w:val="center"/>
    </w:pPr>
    <w:rPr>
      <w:rFonts w:ascii="Gelasio" w:cs="Gelasio" w:eastAsia="Gelasio" w:hAnsi="Gelasio"/>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lasio" w:cs="Gelasio" w:eastAsia="Gelasio" w:hAnsi="Gelasio"/>
      <w:color w:val="2B2B2B"/>
      <w:sz w:val="22"/>
      <w:szCs w:val="22"/>
    </w:rPr>
  </w:style>
  <w:style w:type="paragraph" w:styleId="TallerHead">
    <w:name w:val="TallerHead"/>
    <w:basedOn w:val="Normal"/>
    <w:pPr>
      <w:pBdr>
        <w:top w:val="single" w:color="3D5A6C" w:sz="4" w:space="4"/>
        <w:bottom w:val="single" w:color="3D5A6C" w:sz="4" w:space="4"/>
      </w:pBdr>
      <w:shd w:fill="F2F0EC" w:val="clear"/>
      <w:suppressAutoHyphens/>
      <w:spacing w:after="100" w:before="260"/>
    </w:pPr>
    <w:rPr>
      <w:rFonts w:ascii="Gelasio" w:cs="Gelasio" w:eastAsia="Gelasio" w:hAnsi="Gelasio"/>
      <w:b/>
      <w:bCs/>
      <w:color w:val="3D5A6C"/>
      <w:sz w:val="22"/>
      <w:szCs w:val="22"/>
    </w:rPr>
  </w:style>
  <w:style w:type="paragraph" w:styleId="TocPart">
    <w:name w:val="TocPart"/>
    <w:basedOn w:val="Normal"/>
    <w:pPr>
      <w:suppressAutoHyphens/>
      <w:spacing w:after="60" w:before="160"/>
      <w:ind w:right="700"/>
    </w:pPr>
    <w:rPr>
      <w:rFonts w:ascii="Gelasio" w:cs="Gelasio" w:eastAsia="Gelasio" w:hAnsi="Gelasio"/>
      <w:b/>
      <w:bCs/>
      <w:color w:val="2B2B2B"/>
      <w:sz w:val="22"/>
      <w:szCs w:val="22"/>
    </w:rPr>
  </w:style>
  <w:style w:type="paragraph" w:styleId="TocEntry">
    <w:name w:val="TocEntry"/>
    <w:basedOn w:val="Normal"/>
    <w:pPr>
      <w:suppressAutoHyphens/>
      <w:spacing w:after="50"/>
      <w:ind w:left="280" w:right="700"/>
    </w:pPr>
    <w:rPr>
      <w:rFonts w:ascii="Gelasio" w:cs="Gelasio" w:eastAsia="Gelasio" w:hAnsi="Gelasio"/>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ce9c6a15614716687579eb9db52c2d481d4cd8c.png"/><Relationship Id="rId10" Type="http://schemas.openxmlformats.org/officeDocument/2006/relationships/image" Target="media/547ffa466193ae8a6831616d9a319329ce124424.png"/><Relationship Id="rId11" Type="http://schemas.openxmlformats.org/officeDocument/2006/relationships/image" Target="media/f2aaa03de533b1b072700caa1aa0306ea3abcc87.png"/><Relationship Id="rId12" Type="http://schemas.openxmlformats.org/officeDocument/2006/relationships/image" Target="media/02d3e74212772fde21e2e90d2ea26962556e4017.png"/><Relationship Id="rId13" Type="http://schemas.openxmlformats.org/officeDocument/2006/relationships/image" Target="media/1775b34dd96753ca5cd57961ecce5f5404de2903.png"/><Relationship Id="rId14" Type="http://schemas.openxmlformats.org/officeDocument/2006/relationships/image" Target="media/44afd8313e07ff21b28636d481df0116d99aa3d5.png"/><Relationship Id="rId15" Type="http://schemas.openxmlformats.org/officeDocument/2006/relationships/image" Target="media/becdb6429d2cf2257707de4197013bff192731df.png"/><Relationship Id="rId16" Type="http://schemas.openxmlformats.org/officeDocument/2006/relationships/image" Target="media/17a9ed2fda4921f76faf8097edd6aae5f8795c4e.png"/><Relationship Id="rId17" Type="http://schemas.openxmlformats.org/officeDocument/2006/relationships/image" Target="media/947ac4b7d5c05f35e78de6d587bb6c1766598157.png"/><Relationship Id="rId18" Type="http://schemas.openxmlformats.org/officeDocument/2006/relationships/image" Target="media/057c76dcc7f7edda793f7c812f9586712c4f7cc2.png"/><Relationship Id="rId19" Type="http://schemas.openxmlformats.org/officeDocument/2006/relationships/image" Target="media/7285fa1c83aace177a8dbd4f779e2b99c9f320f3.png"/><Relationship Id="rId20" Type="http://schemas.openxmlformats.org/officeDocument/2006/relationships/image" Target="media/d82a5888acadc2c251f149205e55bb3e3238da5d.png"/><Relationship Id="rId21" Type="http://schemas.openxmlformats.org/officeDocument/2006/relationships/image" Target="media/44322c7b9137694ecb7bb61f90db43f7e1e05a15.png"/><Relationship Id="rId22" Type="http://schemas.openxmlformats.org/officeDocument/2006/relationships/image" Target="media/965d14b6494f78fd5ac98ad458cba42d6f25fa1f.png"/><Relationship Id="rId23" Type="http://schemas.openxmlformats.org/officeDocument/2006/relationships/image" Target="media/55b815c8354d43b8fafab23d68b781c9a466c19f.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2026-10-17T02:36:11.038Z</dcterms:created>
  <dcterms:modified xsi:type="dcterms:W3CDTF">2026-10-17T02:36:11.038Z</dcterms:modified>
</cp:coreProperties>
</file>

<file path=docProps/custom.xml><?xml version="1.0" encoding="utf-8"?>
<Properties xmlns="http://schemas.openxmlformats.org/officeDocument/2006/custom-properties" xmlns:vt="http://schemas.openxmlformats.org/officeDocument/2006/docPropsVTypes"/>
</file>