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200" w:before="3600"/>
        <w:jc w:val="center"/>
      </w:pPr>
      <w:r>
        <w:rPr>
          <w:rFonts w:ascii="Georgia" w:cs="Georgia" w:eastAsia="Georgia" w:hAnsi="Georgia"/>
          <w:b/>
          <w:bCs/>
          <w:color w:val="2B2B2B"/>
          <w:sz w:val="56"/>
          <w:szCs w:val="56"/>
        </w:rPr>
        <w:t xml:space="preserve">HECHOS, INFERENCIAS</w:t>
      </w:r>
    </w:p>
    <w:p>
      <w:pPr>
        <w:suppressAutoHyphens/>
        <w:spacing w:after="340"/>
        <w:jc w:val="center"/>
      </w:pPr>
      <w:r>
        <w:rPr>
          <w:rFonts w:ascii="Georgia" w:cs="Georgia" w:eastAsia="Georgia" w:hAnsi="Georgia"/>
          <w:b/>
          <w:bCs/>
          <w:color w:val="2B2B2B"/>
          <w:sz w:val="56"/>
          <w:szCs w:val="56"/>
        </w:rPr>
        <w:t xml:space="preserve">E INCERTIDUMBRE</w:t>
      </w:r>
    </w:p>
    <w:p>
      <w:pPr>
        <w:suppressAutoHyphens/>
        <w:spacing w:after="120"/>
        <w:jc w:val="center"/>
      </w:pPr>
      <w:r>
        <w:rPr>
          <w:rFonts w:ascii="Georgia" w:cs="Georgia" w:eastAsia="Georgia" w:hAnsi="Georgia"/>
          <w:i/>
          <w:iCs/>
          <w:color w:val="3D5A6C"/>
          <w:sz w:val="28"/>
          <w:szCs w:val="28"/>
        </w:rPr>
        <w:t xml:space="preserve">Metacognición, lenguaje y decisión clínica</w:t>
      </w:r>
    </w:p>
    <w:p>
      <w:pPr>
        <w:suppressAutoHyphens/>
        <w:spacing w:after="2400"/>
        <w:jc w:val="center"/>
      </w:pPr>
      <w:r>
        <w:rPr>
          <w:rFonts w:ascii="Georgia" w:cs="Georgia" w:eastAsia="Georgia" w:hAnsi="Georgia"/>
          <w:color w:val="8A8A8A"/>
          <w:sz w:val="24"/>
          <w:szCs w:val="24"/>
        </w:rPr>
        <w:t xml:space="preserve">Una epistemología operativa para médicos</w:t>
      </w:r>
    </w:p>
    <w:p>
      <w:pPr>
        <w:suppressAutoHyphens/>
        <w:spacing w:after="100"/>
        <w:jc w:val="center"/>
      </w:pPr>
      <w:r>
        <w:rPr>
          <w:rFonts w:ascii="Georgia" w:cs="Georgia" w:eastAsia="Georgia" w:hAnsi="Georgia"/>
          <w:b/>
          <w:bCs/>
          <w:color w:val="2B2B2B"/>
          <w:spacing w:val="40"/>
          <w:sz w:val="30"/>
          <w:szCs w:val="30"/>
        </w:rPr>
        <w:t xml:space="preserve">DANIEL OPAZO</w:t>
      </w:r>
    </w:p>
    <w:p>
      <w:pPr>
        <w:suppressAutoHyphens/>
        <w:jc w:val="center"/>
      </w:pPr>
      <w:r>
        <w:rPr>
          <w:rFonts w:ascii="Georgia" w:cs="Georgia" w:eastAsia="Georgia" w:hAnsi="Georgia"/>
          <w:color w:val="8A8A8A"/>
          <w:sz w:val="22"/>
          <w:szCs w:val="22"/>
        </w:rPr>
        <w:t xml:space="preserve">2026 · Edición de trabajo revisada</w:t>
      </w:r>
    </w:p>
    <w:p>
      <w:pPr>
        <w:suppressAutoHyphens/>
      </w:pPr>
      <w:r>
        <w:br w:type="page"/>
      </w:r>
    </w:p>
    <w:p>
      <w:pPr>
        <w:suppressAutoHyphens/>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uppressAutoHyphens/>
        <w:spacing w:after="200"/>
      </w:pPr>
      <w:r>
        <w:rPr>
          <w:rFonts w:ascii="Georgia" w:cs="Georgia" w:eastAsia="Georgia" w:hAnsi="Georgia"/>
          <w:color w:val="2B2B2B"/>
          <w:sz w:val="20"/>
          <w:szCs w:val="20"/>
        </w:rPr>
        <w:t xml:space="preserve">Daniel Opazo</w:t>
      </w:r>
    </w:p>
    <w:p>
      <w:pPr>
        <w:suppressAutoHyphens/>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pPr>
        <w:suppressAutoHyphens/>
      </w:pPr>
      <w:r>
        <w:br w:type="page"/>
      </w:r>
    </w:p>
    <w:p>
      <w:pPr>
        <w:suppressAutoHyphens/>
        <w:spacing w:after="360" w:before="500"/>
      </w:pPr>
      <w:r>
        <w:rPr>
          <w:rFonts w:ascii="Georgia" w:cs="Georgia" w:eastAsia="Georgia" w:hAnsi="Georgia"/>
          <w:b/>
          <w:bCs/>
          <w:color w:val="2B2B2B"/>
          <w:sz w:val="34"/>
          <w:szCs w:val="34"/>
        </w:rPr>
        <w:t xml:space="preserve">Contenido</w:t>
      </w:r>
    </w:p>
    <w:p>
      <w:pPr>
        <w:pStyle w:val="TocPart"/>
        <w:tabs>
          <w:tab w:val="right" w:pos="9026" w:leader="dot"/>
        </w:tabs>
        <w:suppressAutoHyphens/>
      </w:pPr>
      <w:r>
        <w:t xml:space="preserve">Prefacio</w:t>
      </w:r>
      <w:r>
        <w:tab/>
      </w:r>
      <w:r>
        <w:rPr>
          <w:color w:val="8A8A8A"/>
        </w:rPr>
        <w:t xml:space="preserve">1</w:t>
      </w:r>
    </w:p>
    <w:p>
      <w:pPr>
        <w:pStyle w:val="TocPart"/>
        <w:tabs>
          <w:tab w:val="right" w:pos="9026" w:leader="dot"/>
        </w:tabs>
        <w:suppressAutoHyphens/>
      </w:pPr>
      <w:r>
        <w:t xml:space="preserve">Cómo leer este libro</w:t>
      </w:r>
      <w:r>
        <w:tab/>
      </w:r>
      <w:r>
        <w:rPr>
          <w:color w:val="8A8A8A"/>
        </w:rPr>
        <w:t xml:space="preserve">3</w:t>
      </w:r>
    </w:p>
    <w:p>
      <w:pPr>
        <w:pStyle w:val="TocPart"/>
        <w:tabs>
          <w:tab w:val="right" w:pos="9026" w:leader="dot"/>
        </w:tabs>
        <w:suppressAutoHyphens/>
      </w:pPr>
      <w:r>
        <w:t xml:space="preserve">Introducción. La medicina como práctica de conocimiento incompleto</w:t>
      </w:r>
      <w:r>
        <w:tab/>
      </w:r>
      <w:r>
        <w:rPr>
          <w:color w:val="8A8A8A"/>
        </w:rPr>
        <w:t xml:space="preserve">5</w:t>
      </w:r>
    </w:p>
    <w:p>
      <w:pPr>
        <w:pStyle w:val="TocPart"/>
        <w:tabs>
          <w:tab w:val="right" w:pos="9026" w:leader="dot"/>
        </w:tabs>
        <w:suppressAutoHyphens/>
      </w:pPr>
      <w:r>
        <w:t xml:space="preserve">PARTE I. Las capas del conocimiento clínico</w:t>
      </w:r>
      <w:r>
        <w:tab/>
      </w:r>
      <w:r>
        <w:rPr>
          <w:color w:val="8A8A8A"/>
        </w:rPr>
        <w:t xml:space="preserve">9</w:t>
      </w:r>
    </w:p>
    <w:p>
      <w:pPr>
        <w:pStyle w:val="TocEntry"/>
        <w:tabs>
          <w:tab w:val="right" w:pos="9026" w:leader="dot"/>
        </w:tabs>
        <w:suppressAutoHyphens/>
      </w:pPr>
      <w:r>
        <w:t xml:space="preserve">Capítulo 1. El hecho clínico: observación, medición y procedencia</w:t>
      </w:r>
      <w:r>
        <w:tab/>
      </w:r>
      <w:r>
        <w:rPr>
          <w:color w:val="8A8A8A"/>
        </w:rPr>
        <w:t xml:space="preserve">10</w:t>
      </w:r>
    </w:p>
    <w:p>
      <w:pPr>
        <w:pStyle w:val="TocEntry"/>
        <w:tabs>
          <w:tab w:val="right" w:pos="9026" w:leader="dot"/>
        </w:tabs>
        <w:suppressAutoHyphens/>
      </w:pPr>
      <w:r>
        <w:t xml:space="preserve">Capítulo 2. Inferir: del signo a la explicación</w:t>
      </w:r>
      <w:r>
        <w:tab/>
      </w:r>
      <w:r>
        <w:rPr>
          <w:color w:val="8A8A8A"/>
        </w:rPr>
        <w:t xml:space="preserve">16</w:t>
      </w:r>
    </w:p>
    <w:p>
      <w:pPr>
        <w:pStyle w:val="TocEntry"/>
        <w:tabs>
          <w:tab w:val="right" w:pos="9026" w:leader="dot"/>
        </w:tabs>
        <w:suppressAutoHyphens/>
      </w:pPr>
      <w:r>
        <w:t xml:space="preserve">Capítulo 3. Incertidumbre: una condición estructural</w:t>
      </w:r>
      <w:r>
        <w:tab/>
      </w:r>
      <w:r>
        <w:rPr>
          <w:color w:val="8A8A8A"/>
        </w:rPr>
        <w:t xml:space="preserve">21</w:t>
      </w:r>
    </w:p>
    <w:p>
      <w:pPr>
        <w:pStyle w:val="TocEntry"/>
        <w:tabs>
          <w:tab w:val="right" w:pos="9026" w:leader="dot"/>
        </w:tabs>
        <w:suppressAutoHyphens/>
      </w:pPr>
      <w:r>
        <w:t xml:space="preserve">Capítulo 4. Lenguaje clínico y densidad epistémica</w:t>
      </w:r>
      <w:r>
        <w:tab/>
      </w:r>
      <w:r>
        <w:rPr>
          <w:color w:val="8A8A8A"/>
        </w:rPr>
        <w:t xml:space="preserve">25</w:t>
      </w:r>
    </w:p>
    <w:p>
      <w:pPr>
        <w:pStyle w:val="TocEntry"/>
        <w:tabs>
          <w:tab w:val="right" w:pos="9026" w:leader="dot"/>
        </w:tabs>
        <w:suppressAutoHyphens/>
      </w:pPr>
      <w:r>
        <w:t xml:space="preserve">Interludio I. La ficha de Carmen</w:t>
      </w:r>
      <w:r>
        <w:tab/>
      </w:r>
      <w:r>
        <w:rPr>
          <w:color w:val="8A8A8A"/>
        </w:rPr>
        <w:t xml:space="preserve">30</w:t>
      </w:r>
    </w:p>
    <w:p>
      <w:pPr>
        <w:pStyle w:val="TocPart"/>
        <w:tabs>
          <w:tab w:val="right" w:pos="9026" w:leader="dot"/>
        </w:tabs>
        <w:suppressAutoHyphens/>
      </w:pPr>
      <w:r>
        <w:t xml:space="preserve">PARTE II. La mente que se observa</w:t>
      </w:r>
      <w:r>
        <w:tab/>
      </w:r>
      <w:r>
        <w:rPr>
          <w:color w:val="8A8A8A"/>
        </w:rPr>
        <w:t xml:space="preserve">32</w:t>
      </w:r>
    </w:p>
    <w:p>
      <w:pPr>
        <w:pStyle w:val="TocEntry"/>
        <w:tabs>
          <w:tab w:val="right" w:pos="9026" w:leader="dot"/>
        </w:tabs>
        <w:suppressAutoHyphens/>
      </w:pPr>
      <w:r>
        <w:t xml:space="preserve">Capítulo 5. Metacognición: monitorear y regular el propio juicio</w:t>
      </w:r>
      <w:r>
        <w:tab/>
      </w:r>
      <w:r>
        <w:rPr>
          <w:color w:val="8A8A8A"/>
        </w:rPr>
        <w:t xml:space="preserve">33</w:t>
      </w:r>
    </w:p>
    <w:p>
      <w:pPr>
        <w:pStyle w:val="TocEntry"/>
        <w:tabs>
          <w:tab w:val="right" w:pos="9026" w:leader="dot"/>
        </w:tabs>
        <w:suppressAutoHyphens/>
      </w:pPr>
      <w:r>
        <w:t xml:space="preserve">Capítulo 6. Pericia, intuición y conocimiento tácito</w:t>
      </w:r>
      <w:r>
        <w:tab/>
      </w:r>
      <w:r>
        <w:rPr>
          <w:color w:val="8A8A8A"/>
        </w:rPr>
        <w:t xml:space="preserve">39</w:t>
      </w:r>
    </w:p>
    <w:p>
      <w:pPr>
        <w:pStyle w:val="TocEntry"/>
        <w:tabs>
          <w:tab w:val="right" w:pos="9026" w:leader="dot"/>
        </w:tabs>
        <w:suppressAutoHyphens/>
      </w:pPr>
      <w:r>
        <w:t xml:space="preserve">Capítulo 7. Error, sesgo y ecología del diagnóstico</w:t>
      </w:r>
      <w:r>
        <w:tab/>
      </w:r>
      <w:r>
        <w:rPr>
          <w:color w:val="8A8A8A"/>
        </w:rPr>
        <w:t xml:space="preserve">43</w:t>
      </w:r>
    </w:p>
    <w:p>
      <w:pPr>
        <w:pStyle w:val="TocEntry"/>
        <w:tabs>
          <w:tab w:val="right" w:pos="9026" w:leader="dot"/>
        </w:tabs>
        <w:suppressAutoHyphens/>
      </w:pPr>
      <w:r>
        <w:t xml:space="preserve">Capítulo 8. Desacelerar: cuándo, en qué estado y con qué mente</w:t>
      </w:r>
      <w:r>
        <w:tab/>
      </w:r>
      <w:r>
        <w:rPr>
          <w:color w:val="8A8A8A"/>
        </w:rPr>
        <w:t xml:space="preserve">47</w:t>
      </w:r>
    </w:p>
    <w:p>
      <w:pPr>
        <w:pStyle w:val="TocEntry"/>
        <w:tabs>
          <w:tab w:val="right" w:pos="9026" w:leader="dot"/>
        </w:tabs>
        <w:suppressAutoHyphens/>
      </w:pPr>
      <w:r>
        <w:t xml:space="preserve">Interludio II. Lo que el equipo pensó</w:t>
      </w:r>
      <w:r>
        <w:tab/>
      </w:r>
      <w:r>
        <w:rPr>
          <w:color w:val="8A8A8A"/>
        </w:rPr>
        <w:t xml:space="preserve">52</w:t>
      </w:r>
    </w:p>
    <w:p>
      <w:pPr>
        <w:pStyle w:val="TocPart"/>
        <w:tabs>
          <w:tab w:val="right" w:pos="9026" w:leader="dot"/>
        </w:tabs>
        <w:suppressAutoHyphens/>
      </w:pPr>
      <w:r>
        <w:t xml:space="preserve">PARTE III. Decidir en el tiempo y con otros</w:t>
      </w:r>
      <w:r>
        <w:tab/>
      </w:r>
      <w:r>
        <w:rPr>
          <w:color w:val="8A8A8A"/>
        </w:rPr>
        <w:t xml:space="preserve">54</w:t>
      </w:r>
    </w:p>
    <w:p>
      <w:pPr>
        <w:pStyle w:val="TocEntry"/>
        <w:tabs>
          <w:tab w:val="right" w:pos="9026" w:leader="dot"/>
        </w:tabs>
        <w:suppressAutoHyphens/>
      </w:pPr>
      <w:r>
        <w:t xml:space="preserve">Capítulo 9. La evidencia y el caso singular</w:t>
      </w:r>
      <w:r>
        <w:tab/>
      </w:r>
      <w:r>
        <w:rPr>
          <w:color w:val="8A8A8A"/>
        </w:rPr>
        <w:t xml:space="preserve">55</w:t>
      </w:r>
    </w:p>
    <w:p>
      <w:pPr>
        <w:pStyle w:val="TocEntry"/>
        <w:tabs>
          <w:tab w:val="right" w:pos="9026" w:leader="dot"/>
        </w:tabs>
        <w:suppressAutoHyphens/>
      </w:pPr>
      <w:r>
        <w:t xml:space="preserve">Capítulo 10. Decidir sin certeza: umbrales, valores y bioética</w:t>
      </w:r>
      <w:r>
        <w:tab/>
      </w:r>
      <w:r>
        <w:rPr>
          <w:color w:val="8A8A8A"/>
        </w:rPr>
        <w:t xml:space="preserve">59</w:t>
      </w:r>
    </w:p>
    <w:p>
      <w:pPr>
        <w:pStyle w:val="TocEntry"/>
        <w:tabs>
          <w:tab w:val="right" w:pos="9026" w:leader="dot"/>
        </w:tabs>
        <w:suppressAutoHyphens/>
      </w:pPr>
      <w:r>
        <w:t xml:space="preserve">Capítulo 11. Temporalidad, trayectoria y razonamiento contrafactual</w:t>
      </w:r>
      <w:r>
        <w:tab/>
      </w:r>
      <w:r>
        <w:rPr>
          <w:color w:val="8A8A8A"/>
        </w:rPr>
        <w:t xml:space="preserve">65</w:t>
      </w:r>
    </w:p>
    <w:p>
      <w:pPr>
        <w:pStyle w:val="TocEntry"/>
        <w:tabs>
          <w:tab w:val="right" w:pos="9026" w:leader="dot"/>
        </w:tabs>
        <w:suppressAutoHyphens/>
      </w:pPr>
      <w:r>
        <w:t xml:space="preserve">Capítulo 12. La ficha clínica como instrumento de pensamiento</w:t>
      </w:r>
      <w:r>
        <w:tab/>
      </w:r>
      <w:r>
        <w:rPr>
          <w:color w:val="8A8A8A"/>
        </w:rPr>
        <w:t xml:space="preserve">69</w:t>
      </w:r>
    </w:p>
    <w:p>
      <w:pPr>
        <w:pStyle w:val="TocEntry"/>
        <w:tabs>
          <w:tab w:val="right" w:pos="9026" w:leader="dot"/>
        </w:tabs>
        <w:suppressAutoHyphens/>
      </w:pPr>
      <w:r>
        <w:t xml:space="preserve">Capítulo 13. Pensar con otros: equipos, desacuerdo y comunicación de la incertidumbre</w:t>
      </w:r>
      <w:r>
        <w:tab/>
      </w:r>
      <w:r>
        <w:rPr>
          <w:color w:val="8A8A8A"/>
        </w:rPr>
        <w:t xml:space="preserve">75</w:t>
      </w:r>
    </w:p>
    <w:p>
      <w:pPr>
        <w:pStyle w:val="TocEntry"/>
        <w:tabs>
          <w:tab w:val="right" w:pos="9026" w:leader="dot"/>
        </w:tabs>
        <w:suppressAutoHyphens/>
      </w:pPr>
      <w:r>
        <w:t xml:space="preserve">Interludio III. La decisión de Carmen</w:t>
      </w:r>
      <w:r>
        <w:tab/>
      </w:r>
      <w:r>
        <w:rPr>
          <w:color w:val="8A8A8A"/>
        </w:rPr>
        <w:t xml:space="preserve">80</w:t>
      </w:r>
    </w:p>
    <w:p>
      <w:pPr>
        <w:pStyle w:val="TocPart"/>
        <w:tabs>
          <w:tab w:val="right" w:pos="9026" w:leader="dot"/>
        </w:tabs>
        <w:suppressAutoHyphens/>
      </w:pPr>
      <w:r>
        <w:t xml:space="preserve">PARTE IV. Una epistemología operativa</w:t>
      </w:r>
      <w:r>
        <w:tab/>
      </w:r>
      <w:r>
        <w:rPr>
          <w:color w:val="8A8A8A"/>
        </w:rPr>
        <w:t xml:space="preserve">82</w:t>
      </w:r>
    </w:p>
    <w:p>
      <w:pPr>
        <w:pStyle w:val="TocEntry"/>
        <w:tabs>
          <w:tab w:val="right" w:pos="9026" w:leader="dot"/>
        </w:tabs>
        <w:suppressAutoHyphens/>
      </w:pPr>
      <w:r>
        <w:t xml:space="preserve">Capítulo 14. Humildad epistémica y responsabilidad clínica</w:t>
      </w:r>
      <w:r>
        <w:tab/>
      </w:r>
      <w:r>
        <w:rPr>
          <w:color w:val="8A8A8A"/>
        </w:rPr>
        <w:t xml:space="preserve">83</w:t>
      </w:r>
    </w:p>
    <w:p>
      <w:pPr>
        <w:pStyle w:val="TocEntry"/>
        <w:tabs>
          <w:tab w:val="right" w:pos="9026" w:leader="dot"/>
        </w:tabs>
        <w:suppressAutoHyphens/>
      </w:pPr>
      <w:r>
        <w:t xml:space="preserve">Capítulo 15. El método HII-D: una epistemología operativa</w:t>
      </w:r>
      <w:r>
        <w:tab/>
      </w:r>
      <w:r>
        <w:rPr>
          <w:color w:val="8A8A8A"/>
        </w:rPr>
        <w:t xml:space="preserve">89</w:t>
      </w:r>
    </w:p>
    <w:p>
      <w:pPr>
        <w:pStyle w:val="TocEntry"/>
        <w:tabs>
          <w:tab w:val="right" w:pos="9026" w:leader="dot"/>
        </w:tabs>
        <w:suppressAutoHyphens/>
      </w:pPr>
      <w:r>
        <w:t xml:space="preserve">Cuaderno de casos. Ocho viñetas para una lectura metacognitiva</w:t>
      </w:r>
      <w:r>
        <w:tab/>
      </w:r>
      <w:r>
        <w:rPr>
          <w:color w:val="8A8A8A"/>
        </w:rPr>
        <w:t xml:space="preserve">96</w:t>
      </w:r>
    </w:p>
    <w:p>
      <w:pPr>
        <w:pStyle w:val="TocEntry"/>
        <w:tabs>
          <w:tab w:val="right" w:pos="9026" w:leader="dot"/>
        </w:tabs>
        <w:suppressAutoHyphens/>
      </w:pPr>
      <w:r>
        <w:t xml:space="preserve">Capítulo 16. Enseñar y organizar la metacognición clínica</w:t>
      </w:r>
      <w:r>
        <w:tab/>
      </w:r>
      <w:r>
        <w:rPr>
          <w:color w:val="8A8A8A"/>
        </w:rPr>
        <w:t xml:space="preserve">106</w:t>
      </w:r>
    </w:p>
    <w:p>
      <w:pPr>
        <w:pStyle w:val="TocEntry"/>
        <w:tabs>
          <w:tab w:val="right" w:pos="9026" w:leader="dot"/>
        </w:tabs>
        <w:suppressAutoHyphens/>
      </w:pPr>
      <w:r>
        <w:t xml:space="preserve">Capítulo 17. La inteligencia artificial en el proceso clínico: roles, riesgos y defensas</w:t>
      </w:r>
      <w:r>
        <w:tab/>
      </w:r>
      <w:r>
        <w:rPr>
          <w:color w:val="8A8A8A"/>
        </w:rPr>
        <w:t xml:space="preserve">110</w:t>
      </w:r>
    </w:p>
    <w:p>
      <w:pPr>
        <w:pStyle w:val="TocEntry"/>
        <w:tabs>
          <w:tab w:val="right" w:pos="9026" w:leader="dot"/>
        </w:tabs>
        <w:suppressAutoHyphens/>
      </w:pPr>
      <w:r>
        <w:t xml:space="preserve">Capítulo 18. La palabra exacta: lo que la poesía sabe del juicio clínico</w:t>
      </w:r>
      <w:r>
        <w:tab/>
      </w:r>
      <w:r>
        <w:rPr>
          <w:color w:val="8A8A8A"/>
        </w:rPr>
        <w:t xml:space="preserve">118</w:t>
      </w:r>
    </w:p>
    <w:p>
      <w:pPr>
        <w:pStyle w:val="TocPart"/>
        <w:tabs>
          <w:tab w:val="right" w:pos="9026" w:leader="dot"/>
        </w:tabs>
        <w:suppressAutoHyphens/>
      </w:pPr>
      <w:r>
        <w:t xml:space="preserve">Conclusión. Una medicina lúcida</w:t>
      </w:r>
      <w:r>
        <w:tab/>
      </w:r>
      <w:r>
        <w:rPr>
          <w:color w:val="8A8A8A"/>
        </w:rPr>
        <w:t xml:space="preserve">121</w:t>
      </w:r>
    </w:p>
    <w:p>
      <w:pPr>
        <w:pStyle w:val="TocPart"/>
        <w:tabs>
          <w:tab w:val="right" w:pos="9026" w:leader="dot"/>
        </w:tabs>
        <w:suppressAutoHyphens/>
      </w:pPr>
      <w:r>
        <w:t xml:space="preserve">Apéndice A. Hoja HII-D para discusión de casos</w:t>
      </w:r>
      <w:r>
        <w:tab/>
      </w:r>
      <w:r>
        <w:rPr>
          <w:color w:val="8A8A8A"/>
        </w:rPr>
        <w:t xml:space="preserve">123</w:t>
      </w:r>
    </w:p>
    <w:p>
      <w:pPr>
        <w:pStyle w:val="TocPart"/>
        <w:tabs>
          <w:tab w:val="right" w:pos="9026" w:leader="dot"/>
        </w:tabs>
        <w:suppressAutoHyphens/>
      </w:pPr>
      <w:r>
        <w:t xml:space="preserve">Apéndice B. Léxico de certeza y pausa diagnóstica</w:t>
      </w:r>
      <w:r>
        <w:tab/>
      </w:r>
      <w:r>
        <w:rPr>
          <w:color w:val="8A8A8A"/>
        </w:rPr>
        <w:t xml:space="preserve">125</w:t>
      </w:r>
    </w:p>
    <w:p>
      <w:pPr>
        <w:pStyle w:val="TocPart"/>
        <w:tabs>
          <w:tab w:val="right" w:pos="9026" w:leader="dot"/>
        </w:tabs>
        <w:suppressAutoHyphens/>
      </w:pPr>
      <w:r>
        <w:t xml:space="preserve">Apéndice C. Guía de implementación en un servicio clínico</w:t>
      </w:r>
      <w:r>
        <w:tab/>
      </w:r>
      <w:r>
        <w:rPr>
          <w:color w:val="8A8A8A"/>
        </w:rPr>
        <w:t xml:space="preserve">127</w:t>
      </w:r>
    </w:p>
    <w:p>
      <w:pPr>
        <w:pStyle w:val="TocPart"/>
        <w:tabs>
          <w:tab w:val="right" w:pos="9026" w:leader="dot"/>
        </w:tabs>
        <w:suppressAutoHyphens/>
      </w:pPr>
      <w:r>
        <w:t xml:space="preserve">Apéndice D. Talleres</w:t>
      </w:r>
      <w:r>
        <w:tab/>
      </w:r>
      <w:r>
        <w:rPr>
          <w:color w:val="8A8A8A"/>
        </w:rPr>
        <w:t xml:space="preserve">130</w:t>
      </w:r>
    </w:p>
    <w:p>
      <w:pPr>
        <w:pStyle w:val="TocPart"/>
        <w:tabs>
          <w:tab w:val="right" w:pos="9026" w:leader="dot"/>
        </w:tabs>
        <w:suppressAutoHyphens/>
      </w:pPr>
      <w:r>
        <w:t xml:space="preserve">Apéndice E. Las preguntas para la próxima visita</w:t>
      </w:r>
      <w:r>
        <w:tab/>
      </w:r>
      <w:r>
        <w:rPr>
          <w:color w:val="8A8A8A"/>
        </w:rPr>
        <w:t xml:space="preserve">140</w:t>
      </w:r>
    </w:p>
    <w:p>
      <w:pPr>
        <w:pStyle w:val="TocPart"/>
        <w:tabs>
          <w:tab w:val="right" w:pos="9026" w:leader="dot"/>
        </w:tabs>
        <w:suppressAutoHyphens/>
      </w:pPr>
      <w:r>
        <w:t xml:space="preserve">Glosario</w:t>
      </w:r>
      <w:r>
        <w:tab/>
      </w:r>
      <w:r>
        <w:rPr>
          <w:color w:val="8A8A8A"/>
        </w:rPr>
        <w:t xml:space="preserve">144</w:t>
      </w:r>
    </w:p>
    <w:p>
      <w:pPr>
        <w:pStyle w:val="TocPart"/>
        <w:tabs>
          <w:tab w:val="right" w:pos="9026" w:leader="dot"/>
        </w:tabs>
        <w:suppressAutoHyphens/>
      </w:pPr>
      <w:r>
        <w:t xml:space="preserve">Índice analítico</w:t>
      </w:r>
      <w:r>
        <w:tab/>
      </w:r>
      <w:r>
        <w:rPr>
          <w:color w:val="8A8A8A"/>
        </w:rPr>
        <w:t xml:space="preserve">150</w:t>
      </w:r>
    </w:p>
    <w:p>
      <w:pPr>
        <w:pStyle w:val="TocPart"/>
        <w:tabs>
          <w:tab w:val="right" w:pos="9026" w:leader="dot"/>
        </w:tabs>
        <w:suppressAutoHyphens/>
      </w:pPr>
      <w:r>
        <w:t xml:space="preserve">Lista de figuras</w:t>
      </w:r>
      <w:r>
        <w:tab/>
      </w:r>
      <w:r>
        <w:rPr>
          <w:color w:val="8A8A8A"/>
        </w:rPr>
        <w:t xml:space="preserve">154</w:t>
      </w:r>
    </w:p>
    <w:p>
      <w:pPr>
        <w:pStyle w:val="TocPart"/>
        <w:tabs>
          <w:tab w:val="right" w:pos="9026" w:leader="dot"/>
        </w:tabs>
        <w:suppressAutoHyphens/>
      </w:pPr>
      <w:r>
        <w:t xml:space="preserve">Nota metodológica y estatuto de las afirmaciones</w:t>
      </w:r>
      <w:r>
        <w:tab/>
      </w:r>
      <w:r>
        <w:rPr>
          <w:color w:val="8A8A8A"/>
        </w:rPr>
        <w:t xml:space="preserve">155</w:t>
      </w:r>
    </w:p>
    <w:p>
      <w:pPr>
        <w:pStyle w:val="TocPart"/>
        <w:tabs>
          <w:tab w:val="right" w:pos="9026" w:leader="dot"/>
        </w:tabs>
        <w:suppressAutoHyphens/>
      </w:pPr>
      <w:r>
        <w:t xml:space="preserve">Referencias</w:t>
      </w:r>
      <w:r>
        <w:tab/>
      </w:r>
      <w:r>
        <w:rPr>
          <w:color w:val="8A8A8A"/>
        </w:rPr>
        <w:t xml:space="preserve">157</w:t>
      </w:r>
    </w:p>
    <w:p>
      <w:pPr>
        <w:pStyle w:val="TocPart"/>
        <w:tabs>
          <w:tab w:val="right" w:pos="9026" w:leader="dot"/>
        </w:tabs>
        <w:suppressAutoHyphens/>
      </w:pPr>
      <w:r>
        <w:t xml:space="preserve">Tarjeta: HII-D en sesenta segundos</w:t>
      </w:r>
      <w:r>
        <w:tab/>
      </w:r>
      <w:r>
        <w:rPr>
          <w:color w:val="8A8A8A"/>
        </w:rPr>
        <w:t xml:space="preserve">167</w:t>
      </w:r>
    </w:p>
    <w:p>
      <w:pPr>
        <w:sectPr>
          <w:pgSz w:w="11906" w:h="16838" w:orient="portrait"/>
          <w:pgMar w:top="1440" w:right="1440" w:bottom="1440" w:left="1440" w:header="708" w:footer="708" w:gutter="0"/>
          <w:pgNumType/>
          <w:docGrid w:linePitch="360"/>
        </w:sectPr>
      </w:pPr>
    </w:p>
    <w:p>
      <w:pPr>
        <w:pStyle w:val="Heading1"/>
        <w:keepNext/>
        <w:keepLines/>
        <w:pageBreakBefore/>
        <w:spacing w:after="320" w:before="720"/>
      </w:pPr>
      <w:r>
        <w:rPr>
          <w:rFonts w:ascii="Georgia" w:cs="Georgia" w:eastAsia="Georgia" w:hAnsi="Georgia"/>
          <w:b/>
          <w:bCs/>
          <w:color w:val="2B2B2B"/>
          <w:sz w:val="34"/>
          <w:szCs w:val="34"/>
        </w:rPr>
        <w:t xml:space="preserve">Prefacio</w:t>
      </w:r>
    </w:p>
    <w:p>
      <w:pPr>
        <w:pStyle w:val="BodyJ"/>
        <w:keepNext w:val="false"/>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keepNext w:val="false"/>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keepNext w:val="false"/>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keepNext/>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keepNext w:val="false"/>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keepNext w:val="false"/>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keepNext w:val="false"/>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keepNext w:val="false"/>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keepNext w:val="false"/>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keepNext w:val="false"/>
      </w:pPr>
      <w:r>
        <w:t xml:space="preserve">La aspiración del libro es modesta y exigente a la vez: favorecer una medicina capaz de afirmar con claridad, dudar con precisión y actuar con responsabilidad.</w:t>
      </w:r>
    </w:p>
    <w:p>
      <w:pPr>
        <w:pStyle w:val="Heading1"/>
        <w:keepNext/>
        <w:keepLines/>
        <w:pageBreakBefore/>
        <w:spacing w:after="320" w:before="720"/>
      </w:pPr>
      <w:r>
        <w:rPr>
          <w:rFonts w:ascii="Georgia" w:cs="Georgia" w:eastAsia="Georgia" w:hAnsi="Georgia"/>
          <w:b/>
          <w:bCs/>
          <w:color w:val="2B2B2B"/>
          <w:sz w:val="34"/>
          <w:szCs w:val="34"/>
        </w:rPr>
        <w:t xml:space="preserve">Cómo leer este libro</w:t>
      </w:r>
    </w:p>
    <w:p>
      <w:pPr>
        <w:pStyle w:val="BodyJ"/>
        <w:keepNext w:val="false"/>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keepNext w:val="false"/>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keepNext w:val="false"/>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keepNext w:val="false"/>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keepNext w:val="false"/>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keepNext w:val="false"/>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keepNext/>
        <w:keepLines/>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keepNext w:val="false"/>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keepNext w:val="false"/>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keepNext w:val="false"/>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keepNext w:val="false"/>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keepNext w:val="false"/>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keepNext w:val="false"/>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keepNext w:val="false"/>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keepNext w:val="false"/>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keepNext w:val="false"/>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keepNext w:val="false"/>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keepNext w:val="false"/>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keepNext w:val="false"/>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keepNext/>
        <w:spacing w:after="80" w:before="160"/>
      </w:pPr>
      <w:r>
        <w:rPr>
          <w:b/>
          <w:bCs/>
        </w:rPr>
        <w:t xml:space="preserve">Tres preguntas para la próxima visita.</w:t>
      </w:r>
    </w:p>
    <w:p>
      <w:pPr>
        <w:pStyle w:val="BodyJ"/>
        <w:keepNext/>
        <w:numPr>
          <w:ilvl w:val="0"/>
          <w:numId w:val="2"/>
        </w:numPr>
      </w:pPr>
      <w:r>
        <w:t xml:space="preserve">En la última nota que escribí, ¿qué afirmación era un dato y cuál era mi interpretación del dato?</w:t>
      </w:r>
    </w:p>
    <w:p>
      <w:pPr>
        <w:pStyle w:val="BodyJ"/>
        <w:keepNext/>
        <w:numPr>
          <w:ilvl w:val="0"/>
          <w:numId w:val="2"/>
        </w:numPr>
      </w:pPr>
      <w:r>
        <w:t xml:space="preserve">¿Qué frase de la ficha de mi paciente actual heredé de otra nota sin verificar su origen?</w:t>
      </w:r>
    </w:p>
    <w:p>
      <w:pPr>
        <w:pStyle w:val="BodyJ"/>
        <w:keepNext w:val="false"/>
        <w:numPr>
          <w:ilvl w:val="0"/>
          <w:numId w:val="2"/>
        </w:numPr>
      </w:pPr>
      <w:r>
        <w:t xml:space="preserve">¿Cuál es la decisión concreta que este caso me exige hoy, y qué me haría cambiarla?</w:t>
      </w:r>
    </w:p>
    <w:p>
      <w:pPr>
        <w:pStyle w:val="PartLabel"/>
        <w:keepNext/>
        <w:pageBreakBefore/>
      </w:pPr>
      <w:r>
        <w:t xml:space="preserve">PARTE I</w:t>
      </w:r>
    </w:p>
    <w:p>
      <w:pPr>
        <w:pStyle w:val="PartTitle"/>
        <w:keepNext/>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keepNext/>
        <w:keepLines/>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keepNext w:val="false"/>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keepNext/>
        <w:keepLines/>
        <w:spacing w:after="120" w:before="280"/>
      </w:pPr>
      <w:r>
        <w:rPr>
          <w:rFonts w:ascii="Georgia" w:cs="Georgia" w:eastAsia="Georgia" w:hAnsi="Georgia"/>
          <w:b/>
          <w:bCs/>
          <w:color w:val="2B2B2B"/>
          <w:sz w:val="25"/>
          <w:szCs w:val="25"/>
        </w:rPr>
        <w:t xml:space="preserve">Los datos no llegan desnudos</w:t>
      </w:r>
    </w:p>
    <w:p>
      <w:pPr>
        <w:pStyle w:val="BodyJ"/>
        <w:keepNext w:val="false"/>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keepNext w:val="false"/>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keepNext w:val="false"/>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keepNext w:val="false"/>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keepNext w:val="false"/>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keepNext/>
        <w:keepLines/>
        <w:spacing w:after="120" w:before="280"/>
      </w:pPr>
      <w:r>
        <w:rPr>
          <w:rFonts w:ascii="Georgia" w:cs="Georgia" w:eastAsia="Georgia" w:hAnsi="Georgia"/>
          <w:b/>
          <w:bCs/>
          <w:color w:val="2B2B2B"/>
          <w:sz w:val="25"/>
          <w:szCs w:val="25"/>
        </w:rPr>
        <w:t xml:space="preserve">Hechos incompletos</w:t>
      </w:r>
    </w:p>
    <w:p>
      <w:pPr>
        <w:pStyle w:val="BodyJ"/>
        <w:keepNext w:val="false"/>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keepNext w:val="false"/>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keepNext w:val="false"/>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keepNext w:val="false"/>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keepNext w:val="false"/>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keepNext/>
        <w:keepLines/>
        <w:spacing w:after="120" w:before="280"/>
      </w:pPr>
      <w:r>
        <w:rPr>
          <w:rFonts w:ascii="Georgia" w:cs="Georgia" w:eastAsia="Georgia" w:hAnsi="Georgia"/>
          <w:b/>
          <w:bCs/>
          <w:color w:val="2B2B2B"/>
          <w:sz w:val="25"/>
          <w:szCs w:val="25"/>
        </w:rPr>
        <w:t xml:space="preserve">El testimonio como evidencia</w:t>
      </w:r>
    </w:p>
    <w:p>
      <w:pPr>
        <w:pStyle w:val="BodyJ"/>
        <w:keepNext w:val="false"/>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keepNext w:val="false"/>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keepNext w:val="false"/>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keepNext/>
        <w:keepLines/>
        <w:spacing w:after="120" w:before="280"/>
      </w:pPr>
      <w:r>
        <w:rPr>
          <w:rFonts w:ascii="Georgia" w:cs="Georgia" w:eastAsia="Georgia" w:hAnsi="Georgia"/>
          <w:b/>
          <w:bCs/>
          <w:color w:val="2B2B2B"/>
          <w:sz w:val="25"/>
          <w:szCs w:val="25"/>
        </w:rPr>
        <w:t xml:space="preserve">Trazabilidad epistemológica</w:t>
      </w:r>
    </w:p>
    <w:p>
      <w:pPr>
        <w:pStyle w:val="BodyJ"/>
        <w:keepNext w:val="false"/>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keepNext w:val="false"/>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keepNext w:val="false"/>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keepNext/>
        <w:keepLines/>
        <w:spacing w:after="120" w:before="280"/>
      </w:pPr>
      <w:r>
        <w:rPr>
          <w:rFonts w:ascii="Georgia" w:cs="Georgia" w:eastAsia="Georgia" w:hAnsi="Georgia"/>
          <w:b/>
          <w:bCs/>
          <w:color w:val="2B2B2B"/>
          <w:sz w:val="25"/>
          <w:szCs w:val="25"/>
        </w:rPr>
        <w:t xml:space="preserve">Grados de facticidad</w:t>
      </w:r>
    </w:p>
    <w:p>
      <w:pPr>
        <w:pStyle w:val="BodyJ"/>
        <w:keepNext w:val="false"/>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keepNext/>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keepNext w:val="false"/>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keepNext/>
        <w:keepLines/>
      </w:pPr>
      <w:r>
        <w:t xml:space="preserve">Caja de herramientas. Tres metadatos por hecho decisivo</w:t>
      </w:r>
    </w:p>
    <w:p>
      <w:pPr>
        <w:pStyle w:val="BodyJ"/>
        <w:keepNext w:val="false"/>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keepNext/>
        <w:spacing w:after="80" w:before="160"/>
      </w:pPr>
      <w:r>
        <w:rPr>
          <w:b/>
          <w:bCs/>
        </w:rPr>
        <w:t xml:space="preserve">Tres preguntas para la próxima visita.</w:t>
      </w:r>
    </w:p>
    <w:p>
      <w:pPr>
        <w:pStyle w:val="BodyJ"/>
        <w:keepNext/>
        <w:numPr>
          <w:ilvl w:val="0"/>
          <w:numId w:val="3"/>
        </w:numPr>
      </w:pPr>
      <w:r>
        <w:t xml:space="preserve">¿Cuál es el dato más decisivo de mi evaluación de hoy y quién lo produjo realmente?</w:t>
      </w:r>
    </w:p>
    <w:p>
      <w:pPr>
        <w:pStyle w:val="BodyJ"/>
        <w:keepNext/>
        <w:numPr>
          <w:ilvl w:val="0"/>
          <w:numId w:val="3"/>
        </w:numPr>
      </w:pPr>
      <w:r>
        <w:t xml:space="preserve">¿Qué «hallazgo negativo» estoy tratando como evidencia de ausencia sin preguntarme por la sensibilidad de la búsqueda?</w:t>
      </w:r>
    </w:p>
    <w:p>
      <w:pPr>
        <w:pStyle w:val="BodyJ"/>
        <w:keepNext w:val="false"/>
        <w:numPr>
          <w:ilvl w:val="0"/>
          <w:numId w:val="3"/>
        </w:numPr>
      </w:pPr>
      <w:r>
        <w:t xml:space="preserve">¿Qué dijo mi paciente con sus propias palabras que yo ya traduje a jerga?</w:t>
      </w:r>
    </w:p>
    <w:p>
      <w:pPr>
        <w:pStyle w:val="Heading2"/>
        <w:keepNext/>
        <w:keepLines/>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keepNext w:val="false"/>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keepNext/>
        <w:keepLines/>
        <w:spacing w:after="120" w:before="280"/>
      </w:pPr>
      <w:r>
        <w:rPr>
          <w:rFonts w:ascii="Georgia" w:cs="Georgia" w:eastAsia="Georgia" w:hAnsi="Georgia"/>
          <w:b/>
          <w:bCs/>
          <w:color w:val="2B2B2B"/>
          <w:sz w:val="25"/>
          <w:szCs w:val="25"/>
        </w:rPr>
        <w:t xml:space="preserve">La medicina como razonamiento abductivo</w:t>
      </w:r>
    </w:p>
    <w:p>
      <w:pPr>
        <w:pStyle w:val="BodyJ"/>
        <w:keepNext w:val="false"/>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keepNext w:val="false"/>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keepNext/>
        <w:keepLines/>
        <w:spacing w:after="120" w:before="280"/>
      </w:pPr>
      <w:r>
        <w:rPr>
          <w:rFonts w:ascii="Georgia" w:cs="Georgia" w:eastAsia="Georgia" w:hAnsi="Georgia"/>
          <w:b/>
          <w:bCs/>
          <w:color w:val="2B2B2B"/>
          <w:sz w:val="25"/>
          <w:szCs w:val="25"/>
        </w:rPr>
        <w:t xml:space="preserve">Representar el problema</w:t>
      </w:r>
    </w:p>
    <w:p>
      <w:pPr>
        <w:pStyle w:val="BodyJ"/>
        <w:keepNext w:val="false"/>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keepNext w:val="false"/>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keepNext w:val="false"/>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keepNext/>
        <w:keepLines/>
        <w:spacing w:after="120" w:before="280"/>
      </w:pPr>
      <w:r>
        <w:rPr>
          <w:rFonts w:ascii="Georgia" w:cs="Georgia" w:eastAsia="Georgia" w:hAnsi="Georgia"/>
          <w:b/>
          <w:bCs/>
          <w:color w:val="2B2B2B"/>
          <w:sz w:val="25"/>
          <w:szCs w:val="25"/>
        </w:rPr>
        <w:t xml:space="preserve">Inferencias con distinta fuerza</w:t>
      </w:r>
    </w:p>
    <w:p>
      <w:pPr>
        <w:pStyle w:val="BodyJ"/>
        <w:keepNext w:val="false"/>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keepNext w:val="false"/>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keepNext w:val="false"/>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keepNext/>
        <w:keepLines/>
        <w:spacing w:after="120" w:before="280"/>
      </w:pPr>
      <w:r>
        <w:rPr>
          <w:rFonts w:ascii="Georgia" w:cs="Georgia" w:eastAsia="Georgia" w:hAnsi="Georgia"/>
          <w:b/>
          <w:bCs/>
          <w:color w:val="2B2B2B"/>
          <w:sz w:val="25"/>
          <w:szCs w:val="25"/>
        </w:rPr>
        <w:t xml:space="preserve">La creatividad del diagnóstico: generar antes de podar</w:t>
      </w:r>
    </w:p>
    <w:p>
      <w:pPr>
        <w:pStyle w:val="BodyJ"/>
        <w:keepNext w:val="false"/>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keepNext w:val="false"/>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keepNext w:val="false"/>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keepNext w:val="false"/>
      </w:pPr>
      <w:r>
        <w:t xml:space="preserve">Schön señaló, por último, dónde vive la creatividad profesional más frecuente: no en resolver el problema dado, sino en plantearlo de nuevo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keepNext w:val="false"/>
      </w:pPr>
      <w:r>
        <w:t xml:space="preserve">A la generación le sigue, de inmediato, la prueba de resistencia: generar con libertad y podar con severidad no son virtudes rivales, sino las dos mitades del mismo juicio.</w:t>
      </w:r>
    </w:p>
    <w:p>
      <w:pPr>
        <w:pStyle w:val="Heading3"/>
        <w:keepNext/>
        <w:keepLines/>
        <w:spacing w:after="120" w:before="280"/>
      </w:pPr>
      <w:r>
        <w:rPr>
          <w:rFonts w:ascii="Georgia" w:cs="Georgia" w:eastAsia="Georgia" w:hAnsi="Georgia"/>
          <w:b/>
          <w:bCs/>
          <w:color w:val="2B2B2B"/>
          <w:sz w:val="25"/>
          <w:szCs w:val="25"/>
        </w:rPr>
        <w:t xml:space="preserve">Explicaciones rivales y prueba de resistencia</w:t>
      </w:r>
    </w:p>
    <w:p>
      <w:pPr>
        <w:pStyle w:val="BodyJ"/>
        <w:keepNext w:val="false"/>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keepNext w:val="false"/>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keepNext w:val="false"/>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—aquellas que tenían una probabilidad real de desmentirla (Popper, 1959)—. En clínica, esto distingue dos maneras de pedir exámenes: el que confirma lo que ya se cree —otro marcador inflamatorio en quien ya fue etiquetado de infección— y el que somete la hipótesis a riesgo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keepNext w:val="false"/>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keepNext/>
        <w:keepLines/>
        <w:spacing w:after="120" w:before="280"/>
      </w:pPr>
      <w:r>
        <w:rPr>
          <w:rFonts w:ascii="Georgia" w:cs="Georgia" w:eastAsia="Georgia" w:hAnsi="Georgia"/>
          <w:b/>
          <w:bCs/>
          <w:color w:val="2B2B2B"/>
          <w:sz w:val="25"/>
          <w:szCs w:val="25"/>
        </w:rPr>
        <w:t xml:space="preserve">Explicar, predecir y actuar</w:t>
      </w:r>
    </w:p>
    <w:p>
      <w:pPr>
        <w:pStyle w:val="BodyJ"/>
        <w:keepNext w:val="false"/>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keepNext w:val="false"/>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keepNext w:val="false"/>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keepNext/>
        <w:spacing w:after="80" w:before="160"/>
      </w:pPr>
      <w:r>
        <w:rPr>
          <w:b/>
          <w:bCs/>
        </w:rPr>
        <w:t xml:space="preserve">Tres preguntas para la próxima visita.</w:t>
      </w:r>
    </w:p>
    <w:p>
      <w:pPr>
        <w:pStyle w:val="BodyJ"/>
        <w:keepNext/>
        <w:numPr>
          <w:ilvl w:val="0"/>
          <w:numId w:val="4"/>
        </w:numPr>
      </w:pPr>
      <w:r>
        <w:t xml:space="preserve">¿Cuál es el dato más difícil de explicar con mi hipótesis principal?</w:t>
      </w:r>
    </w:p>
    <w:p>
      <w:pPr>
        <w:pStyle w:val="BodyJ"/>
        <w:keepNext/>
        <w:numPr>
          <w:ilvl w:val="0"/>
          <w:numId w:val="4"/>
        </w:numPr>
      </w:pPr>
      <w:r>
        <w:t xml:space="preserve">¿Qué explicación rival cambiaría mi conducta hoy, y qué me costaría buscarla?</w:t>
      </w:r>
    </w:p>
    <w:p>
      <w:pPr>
        <w:pStyle w:val="BodyJ"/>
        <w:keepNext w:val="false"/>
        <w:numPr>
          <w:ilvl w:val="0"/>
          <w:numId w:val="4"/>
        </w:numPr>
      </w:pPr>
      <w:r>
        <w:t xml:space="preserve">¿Qué predicción concreta hace mi diagnóstico para las próximas 24 horas?</w:t>
      </w:r>
    </w:p>
    <w:p>
      <w:pPr>
        <w:pStyle w:val="Heading2"/>
        <w:keepNext/>
        <w:keepLines/>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keepNext w:val="false"/>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keepNext/>
        <w:keepLines/>
        <w:spacing w:after="120" w:before="280"/>
      </w:pPr>
      <w:r>
        <w:rPr>
          <w:rFonts w:ascii="Georgia" w:cs="Georgia" w:eastAsia="Georgia" w:hAnsi="Georgia"/>
          <w:b/>
          <w:bCs/>
          <w:color w:val="2B2B2B"/>
          <w:sz w:val="25"/>
          <w:szCs w:val="25"/>
        </w:rPr>
        <w:t xml:space="preserve">Más que falta de información</w:t>
      </w:r>
    </w:p>
    <w:p>
      <w:pPr>
        <w:pStyle w:val="BodyJ"/>
        <w:keepNext w:val="false"/>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keepNext w:val="false"/>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keepNext w:val="false"/>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keepNext/>
        <w:keepLines/>
        <w:spacing w:after="120" w:before="280"/>
      </w:pPr>
      <w:r>
        <w:rPr>
          <w:rFonts w:ascii="Georgia" w:cs="Georgia" w:eastAsia="Georgia" w:hAnsi="Georgia"/>
          <w:b/>
          <w:bCs/>
          <w:color w:val="2B2B2B"/>
          <w:sz w:val="25"/>
          <w:szCs w:val="25"/>
        </w:rPr>
        <w:t xml:space="preserve">La formación médica y la fantasía de certeza</w:t>
      </w:r>
    </w:p>
    <w:p>
      <w:pPr>
        <w:pStyle w:val="BodyJ"/>
        <w:keepNext w:val="false"/>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keepNext w:val="false"/>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keepNext w:val="false"/>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keepNext/>
        <w:keepLines/>
        <w:spacing w:after="120" w:before="280"/>
      </w:pPr>
      <w:r>
        <w:rPr>
          <w:rFonts w:ascii="Georgia" w:cs="Georgia" w:eastAsia="Georgia" w:hAnsi="Georgia"/>
          <w:b/>
          <w:bCs/>
          <w:color w:val="2B2B2B"/>
          <w:sz w:val="25"/>
          <w:szCs w:val="25"/>
        </w:rPr>
        <w:t xml:space="preserve">Incertidumbre precisa</w:t>
      </w:r>
    </w:p>
    <w:p>
      <w:pPr>
        <w:pStyle w:val="BodyJ"/>
        <w:keepNext w:val="false"/>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keepNext/>
      </w:pPr>
      <w:r>
        <w:t xml:space="preserve">Una cartografía clínica de la incertidumbre puede distinguir:</w:t>
      </w:r>
    </w:p>
    <w:p>
      <w:pPr>
        <w:pStyle w:val="BodyJ"/>
        <w:keepNext/>
        <w:numPr>
          <w:ilvl w:val="0"/>
          <w:numId w:val="5"/>
        </w:numPr>
      </w:pPr>
      <w:r>
        <w:t xml:space="preserve">lo desconocido que puede resolverse con un examen;</w:t>
      </w:r>
    </w:p>
    <w:p>
      <w:pPr>
        <w:pStyle w:val="BodyJ"/>
        <w:keepNext/>
        <w:numPr>
          <w:ilvl w:val="0"/>
          <w:numId w:val="5"/>
        </w:numPr>
      </w:pPr>
      <w:r>
        <w:t xml:space="preserve">lo que sólo puede aclararse con evolución temporal;</w:t>
      </w:r>
    </w:p>
    <w:p>
      <w:pPr>
        <w:pStyle w:val="BodyJ"/>
        <w:keepNext/>
        <w:numPr>
          <w:ilvl w:val="0"/>
          <w:numId w:val="5"/>
        </w:numPr>
      </w:pPr>
      <w:r>
        <w:t xml:space="preserve">lo que no cambiaría la conducta inmediata;</w:t>
      </w:r>
    </w:p>
    <w:p>
      <w:pPr>
        <w:pStyle w:val="BodyJ"/>
        <w:keepNext/>
        <w:numPr>
          <w:ilvl w:val="0"/>
          <w:numId w:val="5"/>
        </w:numPr>
      </w:pPr>
      <w:r>
        <w:t xml:space="preserve">lo que, si estuviera equivocado, produciría daño grave;</w:t>
      </w:r>
    </w:p>
    <w:p>
      <w:pPr>
        <w:pStyle w:val="BodyJ"/>
        <w:keepNext w:val="false"/>
        <w:numPr>
          <w:ilvl w:val="0"/>
          <w:numId w:val="5"/>
        </w:numPr>
      </w:pPr>
      <w:r>
        <w:t xml:space="preserve">lo que depende de valores y preferencias más que de información adicional.</w:t>
      </w:r>
    </w:p>
    <w:p>
      <w:pPr>
        <w:pStyle w:val="BodyJ"/>
        <w:keepNext w:val="false"/>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keepNext/>
        <w:keepLines/>
        <w:spacing w:after="120" w:before="280"/>
      </w:pPr>
      <w:r>
        <w:rPr>
          <w:rFonts w:ascii="Georgia" w:cs="Georgia" w:eastAsia="Georgia" w:hAnsi="Georgia"/>
          <w:b/>
          <w:bCs/>
          <w:color w:val="2B2B2B"/>
          <w:sz w:val="25"/>
          <w:szCs w:val="25"/>
        </w:rPr>
        <w:t xml:space="preserve">La certeza práctica</w:t>
      </w:r>
    </w:p>
    <w:p>
      <w:pPr>
        <w:pStyle w:val="BodyJ"/>
        <w:keepNext w:val="false"/>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keepNext w:val="false"/>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keepNext w:val="false"/>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keepNext w:val="false"/>
      </w:pPr>
      <w:r>
        <w:t xml:space="preserve">Reconocer incertidumbre no disminuye la responsabilidad; la hace más precisa. El médico responde por buscar la información razonablemente accesible, interpretar con competencia, comunicar límites y establecer una estrategia de reevaluación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keepNext/>
        <w:spacing w:after="80" w:before="160"/>
      </w:pPr>
      <w:r>
        <w:rPr>
          <w:b/>
          <w:bCs/>
        </w:rPr>
        <w:t xml:space="preserve">Tres preguntas para la próxima visita.</w:t>
      </w:r>
    </w:p>
    <w:p>
      <w:pPr>
        <w:pStyle w:val="BodyJ"/>
        <w:keepNext/>
        <w:numPr>
          <w:ilvl w:val="0"/>
          <w:numId w:val="6"/>
        </w:numPr>
      </w:pPr>
      <w:r>
        <w:t xml:space="preserve">De todo lo que no sé de este paciente, ¿qué duda cambiaría mi conducta si se resolviera?</w:t>
      </w:r>
    </w:p>
    <w:p>
      <w:pPr>
        <w:pStyle w:val="BodyJ"/>
        <w:keepNext/>
        <w:numPr>
          <w:ilvl w:val="0"/>
          <w:numId w:val="6"/>
        </w:numPr>
      </w:pPr>
      <w:r>
        <w:t xml:space="preserve">¿Cuál es la duda pequeña con consecuencia catastrófica que exige vigilancia explícita?</w:t>
      </w:r>
    </w:p>
    <w:p>
      <w:pPr>
        <w:pStyle w:val="BodyJ"/>
        <w:keepNext w:val="false"/>
        <w:numPr>
          <w:ilvl w:val="0"/>
          <w:numId w:val="6"/>
        </w:numPr>
      </w:pPr>
      <w:r>
        <w:t xml:space="preserve">¿Qué parte de mi plan depende de valores del paciente que aún no he preguntado?</w:t>
      </w:r>
    </w:p>
    <w:p>
      <w:pPr>
        <w:pStyle w:val="Heading2"/>
        <w:keepNext/>
        <w:keepLines/>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keepNext w:val="false"/>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keepNext/>
        <w:keepLines/>
        <w:spacing w:after="120" w:before="280"/>
      </w:pPr>
      <w:r>
        <w:rPr>
          <w:rFonts w:ascii="Georgia" w:cs="Georgia" w:eastAsia="Georgia" w:hAnsi="Georgia"/>
          <w:b/>
          <w:bCs/>
          <w:color w:val="2B2B2B"/>
          <w:sz w:val="25"/>
          <w:szCs w:val="25"/>
        </w:rPr>
        <w:t xml:space="preserve">Nombrar es organizar</w:t>
      </w:r>
    </w:p>
    <w:p>
      <w:pPr>
        <w:pStyle w:val="BodyJ"/>
        <w:keepNext w:val="false"/>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keepNext w:val="false"/>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keepNext/>
        <w:keepLines/>
        <w:spacing w:after="120" w:before="280"/>
      </w:pPr>
      <w:r>
        <w:rPr>
          <w:rFonts w:ascii="Georgia" w:cs="Georgia" w:eastAsia="Georgia" w:hAnsi="Georgia"/>
          <w:b/>
          <w:bCs/>
          <w:color w:val="2B2B2B"/>
          <w:sz w:val="25"/>
          <w:szCs w:val="25"/>
        </w:rPr>
        <w:t xml:space="preserve">Compresión y pérdida</w:t>
      </w:r>
    </w:p>
    <w:p>
      <w:pPr>
        <w:pStyle w:val="BodyJ"/>
        <w:keepNext w:val="false"/>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keepNext w:val="false"/>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keepNext/>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keepNext w:val="false"/>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keepNext/>
        <w:keepLines/>
        <w:spacing w:after="120" w:before="280"/>
      </w:pPr>
      <w:r>
        <w:rPr>
          <w:rFonts w:ascii="Georgia" w:cs="Georgia" w:eastAsia="Georgia" w:hAnsi="Georgia"/>
          <w:b/>
          <w:bCs/>
          <w:color w:val="2B2B2B"/>
          <w:sz w:val="25"/>
          <w:szCs w:val="25"/>
        </w:rPr>
        <w:t xml:space="preserve">Modalidad epistémica</w:t>
      </w:r>
    </w:p>
    <w:p>
      <w:pPr>
        <w:pStyle w:val="BodyJ"/>
        <w:keepNext w:val="false"/>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keepNext/>
      </w:pPr>
      <w:r>
        <w:t xml:space="preserve">Puede distinguirse una escala práctica:</w:t>
      </w:r>
    </w:p>
    <w:p>
      <w:pPr>
        <w:pStyle w:val="BodyJ"/>
        <w:keepNext w:val="false"/>
        <w:numPr>
          <w:ilvl w:val="0"/>
          <w:numId w:val="5"/>
        </w:numPr>
      </w:pPr>
      <w:r>
        <w:rPr>
          <w:b/>
          <w:bCs/>
        </w:rPr>
        <w:t xml:space="preserve">Documentado o demostrado</w:t>
      </w:r>
      <w:r>
        <w:t xml:space="preserve">: existe evidencia directa suficiente bajo un método pertinente.</w:t>
      </w:r>
    </w:p>
    <w:p>
      <w:pPr>
        <w:pStyle w:val="BodyJ"/>
        <w:keepNext w:val="false"/>
        <w:numPr>
          <w:ilvl w:val="0"/>
          <w:numId w:val="5"/>
        </w:numPr>
      </w:pPr>
      <w:r>
        <w:rPr>
          <w:b/>
          <w:bCs/>
        </w:rPr>
        <w:t xml:space="preserve">Altamente probable</w:t>
      </w:r>
      <w:r>
        <w:t xml:space="preserve">: múltiples líneas convergentes, con alternativas importantes poco plausibles.</w:t>
      </w:r>
    </w:p>
    <w:p>
      <w:pPr>
        <w:pStyle w:val="BodyJ"/>
        <w:keepNext w:val="false"/>
        <w:numPr>
          <w:ilvl w:val="0"/>
          <w:numId w:val="5"/>
        </w:numPr>
      </w:pPr>
      <w:r>
        <w:rPr>
          <w:b/>
          <w:bCs/>
        </w:rPr>
        <w:t xml:space="preserve">Probable o compatible con</w:t>
      </w:r>
      <w:r>
        <w:t xml:space="preserve">: la explicación organiza bien los hechos, pero persisten rivales o faltan elementos.</w:t>
      </w:r>
    </w:p>
    <w:p>
      <w:pPr>
        <w:pStyle w:val="BodyJ"/>
        <w:keepNext w:val="false"/>
        <w:numPr>
          <w:ilvl w:val="0"/>
          <w:numId w:val="5"/>
        </w:numPr>
      </w:pPr>
      <w:r>
        <w:rPr>
          <w:b/>
          <w:bCs/>
        </w:rPr>
        <w:t xml:space="preserve">Posible</w:t>
      </w:r>
      <w:r>
        <w:t xml:space="preserve">: no contradice los datos y merece consideración, aunque el soporte es limitado.</w:t>
      </w:r>
    </w:p>
    <w:p>
      <w:pPr>
        <w:pStyle w:val="BodyJ"/>
        <w:keepNext w:val="false"/>
        <w:numPr>
          <w:ilvl w:val="0"/>
          <w:numId w:val="5"/>
        </w:numPr>
      </w:pPr>
      <w:r>
        <w:rPr>
          <w:b/>
          <w:bCs/>
        </w:rPr>
        <w:t xml:space="preserve">No demostrado</w:t>
      </w:r>
      <w:r>
        <w:t xml:space="preserve">: la hipótesis puede ser razonable, pero el caso no aporta evidencia suficiente para afirmarla.</w:t>
      </w:r>
    </w:p>
    <w:p>
      <w:pPr>
        <w:pStyle w:val="BodyJ"/>
        <w:keepNext w:val="false"/>
        <w:numPr>
          <w:ilvl w:val="0"/>
          <w:numId w:val="5"/>
        </w:numPr>
      </w:pPr>
      <w:r>
        <w:rPr>
          <w:b/>
          <w:bCs/>
        </w:rPr>
        <w:t xml:space="preserve">Sin evidencia actual de</w:t>
      </w:r>
      <w:r>
        <w:t xml:space="preserve">: el método empleado no mostró el fenómeno; la fuerza depende de su sensibilidad y oportunidad.</w:t>
      </w:r>
    </w:p>
    <w:p>
      <w:pPr>
        <w:pStyle w:val="BodyJ"/>
        <w:keepNext w:val="false"/>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keepNext/>
        <w:keepLines/>
      </w:pPr>
      <w:r>
        <w:t xml:space="preserve">Caja de herramientas. Dos filósofos para la frase clínica</w:t>
      </w:r>
    </w:p>
    <w:p>
      <w:pPr>
        <w:pStyle w:val="BodyJ"/>
        <w:keepNext w:val="false"/>
      </w:pPr>
      <w:r>
        <w:t xml:space="preserve">Dos aportes del siglo XX describen con precisión lo que aquí se pide. El primero es de J. L. Austin: hay enunciados que no describen el mundo sino que hacen cosas en él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—y con qué derecho—?</w:t>
      </w:r>
    </w:p>
    <w:p>
      <w:pPr>
        <w:pStyle w:val="BodyJ"/>
        <w:keepNext w:val="false"/>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Verbos que ocultan, frases que operan</w:t>
      </w:r>
    </w:p>
    <w:p>
      <w:pPr>
        <w:pStyle w:val="BodyJ"/>
        <w:keepNext w:val="false"/>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keepNext w:val="false"/>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keepNext w:val="false"/>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keepNext w:val="false"/>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keepNext/>
        <w:keepLines/>
        <w:spacing w:after="120" w:before="280"/>
      </w:pPr>
      <w:r>
        <w:rPr>
          <w:rFonts w:ascii="Georgia" w:cs="Georgia" w:eastAsia="Georgia" w:hAnsi="Georgia"/>
          <w:b/>
          <w:bCs/>
          <w:color w:val="2B2B2B"/>
          <w:sz w:val="25"/>
          <w:szCs w:val="25"/>
        </w:rPr>
        <w:t xml:space="preserve">La sintaxis como registro de auditoría</w:t>
      </w:r>
    </w:p>
    <w:p>
      <w:pPr>
        <w:pStyle w:val="BodyJ"/>
        <w:keepNext w:val="false"/>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keepNext w:val="false"/>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keepNext w:val="false"/>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keepNext/>
        <w:spacing w:after="80" w:before="160"/>
      </w:pPr>
      <w:r>
        <w:rPr>
          <w:b/>
          <w:bCs/>
        </w:rPr>
        <w:t xml:space="preserve">Tres preguntas para la próxima visita.</w:t>
      </w:r>
    </w:p>
    <w:p>
      <w:pPr>
        <w:pStyle w:val="BodyJ"/>
        <w:keepNext/>
        <w:numPr>
          <w:ilvl w:val="0"/>
          <w:numId w:val="7"/>
        </w:numPr>
      </w:pPr>
      <w:r>
        <w:t xml:space="preserve">En mi última evolución, ¿qué verbo causal («secundario a», «por», «complicado por») no podría defender si me lo preguntaran?</w:t>
      </w:r>
    </w:p>
    <w:p>
      <w:pPr>
        <w:pStyle w:val="BodyJ"/>
        <w:keepNext/>
        <w:numPr>
          <w:ilvl w:val="0"/>
          <w:numId w:val="7"/>
        </w:numPr>
      </w:pPr>
      <w:r>
        <w:t xml:space="preserve">¿Escribí «se descarta» donde sólo tenía «sin evidencia actual de»?</w:t>
      </w:r>
    </w:p>
    <w:p>
      <w:pPr>
        <w:pStyle w:val="BodyJ"/>
        <w:keepNext w:val="false"/>
        <w:numPr>
          <w:ilvl w:val="0"/>
          <w:numId w:val="7"/>
        </w:numPr>
      </w:pPr>
      <w:r>
        <w:t xml:space="preserve">Si otro médico leyera sólo mi frase final, ¿sabría qué vigilar y qué me haría cambiar?</w:t>
      </w:r>
    </w:p>
    <w:p>
      <w:pPr>
        <w:pStyle w:val="Heading2"/>
        <w:keepNext/>
        <w:keepLines/>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keepNext w:val="false"/>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keepNext w:val="false"/>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keepNext w:val="false"/>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keepNext w:val="false"/>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keepNext w:val="false"/>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keepNext/>
        <w:pageBreakBefore/>
      </w:pPr>
      <w:r>
        <w:t xml:space="preserve">PARTE II</w:t>
      </w:r>
    </w:p>
    <w:p>
      <w:pPr>
        <w:pStyle w:val="PartTitle"/>
        <w:keepNext/>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keepNext/>
        <w:keepLines/>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keepNext w:val="false"/>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keepNext/>
        <w:keepLines/>
        <w:spacing w:after="120" w:before="280"/>
      </w:pPr>
      <w:r>
        <w:rPr>
          <w:rFonts w:ascii="Georgia" w:cs="Georgia" w:eastAsia="Georgia" w:hAnsi="Georgia"/>
          <w:b/>
          <w:bCs/>
          <w:color w:val="2B2B2B"/>
          <w:sz w:val="25"/>
          <w:szCs w:val="25"/>
        </w:rPr>
        <w:t xml:space="preserve">Pensar sobre el pensamiento</w:t>
      </w:r>
    </w:p>
    <w:p>
      <w:pPr>
        <w:pStyle w:val="BodyJ"/>
        <w:keepNext w:val="false"/>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keepNext w:val="false"/>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keepNext/>
        <w:keepLines/>
        <w:spacing w:after="120" w:before="280"/>
      </w:pPr>
      <w:r>
        <w:rPr>
          <w:rFonts w:ascii="Georgia" w:cs="Georgia" w:eastAsia="Georgia" w:hAnsi="Georgia"/>
          <w:b/>
          <w:bCs/>
          <w:color w:val="2B2B2B"/>
          <w:sz w:val="25"/>
          <w:szCs w:val="25"/>
        </w:rPr>
        <w:t xml:space="preserve">Confianza y calibración</w:t>
      </w:r>
    </w:p>
    <w:p>
      <w:pPr>
        <w:pStyle w:val="BodyJ"/>
        <w:keepNext w:val="false"/>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keepNext w:val="false"/>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keepNext w:val="false"/>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keepNext/>
        <w:keepLines/>
      </w:pPr>
      <w:r>
        <w:t xml:space="preserve">Caja de herramientas. Medir la metacognición: del porcentaje al meta-d′</w:t>
      </w:r>
    </w:p>
    <w:p>
      <w:pPr>
        <w:pStyle w:val="BodyJ"/>
        <w:keepNext w:val="false"/>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keepNext w:val="false"/>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keepNext/>
        <w:keepLines/>
        <w:spacing w:after="120" w:before="280"/>
      </w:pPr>
      <w:r>
        <w:rPr>
          <w:rFonts w:ascii="Georgia" w:cs="Georgia" w:eastAsia="Georgia" w:hAnsi="Georgia"/>
          <w:b/>
          <w:bCs/>
          <w:color w:val="2B2B2B"/>
          <w:sz w:val="25"/>
          <w:szCs w:val="25"/>
        </w:rPr>
        <w:t xml:space="preserve">La sensación de corrección</w:t>
      </w:r>
    </w:p>
    <w:p>
      <w:pPr>
        <w:pStyle w:val="BodyJ"/>
        <w:keepNext w:val="false"/>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keepNext w:val="false"/>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keepNext/>
        <w:keepLines/>
        <w:spacing w:after="120" w:before="280"/>
      </w:pPr>
      <w:r>
        <w:rPr>
          <w:rFonts w:ascii="Georgia" w:cs="Georgia" w:eastAsia="Georgia" w:hAnsi="Georgia"/>
          <w:b/>
          <w:bCs/>
          <w:color w:val="2B2B2B"/>
          <w:sz w:val="25"/>
          <w:szCs w:val="25"/>
        </w:rPr>
        <w:t xml:space="preserve">Señales de conflicto</w:t>
      </w:r>
    </w:p>
    <w:p>
      <w:pPr>
        <w:pStyle w:val="BodyJ"/>
        <w:keepNext w:val="false"/>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keepNext w:val="false"/>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keepNext/>
        <w:keepLines/>
        <w:spacing w:after="120" w:before="280"/>
      </w:pPr>
      <w:r>
        <w:rPr>
          <w:rFonts w:ascii="Georgia" w:cs="Georgia" w:eastAsia="Georgia" w:hAnsi="Georgia"/>
          <w:b/>
          <w:bCs/>
          <w:color w:val="2B2B2B"/>
          <w:sz w:val="25"/>
          <w:szCs w:val="25"/>
        </w:rPr>
        <w:t xml:space="preserve">Control metacognitivo</w:t>
      </w:r>
    </w:p>
    <w:p>
      <w:pPr>
        <w:pStyle w:val="BodyJ"/>
        <w:keepNext w:val="false"/>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keepNext w:val="false"/>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keepNext w:val="false"/>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keepNext/>
        <w:spacing w:after="80" w:before="160"/>
      </w:pPr>
      <w:r>
        <w:rPr>
          <w:b/>
          <w:bCs/>
        </w:rPr>
        <w:t xml:space="preserve">Tres preguntas para la próxima visita.</w:t>
      </w:r>
    </w:p>
    <w:p>
      <w:pPr>
        <w:pStyle w:val="BodyJ"/>
        <w:keepNext/>
        <w:numPr>
          <w:ilvl w:val="0"/>
          <w:numId w:val="8"/>
        </w:numPr>
      </w:pPr>
      <w:r>
        <w:t xml:space="preserve">En mi diagnóstico más firme de hoy, ¿mi confianza viene de la evidencia o de la fluidez con que reconocí el patrón?</w:t>
      </w:r>
    </w:p>
    <w:p>
      <w:pPr>
        <w:pStyle w:val="BodyJ"/>
        <w:keepNext/>
        <w:numPr>
          <w:ilvl w:val="0"/>
          <w:numId w:val="8"/>
        </w:numPr>
      </w:pPr>
      <w:r>
        <w:t xml:space="preserve">¿Qué señal afectiva (prisa, irritación, alivio) está influyendo en mi evaluación de este caso?</w:t>
      </w:r>
    </w:p>
    <w:p>
      <w:pPr>
        <w:pStyle w:val="BodyJ"/>
        <w:keepNext w:val="false"/>
        <w:numPr>
          <w:ilvl w:val="0"/>
          <w:numId w:val="8"/>
        </w:numPr>
      </w:pPr>
      <w:r>
        <w:t xml:space="preserve">¿Cuál fue mi última predicción concreta —un cultivo, una imagen, una evolución— y la contrasté con el resultado cuando llegó, o sólo recuerdo las que acerté?</w:t>
      </w:r>
    </w:p>
    <w:p>
      <w:pPr>
        <w:pStyle w:val="Heading2"/>
        <w:keepNext/>
        <w:keepLines/>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keepNext w:val="false"/>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keepNext/>
        <w:keepLines/>
        <w:spacing w:after="120" w:before="280"/>
      </w:pPr>
      <w:r>
        <w:rPr>
          <w:rFonts w:ascii="Georgia" w:cs="Georgia" w:eastAsia="Georgia" w:hAnsi="Georgia"/>
          <w:b/>
          <w:bCs/>
          <w:color w:val="2B2B2B"/>
          <w:sz w:val="25"/>
          <w:szCs w:val="25"/>
        </w:rPr>
        <w:t xml:space="preserve">La velocidad del experto</w:t>
      </w:r>
    </w:p>
    <w:p>
      <w:pPr>
        <w:pStyle w:val="BodyJ"/>
        <w:keepNext w:val="false"/>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keepNext w:val="false"/>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keepNext w:val="false"/>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keepNext/>
        <w:keepLines/>
        <w:spacing w:after="120" w:before="280"/>
      </w:pPr>
      <w:r>
        <w:rPr>
          <w:rFonts w:ascii="Georgia" w:cs="Georgia" w:eastAsia="Georgia" w:hAnsi="Georgia"/>
          <w:b/>
          <w:bCs/>
          <w:color w:val="2B2B2B"/>
          <w:sz w:val="25"/>
          <w:szCs w:val="25"/>
        </w:rPr>
        <w:t xml:space="preserve">Conocimiento tácito</w:t>
      </w:r>
    </w:p>
    <w:p>
      <w:pPr>
        <w:pStyle w:val="BodyJ"/>
        <w:keepNext w:val="false"/>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keepNext w:val="false"/>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keepNext w:val="false"/>
      </w:pPr>
      <w:r>
        <w:t xml:space="preserve">Schön agregó el movimiento que a Polanyi le faltaba nombrar: el profesional competente no sólo actúa desde lo tácito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—y quien la despliega sin poder desempaquetarla está pidiendo fe, no ofreciendo juicio—.</w:t>
      </w:r>
    </w:p>
    <w:p>
      <w:pPr>
        <w:pStyle w:val="Heading3"/>
        <w:keepNext/>
        <w:keepLines/>
        <w:spacing w:after="120" w:before="280"/>
      </w:pPr>
      <w:r>
        <w:rPr>
          <w:rFonts w:ascii="Georgia" w:cs="Georgia" w:eastAsia="Georgia" w:hAnsi="Georgia"/>
          <w:b/>
          <w:bCs/>
          <w:color w:val="2B2B2B"/>
          <w:sz w:val="25"/>
          <w:szCs w:val="25"/>
        </w:rPr>
        <w:t xml:space="preserve">Dos procesos, no dos médicos: la phronesis</w:t>
      </w:r>
    </w:p>
    <w:p>
      <w:pPr>
        <w:pStyle w:val="BodyJ"/>
        <w:keepNext w:val="false"/>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keepNext w:val="false"/>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keepNext w:val="false"/>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keepNext w:val="false"/>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keepNext/>
        <w:keepLines/>
        <w:spacing w:after="120" w:before="280"/>
      </w:pPr>
      <w:r>
        <w:rPr>
          <w:rFonts w:ascii="Georgia" w:cs="Georgia" w:eastAsia="Georgia" w:hAnsi="Georgia"/>
          <w:b/>
          <w:bCs/>
          <w:color w:val="2B2B2B"/>
          <w:sz w:val="25"/>
          <w:szCs w:val="25"/>
        </w:rPr>
        <w:t xml:space="preserve">El peligro de la fluidez</w:t>
      </w:r>
    </w:p>
    <w:p>
      <w:pPr>
        <w:pStyle w:val="BodyJ"/>
        <w:keepNext w:val="false"/>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keepNext w:val="false"/>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—la sobreconfianza del capítulo 5, fabricada por el entorno—. La pregunta operativa frente a la propia seguridad no es «¿cuánta experiencia tengo?», sino «¿en qué entorno se formó esta impresión, y quién me avisó cuando fallé?».</w:t>
      </w:r>
    </w:p>
    <w:p>
      <w:pPr>
        <w:pStyle w:val="BodyJ"/>
        <w:keepNext w:val="false"/>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keepNext/>
        <w:keepLines/>
        <w:spacing w:after="120" w:before="280"/>
      </w:pPr>
      <w:r>
        <w:rPr>
          <w:rFonts w:ascii="Georgia" w:cs="Georgia" w:eastAsia="Georgia" w:hAnsi="Georgia"/>
          <w:b/>
          <w:bCs/>
          <w:color w:val="2B2B2B"/>
          <w:sz w:val="25"/>
          <w:szCs w:val="25"/>
        </w:rPr>
        <w:t xml:space="preserve">El saber hacer y el quiebre</w:t>
      </w:r>
    </w:p>
    <w:p>
      <w:pPr>
        <w:pStyle w:val="BodyJ"/>
        <w:keepNext w:val="false"/>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keepNext w:val="false"/>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keepNext w:val="false"/>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keepNext/>
        <w:spacing w:after="80" w:before="160"/>
      </w:pPr>
      <w:r>
        <w:rPr>
          <w:b/>
          <w:bCs/>
        </w:rPr>
        <w:t xml:space="preserve">Tres preguntas para la próxima visita.</w:t>
      </w:r>
    </w:p>
    <w:p>
      <w:pPr>
        <w:pStyle w:val="BodyJ"/>
        <w:keepNext/>
        <w:numPr>
          <w:ilvl w:val="0"/>
          <w:numId w:val="9"/>
        </w:numPr>
      </w:pPr>
      <w:r>
        <w:t xml:space="preserve">¿En qué dominio tengo suficiente experiencia con feedback real como para confiar en mi primera impresión?</w:t>
      </w:r>
    </w:p>
    <w:p>
      <w:pPr>
        <w:pStyle w:val="BodyJ"/>
        <w:keepNext/>
        <w:numPr>
          <w:ilvl w:val="0"/>
          <w:numId w:val="9"/>
        </w:numPr>
      </w:pPr>
      <w:r>
        <w:t xml:space="preserve">La última vez que «vi» un diagnóstico al instante, ¿qué características lo activaron? ¿Puedo nombrarlas?</w:t>
      </w:r>
    </w:p>
    <w:p>
      <w:pPr>
        <w:pStyle w:val="BodyJ"/>
        <w:keepNext w:val="false"/>
        <w:numPr>
          <w:ilvl w:val="0"/>
          <w:numId w:val="9"/>
        </w:numPr>
      </w:pPr>
      <w:r>
        <w:t xml:space="preserve">¿Qué caso reciente forcé a encajar en un patrón conocido cuando algo no calzaba?</w:t>
      </w:r>
    </w:p>
    <w:p>
      <w:pPr>
        <w:pStyle w:val="Heading2"/>
        <w:keepNext/>
        <w:keepLines/>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keepNext w:val="false"/>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keepNext/>
        <w:keepLines/>
        <w:spacing w:after="120" w:before="280"/>
      </w:pPr>
      <w:r>
        <w:rPr>
          <w:rFonts w:ascii="Georgia" w:cs="Georgia" w:eastAsia="Georgia" w:hAnsi="Georgia"/>
          <w:b/>
          <w:bCs/>
          <w:color w:val="2B2B2B"/>
          <w:sz w:val="25"/>
          <w:szCs w:val="25"/>
        </w:rPr>
        <w:t xml:space="preserve">Del nombre del sesgo a la trayectoria del error</w:t>
      </w:r>
    </w:p>
    <w:p>
      <w:pPr>
        <w:pStyle w:val="BodyJ"/>
        <w:keepNext w:val="false"/>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keepNext w:val="false"/>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keepNext w:val="false"/>
      </w:pPr>
      <w:r>
        <w:t xml:space="preserve">Los estudios de errores diagnósticos muestran combinaciones de fallas en historia, examen, interpretación, seguimiento y comunicación (Graber et al., 2005; Schiff et al., 2009).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keepNext w:val="false"/>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keepNext w:val="false"/>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keepNext/>
        <w:keepLines/>
        <w:spacing w:after="120" w:before="280"/>
      </w:pPr>
      <w:r>
        <w:rPr>
          <w:rFonts w:ascii="Georgia" w:cs="Georgia" w:eastAsia="Georgia" w:hAnsi="Georgia"/>
          <w:b/>
          <w:bCs/>
          <w:color w:val="2B2B2B"/>
          <w:sz w:val="25"/>
          <w:szCs w:val="25"/>
        </w:rPr>
        <w:t xml:space="preserve">Sesgo, conocimiento y confianza</w:t>
      </w:r>
    </w:p>
    <w:p>
      <w:pPr>
        <w:pStyle w:val="BodyJ"/>
        <w:keepNext w:val="false"/>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keepNext w:val="false"/>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keepNext w:val="false"/>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keepNext w:val="false"/>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keepNext/>
        <w:keepLines/>
        <w:spacing w:after="120" w:before="280"/>
      </w:pPr>
      <w:r>
        <w:rPr>
          <w:rFonts w:ascii="Georgia" w:cs="Georgia" w:eastAsia="Georgia" w:hAnsi="Georgia"/>
          <w:b/>
          <w:bCs/>
          <w:color w:val="2B2B2B"/>
          <w:sz w:val="25"/>
          <w:szCs w:val="25"/>
        </w:rPr>
        <w:t xml:space="preserve">Debiasing con prudencia</w:t>
      </w:r>
    </w:p>
    <w:p>
      <w:pPr>
        <w:pStyle w:val="BodyJ"/>
        <w:keepNext w:val="false"/>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keepNext/>
      </w:pPr>
      <w:r>
        <w:t xml:space="preserve">En lugar de preguntar siempre «¿qué sesgo tengo?», puede ser más útil preguntar:</w:t>
      </w:r>
    </w:p>
    <w:p>
      <w:pPr>
        <w:pStyle w:val="BodyJ"/>
        <w:keepNext/>
        <w:numPr>
          <w:ilvl w:val="0"/>
          <w:numId w:val="5"/>
        </w:numPr>
      </w:pPr>
      <w:r>
        <w:t xml:space="preserve">¿qué dato sostiene desproporcionadamente mi conclusión?;</w:t>
      </w:r>
    </w:p>
    <w:p>
      <w:pPr>
        <w:pStyle w:val="BodyJ"/>
        <w:keepNext/>
        <w:numPr>
          <w:ilvl w:val="0"/>
          <w:numId w:val="5"/>
        </w:numPr>
      </w:pPr>
      <w:r>
        <w:t xml:space="preserve">¿qué hallazgo estoy reinterpretando para que encaje?;</w:t>
      </w:r>
    </w:p>
    <w:p>
      <w:pPr>
        <w:pStyle w:val="BodyJ"/>
        <w:keepNext/>
        <w:numPr>
          <w:ilvl w:val="0"/>
          <w:numId w:val="5"/>
        </w:numPr>
      </w:pPr>
      <w:r>
        <w:t xml:space="preserve">¿qué alternativa cambiaría la conducta?;</w:t>
      </w:r>
    </w:p>
    <w:p>
      <w:pPr>
        <w:pStyle w:val="BodyJ"/>
        <w:keepNext/>
        <w:numPr>
          <w:ilvl w:val="0"/>
          <w:numId w:val="5"/>
        </w:numPr>
      </w:pPr>
      <w:r>
        <w:t xml:space="preserve">¿qué elemento del sistema impide recibir feedback?;</w:t>
      </w:r>
    </w:p>
    <w:p>
      <w:pPr>
        <w:pStyle w:val="BodyJ"/>
        <w:keepNext w:val="false"/>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keepNext w:val="false"/>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keepNext/>
        <w:spacing w:after="80" w:before="160"/>
      </w:pPr>
      <w:r>
        <w:rPr>
          <w:b/>
          <w:bCs/>
        </w:rPr>
        <w:t xml:space="preserve">Tres preguntas para la próxima visita.</w:t>
      </w:r>
    </w:p>
    <w:p>
      <w:pPr>
        <w:pStyle w:val="BodyJ"/>
        <w:keepNext/>
        <w:numPr>
          <w:ilvl w:val="0"/>
          <w:numId w:val="10"/>
        </w:numPr>
      </w:pPr>
      <w:r>
        <w:t xml:space="preserve">¿Qué frase heredada estoy tratando como hecho en mi paciente más complejo?</w:t>
      </w:r>
    </w:p>
    <w:p>
      <w:pPr>
        <w:pStyle w:val="BodyJ"/>
        <w:keepNext/>
        <w:numPr>
          <w:ilvl w:val="0"/>
          <w:numId w:val="10"/>
        </w:numPr>
      </w:pPr>
      <w:r>
        <w:t xml:space="preserve">¿Qué dato «confirmatorio» de hoy confirmaría también la hipótesis rival?</w:t>
      </w:r>
    </w:p>
    <w:p>
      <w:pPr>
        <w:pStyle w:val="BodyJ"/>
        <w:keepNext w:val="false"/>
        <w:numPr>
          <w:ilvl w:val="0"/>
          <w:numId w:val="10"/>
        </w:numPr>
      </w:pPr>
      <w:r>
        <w:t xml:space="preserve">¿Qué evolución atípica estoy reinterpretando para no reabrir el caso?</w:t>
      </w:r>
    </w:p>
    <w:p>
      <w:pPr>
        <w:pStyle w:val="Heading2"/>
        <w:keepNext/>
        <w:keepLines/>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keepNext w:val="false"/>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keepNext/>
        <w:keepLines/>
        <w:spacing w:after="120" w:before="280"/>
      </w:pPr>
      <w:r>
        <w:rPr>
          <w:rFonts w:ascii="Georgia" w:cs="Georgia" w:eastAsia="Georgia" w:hAnsi="Georgia"/>
          <w:b/>
          <w:bCs/>
          <w:color w:val="2B2B2B"/>
          <w:sz w:val="25"/>
          <w:szCs w:val="25"/>
        </w:rPr>
        <w:t xml:space="preserve">Reflexionar no es rumiar: cuándo desacelerar</w:t>
      </w:r>
    </w:p>
    <w:p>
      <w:pPr>
        <w:pStyle w:val="BodyJ"/>
        <w:keepNext w:val="false"/>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keepNext w:val="false"/>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keepNext w:val="false"/>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keepNext w:val="false"/>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keepNext/>
        <w:keepLines/>
        <w:spacing w:after="120" w:before="280"/>
      </w:pPr>
      <w:r>
        <w:rPr>
          <w:rFonts w:ascii="Georgia" w:cs="Georgia" w:eastAsia="Georgia" w:hAnsi="Georgia"/>
          <w:b/>
          <w:bCs/>
          <w:color w:val="2B2B2B"/>
          <w:sz w:val="25"/>
          <w:szCs w:val="25"/>
        </w:rPr>
        <w:t xml:space="preserve">El estado del que piensa: esfuerzo, sueño y ánimo</w:t>
      </w:r>
    </w:p>
    <w:p>
      <w:pPr>
        <w:pStyle w:val="BodyJ"/>
        <w:keepNext w:val="false"/>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keepNext w:val="false"/>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keepNext/>
        <w:keepLines/>
        <w:spacing w:after="120" w:before="280"/>
      </w:pPr>
      <w:r>
        <w:rPr>
          <w:rFonts w:ascii="Georgia" w:cs="Georgia" w:eastAsia="Georgia" w:hAnsi="Georgia"/>
          <w:b/>
          <w:bCs/>
          <w:color w:val="2B2B2B"/>
          <w:sz w:val="25"/>
          <w:szCs w:val="25"/>
        </w:rPr>
        <w:t xml:space="preserve">Qué hacer con el estado del que piensa</w:t>
      </w:r>
    </w:p>
    <w:p>
      <w:pPr>
        <w:pStyle w:val="BodyJ"/>
        <w:keepNext w:val="false"/>
      </w:pPr>
      <w:r>
        <w:t xml:space="preserve">¿Qué hacer con esto, si no se puede decretar el descanso ni el buen ánimo? Tres cosas, todas coherentes con el resto del libro.</w:t>
      </w:r>
    </w:p>
    <w:p>
      <w:pPr>
        <w:pStyle w:val="BodyJ"/>
        <w:keepNext w:val="false"/>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keepNext w:val="false"/>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keepNext w:val="false"/>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keepNext w:val="false"/>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keepNext/>
        <w:keepLines/>
        <w:spacing w:after="120" w:before="280"/>
      </w:pPr>
      <w:r>
        <w:rPr>
          <w:rFonts w:ascii="Georgia" w:cs="Georgia" w:eastAsia="Georgia" w:hAnsi="Georgia"/>
          <w:b/>
          <w:bCs/>
          <w:color w:val="2B2B2B"/>
          <w:sz w:val="25"/>
          <w:szCs w:val="25"/>
        </w:rPr>
        <w:t xml:space="preserve">Reflexión estructurada</w:t>
      </w:r>
    </w:p>
    <w:p>
      <w:pPr>
        <w:pStyle w:val="BodyJ"/>
        <w:keepNext w:val="false"/>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keepNext/>
      </w:pPr>
      <w:r>
        <w:t xml:space="preserve">Una estructura breve puede ser:</w:t>
      </w:r>
    </w:p>
    <w:p>
      <w:pPr>
        <w:pStyle w:val="BodyJ"/>
        <w:keepNext/>
        <w:numPr>
          <w:ilvl w:val="0"/>
          <w:numId w:val="11"/>
        </w:numPr>
      </w:pPr>
      <w:r>
        <w:t xml:space="preserve">Reformular el caso sin usar el diagnóstico actual.</w:t>
      </w:r>
    </w:p>
    <w:p>
      <w:pPr>
        <w:pStyle w:val="BodyJ"/>
        <w:keepNext/>
        <w:numPr>
          <w:ilvl w:val="0"/>
          <w:numId w:val="11"/>
        </w:numPr>
      </w:pPr>
      <w:r>
        <w:t xml:space="preserve">Nombrar dos o tres hipótesis que expliquen los hallazgos decisivos.</w:t>
      </w:r>
    </w:p>
    <w:p>
      <w:pPr>
        <w:pStyle w:val="BodyJ"/>
        <w:keepNext/>
        <w:numPr>
          <w:ilvl w:val="0"/>
          <w:numId w:val="11"/>
        </w:numPr>
      </w:pPr>
      <w:r>
        <w:t xml:space="preserve">Identificar evidencia a favor y en contra de cada una.</w:t>
      </w:r>
    </w:p>
    <w:p>
      <w:pPr>
        <w:pStyle w:val="BodyJ"/>
        <w:keepNext/>
        <w:numPr>
          <w:ilvl w:val="0"/>
          <w:numId w:val="11"/>
        </w:numPr>
      </w:pPr>
      <w:r>
        <w:t xml:space="preserve">Buscar el dato que más podría cambiar la conducta.</w:t>
      </w:r>
    </w:p>
    <w:p>
      <w:pPr>
        <w:pStyle w:val="BodyJ"/>
        <w:keepNext w:val="false"/>
        <w:numPr>
          <w:ilvl w:val="0"/>
          <w:numId w:val="11"/>
        </w:numPr>
      </w:pPr>
      <w:r>
        <w:t xml:space="preserve">Definir qué desenlace obligaría a reabrir el caso.</w:t>
      </w:r>
    </w:p>
    <w:p>
      <w:pPr>
        <w:pStyle w:val="BodyJ"/>
        <w:keepNext w:val="false"/>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keepNext/>
        <w:keepLines/>
        <w:spacing w:after="120" w:before="280"/>
      </w:pPr>
      <w:r>
        <w:rPr>
          <w:rFonts w:ascii="Georgia" w:cs="Georgia" w:eastAsia="Georgia" w:hAnsi="Georgia"/>
          <w:b/>
          <w:bCs/>
          <w:color w:val="2B2B2B"/>
          <w:sz w:val="25"/>
          <w:szCs w:val="25"/>
        </w:rPr>
        <w:t xml:space="preserve">La mente del principiante</w:t>
      </w:r>
    </w:p>
    <w:p>
      <w:pPr>
        <w:pStyle w:val="BodyJ"/>
        <w:keepNext w:val="false"/>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keepNext w:val="false"/>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keepNext w:val="false"/>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keepNext/>
        <w:keepLines/>
        <w:spacing w:after="120" w:before="280"/>
      </w:pPr>
      <w:r>
        <w:rPr>
          <w:rFonts w:ascii="Georgia" w:cs="Georgia" w:eastAsia="Georgia" w:hAnsi="Georgia"/>
          <w:b/>
          <w:bCs/>
          <w:color w:val="2B2B2B"/>
          <w:sz w:val="25"/>
          <w:szCs w:val="25"/>
        </w:rPr>
        <w:t xml:space="preserve">Pausa diagnóstica y segundo lector</w:t>
      </w:r>
    </w:p>
    <w:p>
      <w:pPr>
        <w:pStyle w:val="BodyJ"/>
        <w:keepNext w:val="false"/>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keepNext w:val="false"/>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keepNext/>
        <w:keepLines/>
        <w:spacing w:after="120" w:before="280"/>
      </w:pPr>
      <w:r>
        <w:rPr>
          <w:rFonts w:ascii="Georgia" w:cs="Georgia" w:eastAsia="Georgia" w:hAnsi="Georgia"/>
          <w:b/>
          <w:bCs/>
          <w:color w:val="2B2B2B"/>
          <w:sz w:val="25"/>
          <w:szCs w:val="25"/>
        </w:rPr>
        <w:t xml:space="preserve">Reflexión después del desenlace</w:t>
      </w:r>
    </w:p>
    <w:p>
      <w:pPr>
        <w:pStyle w:val="BodyJ"/>
        <w:keepNext w:val="false"/>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y la calidad del proceso tiene componentes nombrables: representación, alternativas consideradas, estimación de consecuencias, comunicación, seguimiento y revisabilidad.</w:t>
      </w:r>
    </w:p>
    <w:p>
      <w:pPr>
        <w:pStyle w:val="BodyJ"/>
        <w:keepNext w:val="false"/>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keepNext w:val="false"/>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keepNext/>
        <w:spacing w:after="80" w:before="160"/>
      </w:pPr>
      <w:r>
        <w:rPr>
          <w:b/>
          <w:bCs/>
        </w:rPr>
        <w:t xml:space="preserve">Tres preguntas para la próxima visita.</w:t>
      </w:r>
    </w:p>
    <w:p>
      <w:pPr>
        <w:pStyle w:val="BodyJ"/>
        <w:keepNext/>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12"/>
        </w:numPr>
      </w:pPr>
      <w:r>
        <w:t xml:space="preserve">¿Puedo presentar mi caso más complejo sin usar su etiqueta diagnóstica?</w:t>
      </w:r>
    </w:p>
    <w:p>
      <w:pPr>
        <w:pStyle w:val="BodyJ"/>
        <w:keepNext w:val="false"/>
        <w:numPr>
          <w:ilvl w:val="0"/>
          <w:numId w:val="12"/>
        </w:numPr>
      </w:pPr>
      <w:r>
        <w:t xml:space="preserve">En mi última alta con diagnóstico incierto, ¿dejé escrito qué debería motivar reconsulta?</w:t>
      </w:r>
    </w:p>
    <w:p>
      <w:pPr>
        <w:pStyle w:val="Heading2"/>
        <w:keepNext/>
        <w:keepLines/>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keepNext w:val="false"/>
      </w:pPr>
      <w:r>
        <w:t xml:space="preserve">La ficha clínica de Carmen registra qué se hizo. No registra —casi ninguna ficha lo hace— cómo se pensó. Esta es la reconstrucción.</w:t>
      </w:r>
    </w:p>
    <w:p>
      <w:pPr>
        <w:pStyle w:val="BodyJ"/>
        <w:keepNext w:val="false"/>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keepNext w:val="false"/>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keepNext w:val="false"/>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keepNext w:val="false"/>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keepNext w:val="false"/>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keepNext/>
        <w:pageBreakBefore/>
      </w:pPr>
      <w:r>
        <w:t xml:space="preserve">PARTE III</w:t>
      </w:r>
    </w:p>
    <w:p>
      <w:pPr>
        <w:pStyle w:val="PartTitle"/>
        <w:keepNext/>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keepNext/>
        <w:keepLines/>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keepNext w:val="false"/>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keepNext/>
        <w:keepLines/>
        <w:spacing w:after="120" w:before="280"/>
      </w:pPr>
      <w:r>
        <w:rPr>
          <w:rFonts w:ascii="Georgia" w:cs="Georgia" w:eastAsia="Georgia" w:hAnsi="Georgia"/>
          <w:b/>
          <w:bCs/>
          <w:color w:val="2B2B2B"/>
          <w:sz w:val="25"/>
          <w:szCs w:val="25"/>
        </w:rPr>
        <w:t xml:space="preserve">La evidencia responde a una pregunta distinta</w:t>
      </w:r>
    </w:p>
    <w:p>
      <w:pPr>
        <w:pStyle w:val="BodyJ"/>
        <w:keepNext w:val="false"/>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keepNext w:val="false"/>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keepNext/>
        <w:keepLines/>
        <w:spacing w:after="120" w:before="280"/>
      </w:pPr>
      <w:r>
        <w:rPr>
          <w:rFonts w:ascii="Georgia" w:cs="Georgia" w:eastAsia="Georgia" w:hAnsi="Georgia"/>
          <w:b/>
          <w:bCs/>
          <w:color w:val="2B2B2B"/>
          <w:sz w:val="25"/>
          <w:szCs w:val="25"/>
        </w:rPr>
        <w:t xml:space="preserve">Del efecto promedio al caso singular</w:t>
      </w:r>
    </w:p>
    <w:p>
      <w:pPr>
        <w:pStyle w:val="BodyJ"/>
        <w:keepNext w:val="false"/>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keepNext w:val="false"/>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keepNext w:val="false"/>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keepNext w:val="false"/>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keepNext/>
        <w:keepLines/>
        <w:spacing w:after="120" w:before="280"/>
      </w:pPr>
      <w:r>
        <w:rPr>
          <w:rFonts w:ascii="Georgia" w:cs="Georgia" w:eastAsia="Georgia" w:hAnsi="Georgia"/>
          <w:b/>
          <w:bCs/>
          <w:color w:val="2B2B2B"/>
          <w:sz w:val="25"/>
          <w:szCs w:val="25"/>
        </w:rPr>
        <w:t xml:space="preserve">Una década sobre un mismo dato: la saga ANDROMEDA</w:t>
      </w:r>
    </w:p>
    <w:p>
      <w:pPr>
        <w:pStyle w:val="BodyJ"/>
        <w:keepNext w:val="false"/>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redujera la mortalidad a 28 días excedía el 90% (Zampieri et al., 2020). El mismo dato, dos marcos de lectura, dos frases distintas para la ficha.</w:t>
      </w:r>
    </w:p>
    <w:p>
      <w:pPr>
        <w:pStyle w:val="BodyJ"/>
        <w:keepNext w:val="false"/>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la trayectoria completa que vale como modelo de lectura de la evidencia.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keepNext w:val="false"/>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keepNext w:val="false"/>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keepNext w:val="false"/>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—ni obedecer al estudio ni improvisar contra él—.</w:t>
      </w:r>
    </w:p>
    <w:p>
      <w:pPr>
        <w:pStyle w:val="BodyJ"/>
        <w:keepNext/>
        <w:spacing w:after="80" w:before="160"/>
      </w:pPr>
      <w:r>
        <w:rPr>
          <w:b/>
          <w:bCs/>
        </w:rPr>
        <w:t xml:space="preserve">Tres preguntas para la próxima visita.</w:t>
      </w:r>
    </w:p>
    <w:p>
      <w:pPr>
        <w:pStyle w:val="BodyJ"/>
        <w:keepNext/>
        <w:numPr>
          <w:ilvl w:val="0"/>
          <w:numId w:val="13"/>
        </w:numPr>
      </w:pPr>
      <w:r>
        <w:t xml:space="preserve">Para mi indicación más importante de hoy: ¿qué demostró exactamente el estudio que la respalda, y en qué se parece mi paciente a esa población?</w:t>
      </w:r>
    </w:p>
    <w:p>
      <w:pPr>
        <w:pStyle w:val="BodyJ"/>
        <w:keepNext/>
        <w:numPr>
          <w:ilvl w:val="0"/>
          <w:numId w:val="13"/>
        </w:numPr>
      </w:pPr>
      <w:r>
        <w:t xml:space="preserve">El último ensayo «negativo» que cité: ¿mostró ausencia de efecto o ausencia de significación —y traté esa diferencia como si no existiera—?</w:t>
      </w:r>
    </w:p>
    <w:p>
      <w:pPr>
        <w:pStyle w:val="BodyJ"/>
        <w:keepNext w:val="false"/>
        <w:numPr>
          <w:ilvl w:val="0"/>
          <w:numId w:val="13"/>
        </w:numPr>
      </w:pPr>
      <w:r>
        <w:t xml:space="preserve">¿Qué conocimiento local (resistencias, tiempos, capacidad de seguimiento) está modificando mi decisión sin estar declarado en ninguna parte?</w:t>
      </w:r>
    </w:p>
    <w:p>
      <w:pPr>
        <w:pStyle w:val="Heading2"/>
        <w:keepNext/>
        <w:keepLines/>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keepNext w:val="false"/>
      </w:pPr>
      <w:r>
        <w:t xml:space="preserve">Suponga resuelto lo anterior: la evidencia está traducida, la probabilidad estimada, el caso representado. Queda la pregunta que ninguna estimación responde sola: ¿y ahora qué hacemos? Este capítulo trata del tramo final —donde la probabilidad se encuentra con las consecuencias, los valores entran al cálculo sin pedir permiso y la decisión técnica se cruza con la bioética—.</w:t>
      </w:r>
    </w:p>
    <w:p>
      <w:pPr>
        <w:pStyle w:val="Heading3"/>
        <w:keepNext/>
        <w:keepLines/>
        <w:spacing w:after="120" w:before="280"/>
      </w:pPr>
      <w:r>
        <w:rPr>
          <w:rFonts w:ascii="Georgia" w:cs="Georgia" w:eastAsia="Georgia" w:hAnsi="Georgia"/>
          <w:b/>
          <w:bCs/>
          <w:color w:val="2B2B2B"/>
          <w:sz w:val="25"/>
          <w:szCs w:val="25"/>
        </w:rPr>
        <w:t xml:space="preserve">De la verdad a la acción: el enfoque de umbrales</w:t>
      </w:r>
    </w:p>
    <w:p>
      <w:pPr>
        <w:pStyle w:val="BodyJ"/>
        <w:keepNext w:val="false"/>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keepNext w:val="false"/>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Errores asimétricos</w:t>
      </w:r>
    </w:p>
    <w:p>
      <w:pPr>
        <w:pStyle w:val="BodyJ"/>
        <w:keepNext w:val="false"/>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keepNext w:val="false"/>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keepNext/>
        <w:keepLines/>
      </w:pPr>
      <w:r>
        <w:t xml:space="preserve">Caja de herramientas. Frecuencias naturales al lado de la cama</w:t>
      </w:r>
    </w:p>
    <w:p>
      <w:pPr>
        <w:pStyle w:val="BodyJ"/>
        <w:keepNext w:val="false"/>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El umbral es un juicio de valor: el riesgo inductivo</w:t>
      </w:r>
    </w:p>
    <w:p>
      <w:pPr>
        <w:pStyle w:val="BodyJ"/>
        <w:keepNext w:val="false"/>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keepNext w:val="false"/>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D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keepNext w:val="false"/>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keepNext/>
        <w:keepLines/>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keepNext w:val="false"/>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keepNext w:val="false"/>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keepNext w:val="false"/>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keepNext/>
        <w:keepLines/>
        <w:spacing w:after="120" w:before="280"/>
      </w:pPr>
      <w:r>
        <w:rPr>
          <w:rFonts w:ascii="Georgia" w:cs="Georgia" w:eastAsia="Georgia" w:hAnsi="Georgia"/>
          <w:b/>
          <w:bCs/>
          <w:color w:val="2B2B2B"/>
          <w:sz w:val="25"/>
          <w:szCs w:val="25"/>
        </w:rPr>
        <w:t xml:space="preserve">Cuatro tópicos, proporcionalidad y deliberación</w:t>
      </w:r>
    </w:p>
    <w:p>
      <w:pPr>
        <w:pStyle w:val="BodyJ"/>
        <w:keepNext w:val="false"/>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keepNext w:val="false"/>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—«hacer todo», «no hacer nada»— casi nunca son los prudentes, y suelen ser los que se eligen cuando nadie deliberó.</w:t>
      </w:r>
    </w:p>
    <w:p>
      <w:pPr>
        <w:pStyle w:val="BodyJ"/>
        <w:keepNext w:val="false"/>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—umbrales explícitos, valores declarados y el contexto global del paciente dentro del cálculo—.</w:t>
      </w:r>
    </w:p>
    <w:p>
      <w:pPr>
        <w:pStyle w:val="BodyJ"/>
        <w:keepNext/>
        <w:spacing w:after="80" w:before="160"/>
      </w:pPr>
      <w:r>
        <w:rPr>
          <w:b/>
          <w:bCs/>
        </w:rPr>
        <w:t xml:space="preserve">Tres preguntas para la próxima visita.</w:t>
      </w:r>
    </w:p>
    <w:p>
      <w:pPr>
        <w:pStyle w:val="BodyJ"/>
        <w:keepNext/>
        <w:numPr>
          <w:ilvl w:val="0"/>
          <w:numId w:val="14"/>
        </w:numPr>
      </w:pPr>
      <w:r>
        <w:t xml:space="preserve">¿Cuál es el umbral implícito de mi decisión: qué probabilidad de estar equivocado la haría cambiar?</w:t>
      </w:r>
    </w:p>
    <w:p>
      <w:pPr>
        <w:pStyle w:val="BodyJ"/>
        <w:keepNext/>
        <w:numPr>
          <w:ilvl w:val="0"/>
          <w:numId w:val="14"/>
        </w:numPr>
      </w:pPr>
      <w:r>
        <w:t xml:space="preserve">¿Estoy exigiendo certeza diagnóstica donde bastaría compromiso práctico, o actuando para no tolerar una duda?</w:t>
      </w:r>
    </w:p>
    <w:p>
      <w:pPr>
        <w:pStyle w:val="BodyJ"/>
        <w:keepNext w:val="false"/>
        <w:numPr>
          <w:ilvl w:val="0"/>
          <w:numId w:val="14"/>
        </w:numPr>
      </w:pPr>
      <w:r>
        <w:t xml:space="preserve">De mi paciente más grave de hoy: ¿sé cómo funcionaba antes de enfermar, con quién vive y qué espera del tratamiento —y está escrito en alguna parte—?</w:t>
      </w:r>
    </w:p>
    <w:p>
      <w:pPr>
        <w:pStyle w:val="Heading2"/>
        <w:keepNext/>
        <w:keepLines/>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keepNext w:val="false"/>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keepNext/>
        <w:keepLines/>
        <w:spacing w:after="120" w:before="280"/>
      </w:pPr>
      <w:r>
        <w:rPr>
          <w:rFonts w:ascii="Georgia" w:cs="Georgia" w:eastAsia="Georgia" w:hAnsi="Georgia"/>
          <w:b/>
          <w:bCs/>
          <w:color w:val="2B2B2B"/>
          <w:sz w:val="25"/>
          <w:szCs w:val="25"/>
        </w:rPr>
        <w:t xml:space="preserve">El caso clínico es una trayectoria</w:t>
      </w:r>
    </w:p>
    <w:p>
      <w:pPr>
        <w:pStyle w:val="BodyJ"/>
        <w:keepNext w:val="false"/>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keepNext w:val="false"/>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keepNext/>
        <w:keepLines/>
        <w:spacing w:after="120" w:before="280"/>
      </w:pPr>
      <w:r>
        <w:rPr>
          <w:rFonts w:ascii="Georgia" w:cs="Georgia" w:eastAsia="Georgia" w:hAnsi="Georgia"/>
          <w:b/>
          <w:bCs/>
          <w:color w:val="2B2B2B"/>
          <w:sz w:val="25"/>
          <w:szCs w:val="25"/>
        </w:rPr>
        <w:t xml:space="preserve">El tiempo como fuente de evidencia</w:t>
      </w:r>
    </w:p>
    <w:p>
      <w:pPr>
        <w:pStyle w:val="BodyJ"/>
        <w:keepNext w:val="false"/>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keepNext w:val="false"/>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keepNext w:val="false"/>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keepNext w:val="false"/>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keepNext/>
        <w:keepLines/>
        <w:spacing w:after="120" w:before="280"/>
      </w:pPr>
      <w:r>
        <w:rPr>
          <w:rFonts w:ascii="Georgia" w:cs="Georgia" w:eastAsia="Georgia" w:hAnsi="Georgia"/>
          <w:b/>
          <w:bCs/>
          <w:color w:val="2B2B2B"/>
          <w:sz w:val="25"/>
          <w:szCs w:val="25"/>
        </w:rPr>
        <w:t xml:space="preserve">Tiempo, reversibilidad y umbral</w:t>
      </w:r>
    </w:p>
    <w:p>
      <w:pPr>
        <w:pStyle w:val="BodyJ"/>
        <w:keepNext w:val="false"/>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—y el tiempo que se compra con una medida reversible es, a menudo, la mejor inversión diagnóstica disponible—.</w:t>
      </w:r>
    </w:p>
    <w:p>
      <w:pPr>
        <w:pStyle w:val="BodyJ"/>
        <w:keepNext w:val="false"/>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keepNext w:val="false"/>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keepNext/>
        <w:keepLines/>
        <w:spacing w:after="120" w:before="280"/>
      </w:pPr>
      <w:r>
        <w:rPr>
          <w:rFonts w:ascii="Georgia" w:cs="Georgia" w:eastAsia="Georgia" w:hAnsi="Georgia"/>
          <w:b/>
          <w:bCs/>
          <w:color w:val="2B2B2B"/>
          <w:sz w:val="25"/>
          <w:szCs w:val="25"/>
        </w:rPr>
        <w:t xml:space="preserve">Causalidad y contrafactuales</w:t>
      </w:r>
    </w:p>
    <w:p>
      <w:pPr>
        <w:pStyle w:val="BodyJ"/>
        <w:keepNext w:val="false"/>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keepNext w:val="false"/>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keepNext/>
        <w:keepLines/>
        <w:spacing w:after="120" w:before="280"/>
      </w:pPr>
      <w:r>
        <w:rPr>
          <w:rFonts w:ascii="Georgia" w:cs="Georgia" w:eastAsia="Georgia" w:hAnsi="Georgia"/>
          <w:b/>
          <w:bCs/>
          <w:color w:val="2B2B2B"/>
          <w:sz w:val="25"/>
          <w:szCs w:val="25"/>
        </w:rPr>
        <w:t xml:space="preserve">Puntos de inflexión</w:t>
      </w:r>
    </w:p>
    <w:p>
      <w:pPr>
        <w:pStyle w:val="BodyJ"/>
        <w:keepNext w:val="false"/>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keepNext w:val="false"/>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keepNext w:val="false"/>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keepNext/>
        <w:spacing w:after="80" w:before="160"/>
      </w:pPr>
      <w:r>
        <w:rPr>
          <w:b/>
          <w:bCs/>
        </w:rPr>
        <w:t xml:space="preserve">Tres preguntas para la próxima visita.</w:t>
      </w:r>
    </w:p>
    <w:p>
      <w:pPr>
        <w:pStyle w:val="BodyJ"/>
        <w:keepNext/>
        <w:numPr>
          <w:ilvl w:val="0"/>
          <w:numId w:val="15"/>
        </w:numPr>
      </w:pPr>
      <w:r>
        <w:t xml:space="preserve">«Está mejor»: ¿mejor que cuándo, en qué variable y a qué velocidad?</w:t>
      </w:r>
    </w:p>
    <w:p>
      <w:pPr>
        <w:pStyle w:val="BodyJ"/>
        <w:keepNext/>
        <w:numPr>
          <w:ilvl w:val="0"/>
          <w:numId w:val="15"/>
        </w:numPr>
      </w:pPr>
      <w:r>
        <w:t xml:space="preserve">¿Qué predijo mi diagnóstico hace 48 horas, y la evolución lo confirmó o lo desmintió?</w:t>
      </w:r>
    </w:p>
    <w:p>
      <w:pPr>
        <w:pStyle w:val="BodyJ"/>
        <w:keepNext w:val="false"/>
        <w:numPr>
          <w:ilvl w:val="0"/>
          <w:numId w:val="15"/>
        </w:numPr>
      </w:pPr>
      <w:r>
        <w:t xml:space="preserve">Mi «observación» de hoy, ¿tiene plazo, variables y criterio de salida, o es una espera sin diseño?</w:t>
      </w:r>
    </w:p>
    <w:p>
      <w:pPr>
        <w:pStyle w:val="Heading2"/>
        <w:keepNext/>
        <w:keepLines/>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keepNext w:val="false"/>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keepNext/>
        <w:keepLines/>
        <w:spacing w:after="120" w:before="280"/>
      </w:pPr>
      <w:r>
        <w:rPr>
          <w:rFonts w:ascii="Georgia" w:cs="Georgia" w:eastAsia="Georgia" w:hAnsi="Georgia"/>
          <w:b/>
          <w:bCs/>
          <w:color w:val="2B2B2B"/>
          <w:sz w:val="25"/>
          <w:szCs w:val="25"/>
        </w:rPr>
        <w:t xml:space="preserve">Registrar no es archivar: la ficha produce lo visible</w:t>
      </w:r>
    </w:p>
    <w:p>
      <w:pPr>
        <w:pStyle w:val="BodyJ"/>
        <w:keepNext w:val="false"/>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keepNext w:val="false"/>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keepNext w:val="false"/>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keepNext w:val="false"/>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keepNext w:val="false"/>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keepNext/>
        <w:keepLines/>
        <w:spacing w:after="120" w:before="280"/>
      </w:pPr>
      <w:r>
        <w:rPr>
          <w:rFonts w:ascii="Georgia" w:cs="Georgia" w:eastAsia="Georgia" w:hAnsi="Georgia"/>
          <w:b/>
          <w:bCs/>
          <w:color w:val="2B2B2B"/>
          <w:sz w:val="25"/>
          <w:szCs w:val="25"/>
        </w:rPr>
        <w:t xml:space="preserve">El problema como unidad</w:t>
      </w:r>
    </w:p>
    <w:p>
      <w:pPr>
        <w:pStyle w:val="BodyJ"/>
        <w:keepNext w:val="false"/>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keepNext w:val="false"/>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La matriz HII-D y la frase medular</w:t>
      </w:r>
    </w:p>
    <w:p>
      <w:pPr>
        <w:pStyle w:val="BodyJ"/>
        <w:keepNext/>
      </w:pPr>
      <w:r>
        <w:t xml:space="preserve">Puede aplicarse una secuencia simple:</w:t>
      </w:r>
    </w:p>
    <w:p>
      <w:pPr>
        <w:pStyle w:val="BodyJ"/>
        <w:keepNext/>
        <w:numPr>
          <w:ilvl w:val="0"/>
          <w:numId w:val="5"/>
        </w:numPr>
      </w:pPr>
      <w:r>
        <w:rPr>
          <w:b/>
          <w:bCs/>
        </w:rPr>
        <w:t xml:space="preserve">H — Hechos</w:t>
      </w:r>
      <w:r>
        <w:t xml:space="preserve">: datos relevantes, fuente, fecha y evolución.</w:t>
      </w:r>
    </w:p>
    <w:p>
      <w:pPr>
        <w:pStyle w:val="BodyJ"/>
        <w:keepNext/>
        <w:numPr>
          <w:ilvl w:val="0"/>
          <w:numId w:val="5"/>
        </w:numPr>
      </w:pPr>
      <w:r>
        <w:rPr>
          <w:b/>
          <w:bCs/>
        </w:rPr>
        <w:t xml:space="preserve">I — Inferencias</w:t>
      </w:r>
      <w:r>
        <w:t xml:space="preserve">: diagnóstico o mecanismo propuesto, con grado de respaldo.</w:t>
      </w:r>
    </w:p>
    <w:p>
      <w:pPr>
        <w:pStyle w:val="BodyJ"/>
        <w:keepNext/>
        <w:numPr>
          <w:ilvl w:val="0"/>
          <w:numId w:val="5"/>
        </w:numPr>
      </w:pPr>
      <w:r>
        <w:rPr>
          <w:b/>
          <w:bCs/>
        </w:rPr>
        <w:t xml:space="preserve">I — Incertidumbre</w:t>
      </w:r>
      <w:r>
        <w:t xml:space="preserve">: alternativas, límites de pruebas y preguntas abiertas.</w:t>
      </w:r>
    </w:p>
    <w:p>
      <w:pPr>
        <w:pStyle w:val="BodyJ"/>
        <w:keepNext w:val="false"/>
        <w:numPr>
          <w:ilvl w:val="0"/>
          <w:numId w:val="5"/>
        </w:numPr>
      </w:pPr>
      <w:r>
        <w:rPr>
          <w:b/>
          <w:bCs/>
        </w:rPr>
        <w:t xml:space="preserve">D — Decisión</w:t>
      </w:r>
      <w:r>
        <w:t xml:space="preserve">: conducta, razón, umbral y criterio de reapertura.</w:t>
      </w:r>
    </w:p>
    <w:p>
      <w:pPr>
        <w:pStyle w:val="BodyJ"/>
        <w:keepNext w:val="false"/>
      </w:pPr>
      <w:r>
        <w:t xml:space="preserve">No es necesario rotular cada párrafo. La estructura puede estar implícita, pero debe ser recuperable. En casos complejos, explicitarla reduce ambigüedad.</w:t>
      </w:r>
    </w:p>
    <w:p>
      <w:pPr>
        <w:pStyle w:val="BodyJ"/>
        <w:keepNext w:val="false"/>
      </w:pPr>
      <w:r>
        <w:t xml:space="preserve">Ejemplo:</w:t>
      </w:r>
    </w:p>
    <w:p>
      <w:pPr>
        <w:pStyle w:val="BodyJ"/>
        <w:keepNext w:val="false"/>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keepNext w:val="false"/>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keepNext w:val="false"/>
      </w:pPr>
      <w:r>
        <w:rPr>
          <w:i/>
          <w:iCs/>
        </w:rPr>
        <w:t xml:space="preserve">Incertidumbre:</w:t>
      </w:r>
      <w:r>
        <w:t xml:space="preserve"> los síntomas urinarios bajos clásicos no son evaluables por su lesión medular; el riesgo es subestimar una infección incipiente de expresión atípica.</w:t>
      </w:r>
    </w:p>
    <w:p>
      <w:pPr>
        <w:pStyle w:val="BodyJ"/>
        <w:keepNext w:val="false"/>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keepNext w:val="false"/>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keepNext w:val="false"/>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keepNext w:val="false"/>
      </w:pPr>
      <w:r>
        <w:t xml:space="preserve">La frase contiene una inferencia y una conducta. No declara que la infección sea imposible. Explica por qué la evidencia actual no supera el umbral terapéutico.</w:t>
      </w:r>
    </w:p>
    <w:p>
      <w:pPr>
        <w:pStyle w:val="Heading3"/>
        <w:keepNext/>
        <w:keepLines/>
        <w:spacing w:after="120" w:before="280"/>
      </w:pPr>
      <w:r>
        <w:rPr>
          <w:rFonts w:ascii="Georgia" w:cs="Georgia" w:eastAsia="Georgia" w:hAnsi="Georgia"/>
          <w:b/>
          <w:bCs/>
          <w:color w:val="2B2B2B"/>
          <w:sz w:val="25"/>
          <w:szCs w:val="25"/>
        </w:rPr>
        <w:t xml:space="preserve">La ficha de resultados y la ficha de proceso</w:t>
      </w:r>
    </w:p>
    <w:p>
      <w:pPr>
        <w:pStyle w:val="BodyJ"/>
        <w:keepNext w:val="false"/>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keepNext w:val="false"/>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keepNext/>
        <w:keepLines/>
        <w:spacing w:after="120" w:before="280"/>
      </w:pPr>
      <w:r>
        <w:rPr>
          <w:rFonts w:ascii="Georgia" w:cs="Georgia" w:eastAsia="Georgia" w:hAnsi="Georgia"/>
          <w:b/>
          <w:bCs/>
          <w:color w:val="2B2B2B"/>
          <w:sz w:val="25"/>
          <w:szCs w:val="25"/>
        </w:rPr>
        <w:t xml:space="preserve">La neumonía escrita como proceso</w:t>
      </w:r>
    </w:p>
    <w:p>
      <w:pPr>
        <w:pStyle w:val="BodyJ"/>
        <w:keepNext/>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keepNext w:val="false"/>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keepNext w:val="false"/>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keepNext/>
        <w:keepLines/>
        <w:spacing w:after="120" w:before="280"/>
      </w:pPr>
      <w:r>
        <w:rPr>
          <w:rFonts w:ascii="Georgia" w:cs="Georgia" w:eastAsia="Georgia" w:hAnsi="Georgia"/>
          <w:b/>
          <w:bCs/>
          <w:color w:val="2B2B2B"/>
          <w:sz w:val="25"/>
          <w:szCs w:val="25"/>
        </w:rPr>
        <w:t xml:space="preserve">Temporalidad y revisión</w:t>
      </w:r>
    </w:p>
    <w:p>
      <w:pPr>
        <w:pStyle w:val="BodyJ"/>
        <w:keepNext w:val="false"/>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keepNext w:val="false"/>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keepNext/>
        <w:spacing w:after="80" w:before="160"/>
      </w:pPr>
      <w:r>
        <w:rPr>
          <w:b/>
          <w:bCs/>
        </w:rPr>
        <w:t xml:space="preserve">Tres preguntas para la próxima visita.</w:t>
      </w:r>
    </w:p>
    <w:p>
      <w:pPr>
        <w:pStyle w:val="BodyJ"/>
        <w:keepNext/>
        <w:numPr>
          <w:ilvl w:val="0"/>
          <w:numId w:val="16"/>
        </w:numPr>
      </w:pPr>
      <w:r>
        <w:t xml:space="preserve">¿Qué párrafo de mi evolución de hoy es copia de ayer, y sigue siendo verdad?</w:t>
      </w:r>
    </w:p>
    <w:p>
      <w:pPr>
        <w:pStyle w:val="BodyJ"/>
        <w:keepNext/>
        <w:numPr>
          <w:ilvl w:val="0"/>
          <w:numId w:val="16"/>
        </w:numPr>
      </w:pPr>
      <w:r>
        <w:t xml:space="preserve">Si yo no estuviera mañana, ¿el médico que me reemplace sabría por mi nota qué vigilar y qué reabriría el caso?</w:t>
      </w:r>
    </w:p>
    <w:p>
      <w:pPr>
        <w:pStyle w:val="BodyJ"/>
        <w:keepNext w:val="false"/>
        <w:numPr>
          <w:ilvl w:val="0"/>
          <w:numId w:val="16"/>
        </w:numPr>
      </w:pPr>
      <w:r>
        <w:t xml:space="preserve">¿Mi lista de problemas distingue hechos, hipótesis, acciones pendientes e incertidumbres, o todo tiene el mismo estatus?</w:t>
      </w:r>
    </w:p>
    <w:p>
      <w:pPr>
        <w:pStyle w:val="Heading2"/>
        <w:keepNext/>
        <w:keepLines/>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keepNext w:val="false"/>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keepNext/>
        <w:keepLines/>
        <w:spacing w:after="120" w:before="280"/>
      </w:pPr>
      <w:r>
        <w:rPr>
          <w:rFonts w:ascii="Georgia" w:cs="Georgia" w:eastAsia="Georgia" w:hAnsi="Georgia"/>
          <w:b/>
          <w:bCs/>
          <w:color w:val="2B2B2B"/>
          <w:sz w:val="25"/>
          <w:szCs w:val="25"/>
        </w:rPr>
        <w:t xml:space="preserve">La mente clínica no termina en el cráneo</w:t>
      </w:r>
    </w:p>
    <w:p>
      <w:pPr>
        <w:pStyle w:val="BodyJ"/>
        <w:keepNext w:val="false"/>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keepNext w:val="false"/>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keepNext w:val="false"/>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keepNext/>
        <w:keepLines/>
        <w:spacing w:after="120" w:before="280"/>
      </w:pPr>
      <w:r>
        <w:rPr>
          <w:rFonts w:ascii="Georgia" w:cs="Georgia" w:eastAsia="Georgia" w:hAnsi="Georgia"/>
          <w:b/>
          <w:bCs/>
          <w:color w:val="2B2B2B"/>
          <w:sz w:val="25"/>
          <w:szCs w:val="25"/>
        </w:rPr>
        <w:t xml:space="preserve">Transferir es transformar</w:t>
      </w:r>
    </w:p>
    <w:p>
      <w:pPr>
        <w:pStyle w:val="BodyJ"/>
        <w:keepNext w:val="false"/>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keepNext w:val="false"/>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keepNext w:val="false"/>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keepNext/>
        <w:keepLines/>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keepNext w:val="false"/>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keepNext w:val="false"/>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keepNext w:val="false"/>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keepNext w:val="false"/>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keepNext w:val="false"/>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keepNext/>
        <w:keepLines/>
        <w:spacing w:after="120" w:before="280"/>
      </w:pPr>
      <w:r>
        <w:rPr>
          <w:rFonts w:ascii="Georgia" w:cs="Georgia" w:eastAsia="Georgia" w:hAnsi="Georgia"/>
          <w:b/>
          <w:bCs/>
          <w:color w:val="2B2B2B"/>
          <w:sz w:val="25"/>
          <w:szCs w:val="25"/>
        </w:rPr>
        <w:t xml:space="preserve">Comunicar incertidumbre sin perder confianza</w:t>
      </w:r>
    </w:p>
    <w:p>
      <w:pPr>
        <w:pStyle w:val="BodyJ"/>
        <w:keepNext w:val="false"/>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keepNext w:val="false"/>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keepNext/>
      </w:pPr>
      <w:r>
        <w:t xml:space="preserve">Una comunicación útil incluye cuatro elementos:</w:t>
      </w:r>
    </w:p>
    <w:p>
      <w:pPr>
        <w:pStyle w:val="BodyJ"/>
        <w:keepNext/>
        <w:numPr>
          <w:ilvl w:val="0"/>
          <w:numId w:val="17"/>
        </w:numPr>
      </w:pPr>
      <w:r>
        <w:rPr>
          <w:b/>
          <w:bCs/>
        </w:rPr>
        <w:t xml:space="preserve">Qué sabemos</w:t>
      </w:r>
      <w:r>
        <w:t xml:space="preserve">: hallazgos confirmados y su relevancia.</w:t>
      </w:r>
    </w:p>
    <w:p>
      <w:pPr>
        <w:pStyle w:val="BodyJ"/>
        <w:keepNext/>
        <w:numPr>
          <w:ilvl w:val="0"/>
          <w:numId w:val="17"/>
        </w:numPr>
      </w:pPr>
      <w:r>
        <w:rPr>
          <w:b/>
          <w:bCs/>
        </w:rPr>
        <w:t xml:space="preserve">Qué creemos</w:t>
      </w:r>
      <w:r>
        <w:t xml:space="preserve">: explicación principal y alternativas importantes.</w:t>
      </w:r>
    </w:p>
    <w:p>
      <w:pPr>
        <w:pStyle w:val="BodyJ"/>
        <w:keepNext/>
        <w:numPr>
          <w:ilvl w:val="0"/>
          <w:numId w:val="17"/>
        </w:numPr>
      </w:pPr>
      <w:r>
        <w:rPr>
          <w:b/>
          <w:bCs/>
        </w:rPr>
        <w:t xml:space="preserve">Qué no sabemos todavía</w:t>
      </w:r>
      <w:r>
        <w:t xml:space="preserve">: límites concretos.</w:t>
      </w:r>
    </w:p>
    <w:p>
      <w:pPr>
        <w:pStyle w:val="BodyJ"/>
        <w:keepNext w:val="false"/>
        <w:numPr>
          <w:ilvl w:val="0"/>
          <w:numId w:val="17"/>
        </w:numPr>
      </w:pPr>
      <w:r>
        <w:rPr>
          <w:b/>
          <w:bCs/>
        </w:rPr>
        <w:t xml:space="preserve">Qué haremos</w:t>
      </w:r>
      <w:r>
        <w:t xml:space="preserve">: acción, vigilancia y momento de revisión.</w:t>
      </w:r>
    </w:p>
    <w:p>
      <w:pPr>
        <w:pStyle w:val="BodyJ"/>
        <w:keepNext w:val="false"/>
      </w:pPr>
      <w:r>
        <w:t xml:space="preserve">Este esquema reduce dos riesgos: transmitir falsa seguridad y trasladar al paciente una ambigüedad no elaborada.</w:t>
      </w:r>
    </w:p>
    <w:p>
      <w:pPr>
        <w:pStyle w:val="BodyJ"/>
        <w:keepNext w:val="false"/>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keepNext/>
        <w:keepLines/>
        <w:spacing w:after="120" w:before="280"/>
      </w:pPr>
      <w:r>
        <w:rPr>
          <w:rFonts w:ascii="Georgia" w:cs="Georgia" w:eastAsia="Georgia" w:hAnsi="Georgia"/>
          <w:b/>
          <w:bCs/>
          <w:color w:val="2B2B2B"/>
          <w:sz w:val="25"/>
          <w:szCs w:val="25"/>
        </w:rPr>
        <w:t xml:space="preserve">Incertidumbre dentro del equipo</w:t>
      </w:r>
    </w:p>
    <w:p>
      <w:pPr>
        <w:pStyle w:val="BodyJ"/>
        <w:keepNext w:val="false"/>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keepNext w:val="false"/>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keepNext w:val="false"/>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keepNext/>
        <w:keepLines/>
        <w:spacing w:after="120" w:before="280"/>
      </w:pPr>
      <w:r>
        <w:rPr>
          <w:rFonts w:ascii="Georgia" w:cs="Georgia" w:eastAsia="Georgia" w:hAnsi="Georgia"/>
          <w:b/>
          <w:bCs/>
          <w:color w:val="2B2B2B"/>
          <w:sz w:val="25"/>
          <w:szCs w:val="25"/>
        </w:rPr>
        <w:t xml:space="preserve">La ética de la fuerza verbal</w:t>
      </w:r>
    </w:p>
    <w:p>
      <w:pPr>
        <w:pStyle w:val="BodyJ"/>
        <w:keepNext w:val="false"/>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keepNext w:val="false"/>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keepNext/>
        <w:spacing w:after="80" w:before="160"/>
      </w:pPr>
      <w:r>
        <w:rPr>
          <w:b/>
          <w:bCs/>
        </w:rPr>
        <w:t xml:space="preserve">Tres preguntas para la próxima visita.</w:t>
      </w:r>
    </w:p>
    <w:p>
      <w:pPr>
        <w:pStyle w:val="BodyJ"/>
        <w:keepNext/>
        <w:numPr>
          <w:ilvl w:val="0"/>
          <w:numId w:val="18"/>
        </w:numPr>
      </w:pPr>
      <w:r>
        <w:t xml:space="preserve">¿Qué observó enfermería en las últimas 24 horas que no pasó por mi evaluación?</w:t>
      </w:r>
    </w:p>
    <w:p>
      <w:pPr>
        <w:pStyle w:val="BodyJ"/>
        <w:keepNext/>
        <w:numPr>
          <w:ilvl w:val="0"/>
          <w:numId w:val="18"/>
        </w:numPr>
      </w:pPr>
      <w:r>
        <w:t xml:space="preserve">En mi último desacuerdo clínico, ¿discrepábamos en hechos, inferencias, incertidumbre, valores o umbral?</w:t>
      </w:r>
    </w:p>
    <w:p>
      <w:pPr>
        <w:pStyle w:val="BodyJ"/>
        <w:keepNext w:val="false"/>
        <w:numPr>
          <w:ilvl w:val="0"/>
          <w:numId w:val="18"/>
        </w:numPr>
      </w:pPr>
      <w:r>
        <w:t xml:space="preserve">¿Mi paciente sabe qué sabemos, qué creemos, qué no sabemos aún y qué haremos —o sólo recibió una etiqueta—?</w:t>
      </w:r>
    </w:p>
    <w:p>
      <w:pPr>
        <w:pStyle w:val="Heading2"/>
        <w:keepNext/>
        <w:keepLines/>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keepNext w:val="false"/>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keepNext w:val="false"/>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keepNext w:val="false"/>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keepNext w:val="false"/>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keepNext w:val="false"/>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keepNext w:val="false"/>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keepNext/>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keepNext/>
        <w:pageBreakBefore/>
      </w:pPr>
      <w:r>
        <w:t xml:space="preserve">PARTE IV</w:t>
      </w:r>
    </w:p>
    <w:p>
      <w:pPr>
        <w:pStyle w:val="PartTitle"/>
        <w:keepNext/>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—porque el debate sobre lo que la palabra tiene derecho a hacer también se libró en verso, y en Chile (capítulo 18)—.</w:t>
      </w:r>
    </w:p>
    <w:p>
      <w:pPr>
        <w:pStyle w:val="Heading2"/>
        <w:keepNext/>
        <w:keepLines/>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keepNext w:val="false"/>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keepNext/>
        <w:keepLines/>
        <w:spacing w:after="120" w:before="280"/>
      </w:pPr>
      <w:r>
        <w:rPr>
          <w:rFonts w:ascii="Georgia" w:cs="Georgia" w:eastAsia="Georgia" w:hAnsi="Georgia"/>
          <w:b/>
          <w:bCs/>
          <w:color w:val="2B2B2B"/>
          <w:sz w:val="25"/>
          <w:szCs w:val="25"/>
        </w:rPr>
        <w:t xml:space="preserve">Afirmar es asumir una responsabilidad</w:t>
      </w:r>
    </w:p>
    <w:p>
      <w:pPr>
        <w:pStyle w:val="BodyJ"/>
        <w:keepNext w:val="false"/>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keepNext w:val="false"/>
      </w:pPr>
      <w:r>
        <w:t xml:space="preserve">Hay que decirlo de entrada, porque el resto del capítulo lo presupone: pensar bien es parte de la ética primordial del médico, no un refinamiento intelectual que se agrega a ella. Es su herramienta principal, de la que parte todo lo demás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keepNext w:val="false"/>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keepNext/>
        <w:keepLines/>
        <w:spacing w:after="120" w:before="280"/>
      </w:pPr>
      <w:r>
        <w:rPr>
          <w:rFonts w:ascii="Georgia" w:cs="Georgia" w:eastAsia="Georgia" w:hAnsi="Georgia"/>
          <w:b/>
          <w:bCs/>
          <w:color w:val="2B2B2B"/>
          <w:sz w:val="25"/>
          <w:szCs w:val="25"/>
        </w:rPr>
        <w:t xml:space="preserve">Humildad epistémica</w:t>
      </w:r>
    </w:p>
    <w:p>
      <w:pPr>
        <w:pStyle w:val="BodyJ"/>
        <w:keepNext w:val="false"/>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keepNext w:val="false"/>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keepNext/>
        <w:keepLines/>
        <w:spacing w:after="120" w:before="280"/>
      </w:pPr>
      <w:r>
        <w:rPr>
          <w:rFonts w:ascii="Georgia" w:cs="Georgia" w:eastAsia="Georgia" w:hAnsi="Georgia"/>
          <w:b/>
          <w:bCs/>
          <w:color w:val="2B2B2B"/>
          <w:sz w:val="25"/>
          <w:szCs w:val="25"/>
        </w:rPr>
        <w:t xml:space="preserve">La humildad como motor: explorar, aprender, reenfocar</w:t>
      </w:r>
    </w:p>
    <w:p>
      <w:pPr>
        <w:pStyle w:val="BodyJ"/>
        <w:keepNext w:val="false"/>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—saber dónde termina lo que uno sabe, y dejar que ese saber actúe (Whitcomb et al., 2017)—. Definida así, la humildad no es un freno. Es un motor: la única disposición que mantiene el caso abierto después de que ya hay una respuesta que funciona.</w:t>
      </w:r>
    </w:p>
    <w:p>
      <w:pPr>
        <w:pStyle w:val="BodyJ"/>
        <w:keepNext w:val="false"/>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—y saber la diferencia es humildad operando—.</w:t>
      </w:r>
    </w:p>
    <w:p>
      <w:pPr>
        <w:pStyle w:val="BodyJ"/>
        <w:keepNext w:val="false"/>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keepNext w:val="false"/>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—de lo urinario a lo abdominal, de la lesión estructural al trastorno funcional, del objetivo curativo al de confort—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keepNext w:val="false"/>
      </w:pPr>
      <w:r>
        <w:t xml:space="preserve">Vista así, la humildad no es una virtud separada de la phronesis invocada desde el capítulo 6: es su condición de funcionamiento. La prudencia práctica integra, en el caso particular, lo que ningún algoritmo integra por el clínico: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keepNext w:val="false"/>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keepNext/>
        <w:keepLines/>
        <w:spacing w:after="120" w:before="280"/>
      </w:pPr>
      <w:r>
        <w:rPr>
          <w:rFonts w:ascii="Georgia" w:cs="Georgia" w:eastAsia="Georgia" w:hAnsi="Georgia"/>
          <w:b/>
          <w:bCs/>
          <w:color w:val="2B2B2B"/>
          <w:sz w:val="25"/>
          <w:szCs w:val="25"/>
        </w:rPr>
        <w:t xml:space="preserve">Credibilidad y experiencia del paciente</w:t>
      </w:r>
    </w:p>
    <w:p>
      <w:pPr>
        <w:pStyle w:val="BodyJ"/>
        <w:keepNext w:val="false"/>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keepNext w:val="false"/>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keepNext w:val="false"/>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keepNext w:val="false"/>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keepNext/>
        <w:keepLines/>
        <w:spacing w:after="120" w:before="280"/>
      </w:pPr>
      <w:r>
        <w:rPr>
          <w:rFonts w:ascii="Georgia" w:cs="Georgia" w:eastAsia="Georgia" w:hAnsi="Georgia"/>
          <w:b/>
          <w:bCs/>
          <w:color w:val="2B2B2B"/>
          <w:sz w:val="25"/>
          <w:szCs w:val="25"/>
        </w:rPr>
        <w:t xml:space="preserve">La ética de la incertidumbre</w:t>
      </w:r>
    </w:p>
    <w:p>
      <w:pPr>
        <w:pStyle w:val="BodyJ"/>
        <w:keepNext w:val="false"/>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keepNext w:val="false"/>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keepNext w:val="false"/>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keepNext/>
        <w:keepLines/>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keepNext w:val="false"/>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keepNext w:val="false"/>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keepNext/>
        <w:keepLines/>
        <w:spacing w:after="120" w:before="280"/>
      </w:pPr>
      <w:r>
        <w:rPr>
          <w:rFonts w:ascii="Georgia" w:cs="Georgia" w:eastAsia="Georgia" w:hAnsi="Georgia"/>
          <w:b/>
          <w:bCs/>
          <w:color w:val="2B2B2B"/>
          <w:sz w:val="25"/>
          <w:szCs w:val="25"/>
        </w:rPr>
        <w:t xml:space="preserve">Autoridad sin opacidad</w:t>
      </w:r>
    </w:p>
    <w:p>
      <w:pPr>
        <w:pStyle w:val="BodyJ"/>
        <w:keepNext w:val="false"/>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keepNext w:val="false"/>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keepNext w:val="false"/>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keepNext w:val="false"/>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keepNext w:val="false"/>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keepNext/>
        <w:spacing w:after="80" w:before="160"/>
      </w:pPr>
      <w:r>
        <w:rPr>
          <w:b/>
          <w:bCs/>
        </w:rPr>
        <w:t xml:space="preserve">Tres preguntas para la próxima visita.</w:t>
      </w:r>
    </w:p>
    <w:p>
      <w:pPr>
        <w:pStyle w:val="BodyJ"/>
        <w:keepNext/>
        <w:numPr>
          <w:ilvl w:val="0"/>
          <w:numId w:val="19"/>
        </w:numPr>
      </w:pPr>
      <w:r>
        <w:t xml:space="preserve">¿A qué paciente le estoy creyendo menos de lo que su testimonio merece, y por qué?</w:t>
      </w:r>
    </w:p>
    <w:p>
      <w:pPr>
        <w:pStyle w:val="BodyJ"/>
        <w:keepNext/>
        <w:numPr>
          <w:ilvl w:val="0"/>
          <w:numId w:val="19"/>
        </w:numPr>
      </w:pPr>
      <w:r>
        <w:t xml:space="preserve">Mi última recomendación firme: ¿podría explicar qué hechos la sostienen, qué incertidumbres la modificarían y qué valores del paciente pesan?</w:t>
      </w:r>
    </w:p>
    <w:p>
      <w:pPr>
        <w:pStyle w:val="BodyJ"/>
        <w:keepNext w:val="false"/>
        <w:numPr>
          <w:ilvl w:val="0"/>
          <w:numId w:val="19"/>
        </w:numPr>
      </w:pPr>
      <w:r>
        <w:t xml:space="preserve">¿Hay en mis fichas una etiqueta («funcional», «no adherente», «poco colaborador») que esté distribuyendo credibilidad en lugar de información?</w:t>
      </w:r>
    </w:p>
    <w:p>
      <w:pPr>
        <w:pStyle w:val="Heading2"/>
        <w:keepNext/>
        <w:keepLines/>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keepNext w:val="false"/>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keepNext/>
        <w:keepLines/>
        <w:spacing w:after="120" w:before="280"/>
      </w:pPr>
      <w:r>
        <w:rPr>
          <w:rFonts w:ascii="Georgia" w:cs="Georgia" w:eastAsia="Georgia" w:hAnsi="Georgia"/>
          <w:b/>
          <w:bCs/>
          <w:color w:val="2B2B2B"/>
          <w:sz w:val="25"/>
          <w:szCs w:val="25"/>
        </w:rPr>
        <w:t xml:space="preserve">Una heurística, no una escala</w:t>
      </w:r>
    </w:p>
    <w:p>
      <w:pPr>
        <w:pStyle w:val="BodyJ"/>
        <w:keepNext w:val="false"/>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keepNext w:val="false"/>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Qué añade frente a los modelos existentes</w:t>
      </w:r>
    </w:p>
    <w:p>
      <w:pPr>
        <w:pStyle w:val="BodyJ"/>
        <w:keepNext w:val="false"/>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keepNext w:val="false"/>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keepNext/>
        <w:keepLines/>
        <w:spacing w:after="120" w:before="280"/>
      </w:pPr>
      <w:r>
        <w:rPr>
          <w:rFonts w:ascii="Georgia" w:cs="Georgia" w:eastAsia="Georgia" w:hAnsi="Georgia"/>
          <w:b/>
          <w:bCs/>
          <w:color w:val="2B2B2B"/>
          <w:sz w:val="25"/>
          <w:szCs w:val="25"/>
        </w:rPr>
        <w:t xml:space="preserve">Paso 1. Definir la pregunta</w:t>
      </w:r>
    </w:p>
    <w:p>
      <w:pPr>
        <w:pStyle w:val="BodyJ"/>
        <w:keepNext w:val="false"/>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keepNext w:val="false"/>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keepNext/>
        <w:keepLines/>
        <w:spacing w:after="120" w:before="280"/>
      </w:pPr>
      <w:r>
        <w:rPr>
          <w:rFonts w:ascii="Georgia" w:cs="Georgia" w:eastAsia="Georgia" w:hAnsi="Georgia"/>
          <w:b/>
          <w:bCs/>
          <w:color w:val="2B2B2B"/>
          <w:sz w:val="25"/>
          <w:szCs w:val="25"/>
        </w:rPr>
        <w:t xml:space="preserve">Paso 2. Inventariar hechos y procedencia</w:t>
      </w:r>
    </w:p>
    <w:p>
      <w:pPr>
        <w:pStyle w:val="BodyJ"/>
        <w:keepNext w:val="false"/>
      </w:pPr>
      <w:r>
        <w:t xml:space="preserve">Se seleccionan hechos capaces de modificar la respuesta. Cada uno conserva fuente, fecha, tendencia y limitación. Debe distinguirse dato presente, hallazgo negativo, dato ausente y dato no evaluable.</w:t>
      </w:r>
    </w:p>
    <w:p>
      <w:pPr>
        <w:pStyle w:val="BodyJ"/>
        <w:keepNext w:val="false"/>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keepNext/>
        <w:keepLines/>
        <w:spacing w:after="120" w:before="280"/>
      </w:pPr>
      <w:r>
        <w:rPr>
          <w:rFonts w:ascii="Georgia" w:cs="Georgia" w:eastAsia="Georgia" w:hAnsi="Georgia"/>
          <w:b/>
          <w:bCs/>
          <w:color w:val="2B2B2B"/>
          <w:sz w:val="25"/>
          <w:szCs w:val="25"/>
        </w:rPr>
        <w:t xml:space="preserve">Paso 3. Formular inferencias graduadas</w:t>
      </w:r>
    </w:p>
    <w:p>
      <w:pPr>
        <w:pStyle w:val="BodyJ"/>
        <w:keepNext w:val="false"/>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keepNext w:val="false"/>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keepNext/>
        <w:keepLines/>
        <w:spacing w:after="120" w:before="280"/>
      </w:pPr>
      <w:r>
        <w:rPr>
          <w:rFonts w:ascii="Georgia" w:cs="Georgia" w:eastAsia="Georgia" w:hAnsi="Georgia"/>
          <w:b/>
          <w:bCs/>
          <w:color w:val="2B2B2B"/>
          <w:sz w:val="25"/>
          <w:szCs w:val="25"/>
        </w:rPr>
        <w:t xml:space="preserve">Paso 4. Mapear incertidumbre</w:t>
      </w:r>
    </w:p>
    <w:p>
      <w:pPr>
        <w:pStyle w:val="BodyJ"/>
        <w:keepNext w:val="false"/>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keepNext w:val="false"/>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keepNext/>
        <w:keepLines/>
        <w:spacing w:after="120" w:before="280"/>
      </w:pPr>
      <w:r>
        <w:rPr>
          <w:rFonts w:ascii="Georgia" w:cs="Georgia" w:eastAsia="Georgia" w:hAnsi="Georgia"/>
          <w:b/>
          <w:bCs/>
          <w:color w:val="2B2B2B"/>
          <w:sz w:val="25"/>
          <w:szCs w:val="25"/>
        </w:rPr>
        <w:t xml:space="preserve">Paso 5. Decidir por umbral y consecuencias</w:t>
      </w:r>
    </w:p>
    <w:p>
      <w:pPr>
        <w:pStyle w:val="BodyJ"/>
        <w:keepNext w:val="false"/>
      </w:pPr>
      <w:r>
        <w:t xml:space="preserve">La decisión integra probabilidad, gravedad, tiempo, reversibilidad, capacidad de monitorización y valores, y también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keepNext w:val="false"/>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keepNext/>
        <w:keepLines/>
      </w:pPr>
      <w:r>
        <w:t xml:space="preserve">Caja de herramientas. HII-D en sesenta segundos</w:t>
      </w:r>
    </w:p>
    <w:p>
      <w:pPr>
        <w:pStyle w:val="BodyJ"/>
        <w:keepNext/>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keepNext/>
        <w:numPr>
          <w:ilvl w:val="0"/>
          <w:numId w:val="20"/>
        </w:numPr>
      </w:pPr>
      <w:r>
        <w:rPr>
          <w:b/>
          <w:bCs/>
        </w:rPr>
        <w:t xml:space="preserve">¿Qué vi y qué me contaron?</w:t>
      </w:r>
      <w:r>
        <w:t xml:space="preserve"> (un hecho decisivo, con su fuente)</w:t>
      </w:r>
    </w:p>
    <w:p>
      <w:pPr>
        <w:pStyle w:val="BodyJ"/>
        <w:keepNext/>
        <w:numPr>
          <w:ilvl w:val="0"/>
          <w:numId w:val="20"/>
        </w:numPr>
      </w:pPr>
      <w:r>
        <w:rPr>
          <w:b/>
          <w:bCs/>
        </w:rPr>
        <w:t xml:space="preserve">¿Qué creo y cuánto derecho tengo a creerlo?</w:t>
      </w:r>
      <w:r>
        <w:t xml:space="preserve"> (la inferencia principal, con su grado)</w:t>
      </w:r>
    </w:p>
    <w:p>
      <w:pPr>
        <w:pStyle w:val="BodyJ"/>
        <w:keepNext/>
        <w:numPr>
          <w:ilvl w:val="0"/>
          <w:numId w:val="20"/>
        </w:numPr>
      </w:pPr>
      <w:r>
        <w:rPr>
          <w:b/>
          <w:bCs/>
        </w:rPr>
        <w:t xml:space="preserve">¿Qué daño importante podría producir si estoy equivocado?</w:t>
      </w:r>
      <w:r>
        <w:t xml:space="preserve"> (la incertidumbre peligrosa, no todas)</w:t>
      </w:r>
    </w:p>
    <w:p>
      <w:pPr>
        <w:pStyle w:val="BodyJ"/>
        <w:keepNext w:val="false"/>
        <w:numPr>
          <w:ilvl w:val="0"/>
          <w:numId w:val="20"/>
        </w:numPr>
      </w:pPr>
      <w:r>
        <w:rPr>
          <w:b/>
          <w:bCs/>
        </w:rPr>
        <w:t xml:space="preserve">¿Qué hago y qué me haría cambiar antes del próximo control?</w:t>
      </w:r>
      <w:r>
        <w:t xml:space="preserve"> (decisión con criterio de reapertura)</w:t>
      </w:r>
    </w:p>
    <w:p>
      <w:pPr>
        <w:pStyle w:val="BodyJ"/>
        <w:keepNext w:val="false"/>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keepNext/>
        <w:keepLines/>
        <w:spacing w:after="120" w:before="280"/>
      </w:pPr>
      <w:r>
        <w:rPr>
          <w:rFonts w:ascii="Georgia" w:cs="Georgia" w:eastAsia="Georgia" w:hAnsi="Georgia"/>
          <w:b/>
          <w:bCs/>
          <w:color w:val="2B2B2B"/>
          <w:sz w:val="25"/>
          <w:szCs w:val="25"/>
        </w:rPr>
        <w:t xml:space="preserve">Uso en equipo, calibración y auditoría</w:t>
      </w:r>
    </w:p>
    <w:p>
      <w:pPr>
        <w:pStyle w:val="BodyJ"/>
        <w:keepNext w:val="false"/>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keepNext w:val="false"/>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keepNext w:val="false"/>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keepNext w:val="false"/>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keepNext/>
        <w:keepLines/>
        <w:spacing w:after="120" w:before="280"/>
      </w:pPr>
      <w:r>
        <w:rPr>
          <w:rFonts w:ascii="Georgia" w:cs="Georgia" w:eastAsia="Georgia" w:hAnsi="Georgia"/>
          <w:b/>
          <w:bCs/>
          <w:color w:val="2B2B2B"/>
          <w:sz w:val="25"/>
          <w:szCs w:val="25"/>
        </w:rPr>
        <w:t xml:space="preserve">Qué evidencia me haría abandonar este método</w:t>
      </w:r>
    </w:p>
    <w:p>
      <w:pPr>
        <w:pStyle w:val="BodyJ"/>
        <w:keepNext w:val="false"/>
      </w:pPr>
      <w:r>
        <w:t xml:space="preserve">Un libro que exige compromisos observables a cada hipótesis clínica debe formular los suyos. Estos son los míos.</w:t>
      </w:r>
    </w:p>
    <w:p>
      <w:pPr>
        <w:pStyle w:val="BodyJ"/>
        <w:keepNext w:val="false"/>
      </w:pPr>
      <w:r>
        <w:t xml:space="preserve">Primero: si clínicos entrenados no logran un acuerdo razonable al clasificar las frases de una nota en hechos, inferencias e incertidumbre, la distinción central del método es subjetiva en la práctica, y HII-D debe reformularse o abandonarse. Medirlo no exige más que notas reales y dos o tres lectores: la unidad es la proposición (cada cláusula que afirma algo), cada lector la asigna por separado a una capa, y el acuerdo se mide con un índice corregido por azar, como kappa, contra un umbral fijado antes de mirar los datos; un kappa bajo 0,6 bastaría para reabrir el método. La trazabilidad que promete depende de que las capas sean reconocibles entre lectores, no sólo para quien escribe.</w:t>
      </w:r>
    </w:p>
    <w:p>
      <w:pPr>
        <w:pStyle w:val="BodyJ"/>
        <w:keepNext w:val="false"/>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 La segunda prueba es la que importa: un clínico que no conoce al paciente lee la nota y escribe qué se sabe, qué se cree y con cuánta fuerza, y qué haría cambiar el plan; un evaluador que no sabe con qué formato se escribió compara esas respuestas con las del autor.</w:t>
      </w:r>
    </w:p>
    <w:p>
      <w:pPr>
        <w:pStyle w:val="BodyJ"/>
        <w:keepNext w:val="false"/>
      </w:pPr>
      <w:r>
        <w:t xml:space="preserve">Tercero: si un servicio que adopta el léxico de certeza no mueve en seis meses ninguno de los tres indicadores del Apéndice C, medidos en una muestra mensual de fichas antes y después de adoptarlo —ningún «se descarta» reconvertido, ningún criterio de reapertura agregado, ninguna vigilancia activada que antes no existía—, el léxico es un póster, no una herramienta.</w:t>
      </w:r>
    </w:p>
    <w:p>
      <w:pPr>
        <w:pStyle w:val="BodyJ"/>
        <w:keepNext w:val="false"/>
      </w:pPr>
      <w:r>
        <w:t xml:space="preserve">Cuarto: si los minutos que la versión completa agrega a cada nota, cronometrados, no se pagan con cambios en las tres pruebas anteriores, la respuesta racional no es la fe sino la poda: quedarse con la versión de sesenta segundos, o con nada.</w:t>
      </w:r>
    </w:p>
    <w:p>
      <w:pPr>
        <w:pStyle w:val="BodyJ"/>
        <w:keepNext w:val="false"/>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keepNext/>
        <w:keepLines/>
        <w:spacing w:after="120" w:before="280"/>
      </w:pPr>
      <w:r>
        <w:rPr>
          <w:rFonts w:ascii="Georgia" w:cs="Georgia" w:eastAsia="Georgia" w:hAnsi="Georgia"/>
          <w:b/>
          <w:bCs/>
          <w:color w:val="2B2B2B"/>
          <w:sz w:val="25"/>
          <w:szCs w:val="25"/>
        </w:rPr>
        <w:t xml:space="preserve">Límites</w:t>
      </w:r>
    </w:p>
    <w:p>
      <w:pPr>
        <w:pStyle w:val="BodyJ"/>
        <w:keepNext w:val="false"/>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keepNext w:val="false"/>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keepNext/>
        <w:spacing w:after="80" w:before="160"/>
      </w:pPr>
      <w:r>
        <w:rPr>
          <w:b/>
          <w:bCs/>
        </w:rPr>
        <w:t xml:space="preserve">Tres preguntas para la próxima visita.</w:t>
      </w:r>
    </w:p>
    <w:p>
      <w:pPr>
        <w:pStyle w:val="BodyJ"/>
        <w:keepNext/>
        <w:numPr>
          <w:ilvl w:val="0"/>
          <w:numId w:val="21"/>
        </w:numPr>
      </w:pPr>
      <w:r>
        <w:t xml:space="preserve">¿Cuál es la pregunta operativa de mi caso más difícil —la decisión real en juego, no «el diagnóstico»—?</w:t>
      </w:r>
    </w:p>
    <w:p>
      <w:pPr>
        <w:pStyle w:val="BodyJ"/>
        <w:keepNext/>
        <w:numPr>
          <w:ilvl w:val="0"/>
          <w:numId w:val="21"/>
        </w:numPr>
      </w:pPr>
      <w:r>
        <w:t xml:space="preserve">¿Mi nota de hoy permite a otro médico reconstruir mis cuatro capas, o sólo mi conclusión?</w:t>
      </w:r>
    </w:p>
    <w:p>
      <w:pPr>
        <w:pStyle w:val="BodyJ"/>
        <w:keepNext w:val="false"/>
        <w:numPr>
          <w:ilvl w:val="0"/>
          <w:numId w:val="21"/>
        </w:numPr>
      </w:pPr>
      <w:r>
        <w:t xml:space="preserve">¿Qué decisión de esta semana tomé sin criterio de reapertura, y todavía estoy a tiempo de escribirlo?</w:t>
      </w:r>
    </w:p>
    <w:p>
      <w:pPr>
        <w:pStyle w:val="Heading2"/>
        <w:keepNext/>
        <w:keepLines/>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keepNext w:val="false"/>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keepNext/>
        <w:keepLines/>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keepNext w:val="false"/>
      </w:pPr>
      <w:r>
        <w:t xml:space="preserve">La historia de Carmen atraviesa todo este libro; aquí se presenta en su versión condensada, tal como se sintetizaría en una entrega de turno o en una discusión clínica.</w:t>
      </w:r>
    </w:p>
    <w:p>
      <w:pPr>
        <w:pStyle w:val="BodyJ"/>
        <w:keepNext w:val="false"/>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(presión arterial media de 55 mmHg y 112 lpm), hiperlactatemia (3,9 mmol/L), hipoperfusión periférica (llene capilar de 3 a 4 segundos) y bacteriemia por bacilos gramnegativos (2/2 hemocultivos, positivos a las 12 horas). Recibe 2.000 ml de Ringer lactato en tres horas, noradrenalina por vía periférica hasta 0,2 mcg/kg/min, ceftriaxona con metronidazol, reposo digestivo y descompresión por sonda nasogástrica: el llene capilar mejora, la taquicardia cede, el dolor abdominal se resuelve y el lactato de control baja a 2,3 mmol/L. La tomografía de abdomen no muestra perforación, isquemia mesentérica ni estrangulación actual, y el abdomen no tiene signos peritoneales.</w:t>
      </w:r>
    </w:p>
    <w:p>
      <w:pPr>
        <w:pStyle w:val="BodyJ"/>
        <w:keepNext w:val="false"/>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keepNext w:val="false"/>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tomografía sin isquemia, el abdomen sin signos peritoneales y la respuesta a la reanimación hacen improbable una estrangulación y no indican cirugía de urgencia; no mitigan el riesgo acumulado de recurrencia.</w:t>
      </w:r>
    </w:p>
    <w:p>
      <w:pPr>
        <w:pStyle w:val="BodyJ"/>
        <w:keepNext w:val="false"/>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keepNext w:val="false"/>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keepNext w:val="false"/>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keepNext w:val="false"/>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keepNext/>
        <w:keepLines/>
        <w:spacing w:after="120" w:before="280"/>
      </w:pPr>
      <w:r>
        <w:rPr>
          <w:rFonts w:ascii="Georgia" w:cs="Georgia" w:eastAsia="Georgia" w:hAnsi="Georgia"/>
          <w:b/>
          <w:bCs/>
          <w:color w:val="2B2B2B"/>
          <w:sz w:val="25"/>
          <w:szCs w:val="25"/>
        </w:rPr>
        <w:t xml:space="preserve">Viñeta 2. Bacteriuria en paciente con sonda permanente</w:t>
      </w:r>
    </w:p>
    <w:p>
      <w:pPr>
        <w:pStyle w:val="BodyJ"/>
        <w:keepNext w:val="false"/>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keepNext w:val="false"/>
      </w:pPr>
      <w:r>
        <w:rPr>
          <w:i/>
          <w:iCs/>
        </w:rPr>
        <w:t xml:space="preserve">Hechos:</w:t>
      </w:r>
      <w:r>
        <w:t xml:space="preserve"> recambio reciente de sonda; piuria y urocultivo positivo; tercer día de antibiótico indicado como pielonefritis; afebril y estable; síntomas urinarios bajos no evaluables por el nivel lesional; reactantes elevados sin basal, con cáncer renal metastásico activo; colonización documentada por BLEE.</w:t>
      </w:r>
    </w:p>
    <w:p>
      <w:pPr>
        <w:pStyle w:val="BodyJ"/>
        <w:keepNext w:val="false"/>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keepNext w:val="false"/>
      </w:pPr>
      <w:r>
        <w:rPr>
          <w:i/>
          <w:iCs/>
        </w:rPr>
        <w:t xml:space="preserve">Incertidumbre:</w:t>
      </w:r>
      <w:r>
        <w:t xml:space="preserve"> la denervación medular enmascara la disuria y el dolor lumbar, por lo que persiste la duda de una infección incipiente con expresión clínica atípica.</w:t>
      </w:r>
    </w:p>
    <w:p>
      <w:pPr>
        <w:pStyle w:val="BodyJ"/>
        <w:keepNext w:val="false"/>
      </w:pPr>
      <w:r>
        <w:rPr>
          <w:i/>
          <w:iCs/>
        </w:rPr>
        <w:t xml:space="preserve">Decisión:</w:t>
      </w:r>
      <w:r>
        <w:t xml:space="preserve"> suspender el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un tratamiento dirigido probablemente exigiría carbapenémicos, de alto impacto ecológico y toxicidad potencial, el umbral clínico para reiniciar antibióticos debe ser más exigente.</w:t>
      </w:r>
    </w:p>
    <w:p>
      <w:pPr>
        <w:pStyle w:val="BodyJ"/>
        <w:keepNext w:val="false"/>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Heading3"/>
        <w:keepNext/>
        <w:keepLines/>
        <w:spacing w:after="120" w:before="280"/>
      </w:pPr>
      <w:r>
        <w:rPr>
          <w:rFonts w:ascii="Georgia" w:cs="Georgia" w:eastAsia="Georgia" w:hAnsi="Georgia"/>
          <w:b/>
          <w:bCs/>
          <w:color w:val="2B2B2B"/>
          <w:sz w:val="25"/>
          <w:szCs w:val="25"/>
        </w:rPr>
        <w:t xml:space="preserve">Viñeta 3. Tres de la mañana: decidir con el reloj en contra</w:t>
      </w:r>
    </w:p>
    <w:p>
      <w:pPr>
        <w:pStyle w:val="BodyJ"/>
        <w:keepNext w:val="false"/>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keepNext w:val="false"/>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keepNext w:val="false"/>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keepNext w:val="false"/>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keepNext w:val="false"/>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keepNext w:val="false"/>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keepNext w:val="false"/>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keepNext/>
        <w:keepLines/>
        <w:spacing w:after="120" w:before="280"/>
      </w:pPr>
      <w:r>
        <w:rPr>
          <w:rFonts w:ascii="Georgia" w:cs="Georgia" w:eastAsia="Georgia" w:hAnsi="Georgia"/>
          <w:b/>
          <w:bCs/>
          <w:color w:val="2B2B2B"/>
          <w:sz w:val="25"/>
          <w:szCs w:val="25"/>
        </w:rPr>
        <w:t xml:space="preserve">Viñeta 4. La consulta ambulatoria y el chequeo reciente</w:t>
      </w:r>
    </w:p>
    <w:p>
      <w:pPr>
        <w:pStyle w:val="BodyJ"/>
        <w:keepNext w:val="false"/>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keepNext w:val="false"/>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keepNext w:val="false"/>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keepNext w:val="false"/>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keepNext w:val="false"/>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keepNext w:val="false"/>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keepNext w:val="false"/>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keepNext/>
        <w:keepLines/>
        <w:spacing w:after="120" w:before="280"/>
      </w:pPr>
      <w:r>
        <w:rPr>
          <w:rFonts w:ascii="Georgia" w:cs="Georgia" w:eastAsia="Georgia" w:hAnsi="Georgia"/>
          <w:b/>
          <w:bCs/>
          <w:color w:val="2B2B2B"/>
          <w:sz w:val="25"/>
          <w:szCs w:val="25"/>
        </w:rPr>
        <w:t xml:space="preserve">Viñeta 5. Pronóstico incierto al final de la vida</w:t>
      </w:r>
    </w:p>
    <w:p>
      <w:pPr>
        <w:pStyle w:val="BodyJ"/>
        <w:keepNext w:val="false"/>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keepNext w:val="false"/>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keepNext w:val="false"/>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keepNext w:val="false"/>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qué cargas terapéuticas está dispuesto a tolerar y está en condiciones de decidirlo él mismo?</w:t>
      </w:r>
    </w:p>
    <w:p>
      <w:pPr>
        <w:pStyle w:val="BodyJ"/>
        <w:keepNext w:val="false"/>
      </w:pPr>
      <w:r>
        <w:rPr>
          <w:i/>
          <w:iCs/>
        </w:rPr>
        <w:t xml:space="preserve">Decisión:</w:t>
      </w:r>
      <w:r>
        <w:t xml:space="preserve"> antibióticos endovenosos y oxigenoterapia no invasiva con un objetivo explícito de alivio sintomático y eventual retorno a su casa (medidas reversibles y proporcionadas). Evaluar su capacidad de decidir en un período de lucidez —si comprende su situación y las opciones, si aprecia que se aplican a él, si razona sobre ellas y si puede expresar una elección— y, si la tiene, preguntarle a él antes que a la familia. La cuarta línea no se cierra en el pasillo ni en la interconsulta: se discute en una reunión familiar estructurada cuyo objeto es conocer y respetar la voluntad del paciente. Reevaluación a las 72 horas según respuesta funcional y confort.</w:t>
      </w:r>
    </w:p>
    <w:p>
      <w:pPr>
        <w:pStyle w:val="BodyJ"/>
        <w:keepNext w:val="false"/>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se evalúa su capacidad de decidir en la próxima ventana de lucidez y las medidas invasivas se subordinan a sus preferencias.»</w:t>
      </w:r>
    </w:p>
    <w:p>
      <w:pPr>
        <w:pStyle w:val="BodyJ"/>
        <w:keepNext w:val="false"/>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 Un paciente lúcido a ratos tampoco es un paciente sin voz: la capacidad se evalúa para cada decisión y en el momento en que se toma, y no se presume perdida porque fluctúe.</w:t>
      </w:r>
    </w:p>
    <w:p>
      <w:pPr>
        <w:pStyle w:val="Heading3"/>
        <w:keepNext/>
        <w:keepLines/>
        <w:spacing w:after="120" w:before="280"/>
      </w:pPr>
      <w:r>
        <w:rPr>
          <w:rFonts w:ascii="Georgia" w:cs="Georgia" w:eastAsia="Georgia" w:hAnsi="Georgia"/>
          <w:b/>
          <w:bCs/>
          <w:color w:val="2B2B2B"/>
          <w:sz w:val="25"/>
          <w:szCs w:val="25"/>
        </w:rPr>
        <w:t xml:space="preserve">Viñeta 6. Anatomía de un error consumado</w:t>
      </w:r>
    </w:p>
    <w:p>
      <w:pPr>
        <w:pStyle w:val="BodyJ"/>
        <w:keepNext w:val="false"/>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keepNext w:val="false"/>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keepNext/>
      </w:pPr>
      <w:r>
        <w:rPr>
          <w:i/>
          <w:iCs/>
        </w:rPr>
        <w:t xml:space="preserve">Reconstrucción epistémica por capas.</w:t>
      </w:r>
    </w:p>
    <w:p>
      <w:pPr>
        <w:pStyle w:val="BodyJ"/>
        <w:keepNext w:val="false"/>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keepNext w:val="false"/>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keepNext w:val="false"/>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 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keepNext w:val="false"/>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keepNext w:val="false"/>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 D. Treinta y seis horas más tarde, la pregunta no formulada la respondió el síncope.</w:t>
      </w:r>
    </w:p>
    <w:p>
      <w:pPr>
        <w:pStyle w:val="BodyJ"/>
        <w:keepNext w:val="false"/>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keepNext w:val="false"/>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Probabilidad clínica no alta y PERC no cumplido (frecuencia cardiaca, saturación, estrógenos): no procede el alta sin estudiar embolia pulmonar. Dímero D ahora y angioTAC si resulta elevado; si la probabilidad clínica fuera alta, angioTAC directo, sin dímero D. Reconsulta inmediata, por escrito, ante síncope, dolor torácico o disnea en reposo.»</w:t>
      </w:r>
    </w:p>
    <w:p>
      <w:pPr>
        <w:pStyle w:val="BodyJ"/>
        <w:keepNext w:val="false"/>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keepNext/>
        <w:keepLines/>
        <w:spacing w:after="120" w:before="280"/>
      </w:pPr>
      <w:r>
        <w:rPr>
          <w:rFonts w:ascii="Georgia" w:cs="Georgia" w:eastAsia="Georgia" w:hAnsi="Georgia"/>
          <w:b/>
          <w:bCs/>
          <w:color w:val="2B2B2B"/>
          <w:sz w:val="25"/>
          <w:szCs w:val="25"/>
        </w:rPr>
        <w:t xml:space="preserve">Viñeta 7. «Lo veo raro»: el testimonio de la madre</w:t>
      </w:r>
    </w:p>
    <w:p>
      <w:pPr>
        <w:pStyle w:val="BodyJ"/>
        <w:keepNext w:val="false"/>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keepNext w:val="false"/>
      </w:pPr>
      <w:r>
        <w:rPr>
          <w:i/>
          <w:iCs/>
        </w:rPr>
        <w:t xml:space="preserve">Hechos:</w:t>
      </w:r>
      <w:r>
        <w:t xml:space="preserve"> temperatura normalizada bajo antipirético (dato medido, pero bajo intervención); examen sin foco en una evaluación puntual; y un relato de tercero que describe un cambio conductual respecto del basal —información longitudinal a la que ningún examen de veinte minutos accede—.</w:t>
      </w:r>
    </w:p>
    <w:p>
      <w:pPr>
        <w:pStyle w:val="BodyJ"/>
        <w:keepNext w:val="false"/>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keepNext w:val="false"/>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keepNext w:val="false"/>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keepNext w:val="false"/>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keepNext w:val="false"/>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y, además, simplemente mala medicina: pocas fuentes de información tienen mejor razón señal-ruido que quien mira a ese niño todos los días.</w:t>
      </w:r>
    </w:p>
    <w:p>
      <w:pPr>
        <w:pStyle w:val="Heading3"/>
        <w:keepNext/>
        <w:keepLines/>
        <w:spacing w:after="120" w:before="280"/>
      </w:pPr>
      <w:r>
        <w:rPr>
          <w:rFonts w:ascii="Georgia" w:cs="Georgia" w:eastAsia="Georgia" w:hAnsi="Georgia"/>
          <w:b/>
          <w:bCs/>
          <w:color w:val="2B2B2B"/>
          <w:sz w:val="25"/>
          <w:szCs w:val="25"/>
        </w:rPr>
        <w:t xml:space="preserve">Viñeta 8. El dolor abdominal de la paciente que «somatiza»</w:t>
      </w:r>
    </w:p>
    <w:p>
      <w:pPr>
        <w:pStyle w:val="BodyJ"/>
        <w:keepNext w:val="false"/>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—la paciente tolera mal la palpación y su tratamiento antipsicótico puede atenuar la expresión del dolor y enlentecer el tránsito—.</w:t>
      </w:r>
    </w:p>
    <w:p>
      <w:pPr>
        <w:pStyle w:val="BodyJ"/>
        <w:keepNext w:val="false"/>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keepNext w:val="false"/>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keepNext w:val="false"/>
      </w:pPr>
      <w:r>
        <w:rPr>
          <w:i/>
          <w:iCs/>
        </w:rPr>
        <w:t xml:space="preserve">Incertidumbre:</w:t>
      </w:r>
      <w:r>
        <w:t xml:space="preserve"> la peligrosa es un abdomen quirúrgico enmascarado —por el antipsicótico, por la dificultad comunicativa y por la disposición del equipo a cerrar temprano—. Es el caso donde el examen «poco confiable» obliga a más objetividad, no a menos: laboratorio e imagen deciden lo que la palpación no puede.</w:t>
      </w:r>
    </w:p>
    <w:p>
      <w:pPr>
        <w:pStyle w:val="BodyJ"/>
        <w:keepNext w:val="false"/>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keepNext w:val="false"/>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keepNext w:val="false"/>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—usa la dificultad como excusa para bajar el estándar— y por eso mata.</w:t>
      </w:r>
    </w:p>
    <w:p>
      <w:pPr>
        <w:pStyle w:val="Heading3"/>
        <w:keepNext/>
        <w:keepLines/>
        <w:spacing w:after="120" w:before="280"/>
      </w:pPr>
      <w:r>
        <w:rPr>
          <w:rFonts w:ascii="Georgia" w:cs="Georgia" w:eastAsia="Georgia" w:hAnsi="Georgia"/>
          <w:b/>
          <w:bCs/>
          <w:color w:val="2B2B2B"/>
          <w:sz w:val="25"/>
          <w:szCs w:val="25"/>
        </w:rPr>
        <w:t xml:space="preserve">Lo común a las ocho viñetas</w:t>
      </w:r>
    </w:p>
    <w:p>
      <w:pPr>
        <w:pStyle w:val="BodyJ"/>
        <w:keepNext w:val="false"/>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keepNext/>
        <w:keepLines/>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keepNext w:val="false"/>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keepNext/>
        <w:keepLines/>
        <w:spacing w:after="120" w:before="280"/>
      </w:pPr>
      <w:r>
        <w:rPr>
          <w:rFonts w:ascii="Georgia" w:cs="Georgia" w:eastAsia="Georgia" w:hAnsi="Georgia"/>
          <w:b/>
          <w:bCs/>
          <w:color w:val="2B2B2B"/>
          <w:sz w:val="25"/>
          <w:szCs w:val="25"/>
        </w:rPr>
        <w:t xml:space="preserve">De la virtud individual al diseño institucional</w:t>
      </w:r>
    </w:p>
    <w:p>
      <w:pPr>
        <w:pStyle w:val="BodyJ"/>
        <w:keepNext w:val="false"/>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keepNext w:val="false"/>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keepNext/>
        <w:keepLines/>
        <w:spacing w:after="120" w:before="280"/>
      </w:pPr>
      <w:r>
        <w:rPr>
          <w:rFonts w:ascii="Georgia" w:cs="Georgia" w:eastAsia="Georgia" w:hAnsi="Georgia"/>
          <w:b/>
          <w:bCs/>
          <w:color w:val="2B2B2B"/>
          <w:sz w:val="25"/>
          <w:szCs w:val="25"/>
        </w:rPr>
        <w:t xml:space="preserve">Enseñar representaciones, no sólo respuestas</w:t>
      </w:r>
    </w:p>
    <w:p>
      <w:pPr>
        <w:pStyle w:val="BodyJ"/>
        <w:keepNext w:val="false"/>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keepNext w:val="false"/>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keepNext/>
        <w:keepLines/>
        <w:spacing w:after="120" w:before="280"/>
      </w:pPr>
      <w:r>
        <w:rPr>
          <w:rFonts w:ascii="Georgia" w:cs="Georgia" w:eastAsia="Georgia" w:hAnsi="Georgia"/>
          <w:b/>
          <w:bCs/>
          <w:color w:val="2B2B2B"/>
          <w:sz w:val="25"/>
          <w:szCs w:val="25"/>
        </w:rPr>
        <w:t xml:space="preserve">Un debate honesto: ¿se puede enseñar a pensar mejor?</w:t>
      </w:r>
    </w:p>
    <w:p>
      <w:pPr>
        <w:pStyle w:val="BodyJ"/>
        <w:keepNext w:val="false"/>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keepNext w:val="false"/>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keepNext/>
        <w:keepLines/>
        <w:spacing w:after="120" w:before="280"/>
      </w:pPr>
      <w:r>
        <w:rPr>
          <w:rFonts w:ascii="Georgia" w:cs="Georgia" w:eastAsia="Georgia" w:hAnsi="Georgia"/>
          <w:b/>
          <w:bCs/>
          <w:color w:val="2B2B2B"/>
          <w:sz w:val="25"/>
          <w:szCs w:val="25"/>
        </w:rPr>
        <w:t xml:space="preserve">Tres palancas: la visita, la revisión de errores y la ficha</w:t>
      </w:r>
    </w:p>
    <w:p>
      <w:pPr>
        <w:pStyle w:val="BodyJ"/>
        <w:keepNext w:val="false"/>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keepNext w:val="false"/>
      </w:pPr>
      <w:r>
        <w:t xml:space="preserve">La entrega de turno debe transmitir tareas epistémicas, no sólo tratamientos. «Pendiente observar si…» y «si ocurre X, reabrir Y» son componentes de seguridad.</w:t>
      </w:r>
    </w:p>
    <w:p>
      <w:pPr>
        <w:pStyle w:val="BodyJ"/>
        <w:keepNext w:val="false"/>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keepNext w:val="false"/>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keepNext w:val="false"/>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keepNext w:val="false"/>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keepNext w:val="false"/>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keepNext w:val="false"/>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keepNext/>
        <w:keepLines/>
        <w:spacing w:after="120" w:before="280"/>
      </w:pPr>
      <w:r>
        <w:rPr>
          <w:rFonts w:ascii="Georgia" w:cs="Georgia" w:eastAsia="Georgia" w:hAnsi="Georgia"/>
          <w:b/>
          <w:bCs/>
          <w:color w:val="2B2B2B"/>
          <w:sz w:val="25"/>
          <w:szCs w:val="25"/>
        </w:rPr>
        <w:t xml:space="preserve">Una competencia profesional</w:t>
      </w:r>
    </w:p>
    <w:p>
      <w:pPr>
        <w:pStyle w:val="BodyJ"/>
        <w:keepNext w:val="false"/>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keepNext w:val="false"/>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keepNext w:val="false"/>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—no se decreta—.</w:t>
      </w:r>
    </w:p>
    <w:p>
      <w:pPr>
        <w:pStyle w:val="BodyJ"/>
        <w:keepNext/>
        <w:spacing w:after="80" w:before="160"/>
      </w:pPr>
      <w:r>
        <w:rPr>
          <w:b/>
          <w:bCs/>
        </w:rPr>
        <w:t xml:space="preserve">Tres preguntas para la próxima visita.</w:t>
      </w:r>
    </w:p>
    <w:p>
      <w:pPr>
        <w:pStyle w:val="BodyJ"/>
        <w:keepNext/>
        <w:numPr>
          <w:ilvl w:val="0"/>
          <w:numId w:val="22"/>
        </w:numPr>
      </w:pPr>
      <w:r>
        <w:t xml:space="preserve">La última vez que enseñé un caso, ¿pedí el diagnóstico o pedí primero la representación del problema?</w:t>
      </w:r>
    </w:p>
    <w:p>
      <w:pPr>
        <w:pStyle w:val="BodyJ"/>
        <w:keepNext/>
        <w:numPr>
          <w:ilvl w:val="0"/>
          <w:numId w:val="22"/>
        </w:numPr>
      </w:pPr>
      <w:r>
        <w:t xml:space="preserve">¿Qué pasó con el último paciente que derivé o di de alta con diagnóstico incierto —y cómo podría enterarme sistemáticamente—?</w:t>
      </w:r>
    </w:p>
    <w:p>
      <w:pPr>
        <w:pStyle w:val="BodyJ"/>
        <w:keepNext w:val="false"/>
        <w:numPr>
          <w:ilvl w:val="0"/>
          <w:numId w:val="22"/>
        </w:numPr>
      </w:pPr>
      <w:r>
        <w:t xml:space="preserve">Si mañana dirigiera mi servicio, ¿cuál de las tres palancas (visita de sala, ficha, revisión de errores) cambiaría primero, y qué costaría?</w:t>
      </w:r>
    </w:p>
    <w:p>
      <w:pPr>
        <w:pStyle w:val="Heading2"/>
        <w:keepNext/>
        <w:keepLines/>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keepNext w:val="false"/>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keepNext/>
        <w:keepLines/>
        <w:spacing w:after="120" w:before="280"/>
      </w:pPr>
      <w:r>
        <w:rPr>
          <w:rFonts w:ascii="Georgia" w:cs="Georgia" w:eastAsia="Georgia" w:hAnsi="Georgia"/>
          <w:b/>
          <w:bCs/>
          <w:color w:val="2B2B2B"/>
          <w:sz w:val="25"/>
          <w:szCs w:val="25"/>
        </w:rPr>
        <w:t xml:space="preserve">Lenguaje plausible y verdad</w:t>
      </w:r>
    </w:p>
    <w:p>
      <w:pPr>
        <w:pStyle w:val="BodyJ"/>
        <w:keepNext w:val="false"/>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keepNext w:val="false"/>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keepNext/>
        <w:keepLines/>
        <w:spacing w:after="120" w:before="280"/>
      </w:pPr>
      <w:r>
        <w:rPr>
          <w:rFonts w:ascii="Georgia" w:cs="Georgia" w:eastAsia="Georgia" w:hAnsi="Georgia"/>
          <w:b/>
          <w:bCs/>
          <w:color w:val="2B2B2B"/>
          <w:sz w:val="25"/>
          <w:szCs w:val="25"/>
        </w:rPr>
        <w:t xml:space="preserve">El rol en el proceso diagnóstico</w:t>
      </w:r>
    </w:p>
    <w:p>
      <w:pPr>
        <w:pStyle w:val="BodyJ"/>
        <w:keepNext w:val="false"/>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keepNext w:val="false"/>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keepNext/>
        <w:keepLines/>
        <w:spacing w:after="120" w:before="280"/>
      </w:pPr>
      <w:r>
        <w:rPr>
          <w:rFonts w:ascii="Georgia" w:cs="Georgia" w:eastAsia="Georgia" w:hAnsi="Georgia"/>
          <w:b/>
          <w:bCs/>
          <w:color w:val="2B2B2B"/>
          <w:sz w:val="25"/>
          <w:szCs w:val="25"/>
        </w:rPr>
        <w:t xml:space="preserve">El rol en el proceso terapéutico</w:t>
      </w:r>
    </w:p>
    <w:p>
      <w:pPr>
        <w:pStyle w:val="BodyJ"/>
        <w:keepNext w:val="false"/>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¿funciona aquí, con estos pacientes, con esta prevalencia? Una herramienta no hereda la validez de su marca, y la validación externa no es un trámite, sino la diferencia entre una alerta y un ruido.</w:t>
      </w:r>
    </w:p>
    <w:p>
      <w:pPr>
        <w:pStyle w:val="BodyJ"/>
        <w:keepNext w:val="false"/>
      </w:pPr>
      <w:r>
        <w:t xml:space="preserve">Hay un segundo límite terapéutico más silencioso. Una recomendación de intervención generada por IA opera sobre lo que está escrito, y el capítulo 10 mostró que lo menos escrito de la ficha es precisamente el contexto global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—la que juzga si la intervención es proporcionada para este enfermo— enteramente del lado humano.</w:t>
      </w:r>
    </w:p>
    <w:p>
      <w:pPr>
        <w:pStyle w:val="Heading3"/>
        <w:keepNext/>
        <w:keepLines/>
        <w:spacing w:after="120" w:before="280"/>
      </w:pPr>
      <w:r>
        <w:rPr>
          <w:rFonts w:ascii="Georgia" w:cs="Georgia" w:eastAsia="Georgia" w:hAnsi="Georgia"/>
          <w:b/>
          <w:bCs/>
          <w:color w:val="2B2B2B"/>
          <w:sz w:val="25"/>
          <w:szCs w:val="25"/>
        </w:rPr>
        <w:t xml:space="preserve">El catálogo de riesgos</w:t>
      </w:r>
    </w:p>
    <w:p>
      <w:pPr>
        <w:pStyle w:val="BodyJ"/>
        <w:keepNext/>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keepNext w:val="false"/>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keepNext w:val="false"/>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keepNext w:val="false"/>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—seis puntos absolutos menos que antes de la exposición (Budzyń et al., 2025)—. La pericia perceptual se mantiene con práctica; si la máquina practica por el clínico, la cuenta llega en la primera guardia sin máquina.</w:t>
      </w:r>
    </w:p>
    <w:p>
      <w:pPr>
        <w:pStyle w:val="BodyJ"/>
        <w:keepNext w:val="false"/>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—y en poblaciones históricamente subatendidas se gasta menos (Obermeyer et al., 2019)—. El error no estaba en la matemática sino en la elección del sustituto. Ningún dato de entrenamiento es neutro; alguien decidió qué medir.</w:t>
      </w:r>
    </w:p>
    <w:p>
      <w:pPr>
        <w:pStyle w:val="BodyJ"/>
        <w:keepNext w:val="false"/>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keepNext w:val="false"/>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keepNext w:val="false"/>
      </w:pPr>
      <w:r>
        <w:t xml:space="preserve">La columna vertebral del catálogo es una sola observación: la IA no introdujo errores nuevos en la medicina. Automatizó los que ya teníamos y les quitó los frenos naturales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la captura cognitiva se describe en el apartado siguiente. Ningún riesgo es nuevo; la novedad es el amplificador.</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El riesgo de fondo: la formación del razonador</w:t>
      </w:r>
    </w:p>
    <w:p>
      <w:pPr>
        <w:pStyle w:val="BodyJ"/>
        <w:keepNext w:val="false"/>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keepNext w:val="false"/>
      </w:pPr>
      <w:r>
        <w:t xml:space="preserve">El mecanismo es preciso. Escribir la nota clínica no es registrar un pensamiento terminado: seleccionar qué dato importa, jerarquizarlo y estructurarlo es parte del proceso mismo de pensar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keepNext w:val="false"/>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keepNext w:val="false"/>
      </w:pPr>
      <w:r>
        <w:t xml:space="preserve">La aviación conoce esta trampa con nombre propio: la paradoja de la automatización (automation paradox)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—nunca para reemplazar su ejecución—.</w:t>
      </w:r>
    </w:p>
    <w:p>
      <w:pPr>
        <w:pStyle w:val="Heading3"/>
        <w:keepNext/>
        <w:keepLines/>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keepNext w:val="false"/>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keepNext w:val="false"/>
      </w:pPr>
      <w:r>
        <w:t xml:space="preserve">De ahí una regla de diseño, dicha en el vocabulario de las capas. Un escriba ambiental (ambient scribe) puede redactar el borrador de la capa H —qué se dijo, qué se midió, con hora y fuente—, a veces mejor que un humano cansado; pero ese borrador se verifica antes de firmar, porque el error dominante en las notas generadas fue la omisión, y lo omitido no se ve leyendo lo escrito: se ve contrastándolo con lo que pasó en la consulta.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keepNext/>
        <w:keepLines/>
        <w:spacing w:after="120" w:before="280"/>
      </w:pPr>
      <w:r>
        <w:rPr>
          <w:rFonts w:ascii="Georgia" w:cs="Georgia" w:eastAsia="Georgia" w:hAnsi="Georgia"/>
          <w:b/>
          <w:bCs/>
          <w:color w:val="2B2B2B"/>
          <w:sz w:val="25"/>
          <w:szCs w:val="25"/>
        </w:rPr>
        <w:t xml:space="preserve">Cómo enfrentarlos: las defensas del clínico</w:t>
      </w:r>
    </w:p>
    <w:p>
      <w:pPr>
        <w:pStyle w:val="BodyJ"/>
        <w:keepNext/>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keepNext w:val="false"/>
        <w:numPr>
          <w:ilvl w:val="0"/>
          <w:numId w:val="5"/>
        </w:numPr>
      </w:pPr>
      <w:r>
        <w:t xml:space="preserve">¿qué hechos provienen realmente del caso?;</w:t>
      </w:r>
    </w:p>
    <w:p>
      <w:pPr>
        <w:pStyle w:val="BodyJ"/>
        <w:keepNext w:val="false"/>
        <w:numPr>
          <w:ilvl w:val="0"/>
          <w:numId w:val="5"/>
        </w:numPr>
      </w:pPr>
      <w:r>
        <w:t xml:space="preserve">¿qué información agregó el modelo?;</w:t>
      </w:r>
    </w:p>
    <w:p>
      <w:pPr>
        <w:pStyle w:val="BodyJ"/>
        <w:keepNext w:val="false"/>
        <w:numPr>
          <w:ilvl w:val="0"/>
          <w:numId w:val="5"/>
        </w:numPr>
      </w:pPr>
      <w:r>
        <w:t xml:space="preserve">¿qué inferencias formula y con qué respaldo?;</w:t>
      </w:r>
    </w:p>
    <w:p>
      <w:pPr>
        <w:pStyle w:val="BodyJ"/>
        <w:keepNext w:val="false"/>
        <w:numPr>
          <w:ilvl w:val="0"/>
          <w:numId w:val="5"/>
        </w:numPr>
      </w:pPr>
      <w:r>
        <w:t xml:space="preserve">¿qué incertidumbres omitió?;</w:t>
      </w:r>
    </w:p>
    <w:p>
      <w:pPr>
        <w:pStyle w:val="BodyJ"/>
        <w:keepNext w:val="false"/>
        <w:numPr>
          <w:ilvl w:val="0"/>
          <w:numId w:val="5"/>
        </w:numPr>
      </w:pPr>
      <w:r>
        <w:t xml:space="preserve">¿qué decisión propone y cuáles serían sus riesgos?;</w:t>
      </w:r>
    </w:p>
    <w:p>
      <w:pPr>
        <w:pStyle w:val="BodyJ"/>
        <w:keepNext w:val="false"/>
        <w:numPr>
          <w:ilvl w:val="0"/>
          <w:numId w:val="5"/>
        </w:numPr>
      </w:pPr>
      <w:r>
        <w:t xml:space="preserve">¿qué fuente primaria permite verificar la afirmación?</w:t>
      </w:r>
    </w:p>
    <w:p>
      <w:pPr>
        <w:pStyle w:val="BodyJ"/>
        <w:keepNext/>
      </w:pPr>
      <w:r>
        <w:t xml:space="preserve">De esa auditoría se desprenden reglas de uso que caben en una tarjeta:</w:t>
      </w:r>
    </w:p>
    <w:p>
      <w:pPr>
        <w:pStyle w:val="BodyJ"/>
        <w:keepNext w:val="false"/>
        <w:numPr>
          <w:ilvl w:val="0"/>
          <w:numId w:val="23"/>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keepNext w:val="false"/>
        <w:numPr>
          <w:ilvl w:val="0"/>
          <w:numId w:val="23"/>
        </w:numPr>
      </w:pPr>
      <w:r>
        <w:rPr>
          <w:b/>
          <w:bCs/>
        </w:rPr>
        <w:t xml:space="preserve">Verificar la afirmación decisiva contra una fuente primaria antes de actuar.</w:t>
      </w:r>
      <w:r>
        <w:t xml:space="preserve"> No todas: la decisiva —la que, de ser falsa, cambia la conducta—.</w:t>
      </w:r>
    </w:p>
    <w:p>
      <w:pPr>
        <w:pStyle w:val="BodyJ"/>
        <w:keepNext w:val="false"/>
        <w:numPr>
          <w:ilvl w:val="0"/>
          <w:numId w:val="23"/>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keepNext w:val="false"/>
        <w:numPr>
          <w:ilvl w:val="0"/>
          <w:numId w:val="23"/>
        </w:numPr>
      </w:pPr>
      <w:r>
        <w:rPr>
          <w:b/>
          <w:bCs/>
        </w:rPr>
        <w:t xml:space="preserve">Tratar su confianza como tono, no como evidencia.</w:t>
      </w:r>
      <w:r>
        <w:t xml:space="preserve"> La seguridad de la prosa no informa la probabilidad de corrección —igual que la seguridad de un colega no sustituye sus razones—.</w:t>
      </w:r>
    </w:p>
    <w:p>
      <w:pPr>
        <w:pStyle w:val="BodyJ"/>
        <w:keepNext w:val="false"/>
        <w:numPr>
          <w:ilvl w:val="0"/>
          <w:numId w:val="23"/>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keepNext w:val="false"/>
        <w:numPr>
          <w:ilvl w:val="0"/>
          <w:numId w:val="23"/>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keepNext w:val="false"/>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keepNext/>
        <w:keepLines/>
        <w:spacing w:after="120" w:before="280"/>
      </w:pPr>
      <w:r>
        <w:rPr>
          <w:rFonts w:ascii="Georgia" w:cs="Georgia" w:eastAsia="Georgia" w:hAnsi="Georgia"/>
          <w:b/>
          <w:bCs/>
          <w:color w:val="2B2B2B"/>
          <w:sz w:val="25"/>
          <w:szCs w:val="25"/>
        </w:rPr>
        <w:t xml:space="preserve">Cómo enfrentarlos: las defensas de la institución</w:t>
      </w:r>
    </w:p>
    <w:p>
      <w:pPr>
        <w:pStyle w:val="BodyJ"/>
        <w:keepNext/>
      </w:pPr>
      <w:r>
        <w:t xml:space="preserve">Las defensas individuales no bastan, porque varios riesgos del catálogo operan a escala de sistema. Una institución que despliega IA clínica contrae obligaciones epistémicas precisas:</w:t>
      </w:r>
    </w:p>
    <w:p>
      <w:pPr>
        <w:pStyle w:val="BodyJ"/>
        <w:keepNext w:val="false"/>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keepNext w:val="false"/>
        <w:numPr>
          <w:ilvl w:val="0"/>
          <w:numId w:val="5"/>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keepNext w:val="false"/>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keepNext w:val="false"/>
        <w:numPr>
          <w:ilvl w:val="0"/>
          <w:numId w:val="5"/>
        </w:numPr>
      </w:pPr>
      <w:r>
        <w:rPr>
          <w:b/>
          <w:bCs/>
        </w:rPr>
        <w:t xml:space="preserve">Presupuesto de alertas.</w:t>
      </w:r>
      <w:r>
        <w:t xml:space="preserve"> Cada alarma nueva compite por la misma atención finita; una alerta de bajo valor predictivo no es inocua —es ruido que entrena a ignorar, y el equipo que aprendió a ignorar no distingue qué está ignorando—.</w:t>
      </w:r>
    </w:p>
    <w:p>
      <w:pPr>
        <w:pStyle w:val="BodyJ"/>
        <w:keepNext w:val="false"/>
        <w:numPr>
          <w:ilvl w:val="0"/>
          <w:numId w:val="5"/>
        </w:numPr>
      </w:pPr>
      <w:r>
        <w:rPr>
          <w:b/>
          <w:bCs/>
        </w:rPr>
        <w:t xml:space="preserve">Formación que supervise el uso, no sólo la respuesta.</w:t>
      </w:r>
      <w:r>
        <w:t xml:space="preserve"> En docencia, observar cómo el aprendiz usa cognitivamente la herramienta —cuándo consulta, qué acepta, qué verifica, qué habría respondido antes de mirar— y proteger espacios deliberados de práctica sin asistencia (Abdulnour et al., 2025): la competencia que nunca se construyó no se puede «recuperar».</w:t>
      </w:r>
    </w:p>
    <w:p>
      <w:pPr>
        <w:pStyle w:val="BodyJ"/>
        <w:keepNext w:val="false"/>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—auditarla con HII-D es el mismo ejercicio que auditar la propia escritura—.</w:t>
      </w:r>
    </w:p>
    <w:p>
      <w:pPr>
        <w:pStyle w:val="BodyJ"/>
        <w:keepNext/>
        <w:spacing w:after="80" w:before="160"/>
      </w:pPr>
      <w:r>
        <w:rPr>
          <w:b/>
          <w:bCs/>
        </w:rPr>
        <w:t xml:space="preserve">Tres preguntas para la próxima visita.</w:t>
      </w:r>
    </w:p>
    <w:p>
      <w:pPr>
        <w:pStyle w:val="BodyJ"/>
        <w:keepNext/>
        <w:numPr>
          <w:ilvl w:val="0"/>
          <w:numId w:val="24"/>
        </w:numPr>
      </w:pPr>
      <w:r>
        <w:t xml:space="preserve">Si uso IA en este caso, ¿qué dato de su respuesta verifiqué contra una fuente primaria antes de actuar?</w:t>
      </w:r>
    </w:p>
    <w:p>
      <w:pPr>
        <w:pStyle w:val="BodyJ"/>
        <w:keepNext/>
        <w:numPr>
          <w:ilvl w:val="0"/>
          <w:numId w:val="24"/>
        </w:numPr>
      </w:pPr>
      <w:r>
        <w:t xml:space="preserve">¿Qué agregó el modelo que el caso no contenía?</w:t>
      </w:r>
    </w:p>
    <w:p>
      <w:pPr>
        <w:pStyle w:val="BodyJ"/>
        <w:keepNext w:val="false"/>
        <w:numPr>
          <w:ilvl w:val="0"/>
          <w:numId w:val="24"/>
        </w:numPr>
      </w:pPr>
      <w:r>
        <w:t xml:space="preserve">¿Estoy usando la herramienta para ampliar hipótesis o para confirmar rápido la que ya tenía?</w:t>
      </w:r>
    </w:p>
    <w:p>
      <w:pPr>
        <w:pStyle w:val="Heading2"/>
        <w:keepNext/>
        <w:keepLines/>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keepNext w:val="false"/>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keepNext/>
        <w:keepLines/>
        <w:spacing w:after="120" w:before="280"/>
      </w:pPr>
      <w:r>
        <w:rPr>
          <w:rFonts w:ascii="Georgia" w:cs="Georgia" w:eastAsia="Georgia" w:hAnsi="Georgia"/>
          <w:b/>
          <w:bCs/>
          <w:color w:val="2B2B2B"/>
          <w:sz w:val="25"/>
          <w:szCs w:val="25"/>
        </w:rPr>
        <w:t xml:space="preserve">Dos oficios de la conexión</w:t>
      </w:r>
    </w:p>
    <w:p>
      <w:pPr>
        <w:pStyle w:val="BodyJ"/>
        <w:keepNext w:val="false"/>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keepNext w:val="false"/>
      </w:pPr>
      <w:r>
        <w:t xml:space="preserve">El parentesco es lógico antes que sentimental. Una metáfora es la hipótesis de que dos cosas lejanas comparten estructura; un diagnóstico es una metáfora que acepta ser puesta a prueba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keepNext/>
        <w:keepLines/>
        <w:spacing w:after="120" w:before="280"/>
      </w:pPr>
      <w:r>
        <w:rPr>
          <w:rFonts w:ascii="Georgia" w:cs="Georgia" w:eastAsia="Georgia" w:hAnsi="Georgia"/>
          <w:b/>
          <w:bCs/>
          <w:color w:val="2B2B2B"/>
          <w:sz w:val="25"/>
          <w:szCs w:val="25"/>
        </w:rPr>
        <w:t xml:space="preserve">Huidobro, o la palabra que crea</w:t>
      </w:r>
    </w:p>
    <w:p>
      <w:pPr>
        <w:pStyle w:val="BodyJ"/>
        <w:keepNext w:val="false"/>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keepNext w:val="false"/>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—y un servicio lleno de pequeños dioses es un lugar peligroso para estar enfermo—.</w:t>
      </w:r>
    </w:p>
    <w:p>
      <w:pPr>
        <w:pStyle w:val="Heading3"/>
        <w:keepNext/>
        <w:keepLines/>
        <w:spacing w:after="120" w:before="280"/>
      </w:pPr>
      <w:r>
        <w:rPr>
          <w:rFonts w:ascii="Georgia" w:cs="Georgia" w:eastAsia="Georgia" w:hAnsi="Georgia"/>
          <w:b/>
          <w:bCs/>
          <w:color w:val="2B2B2B"/>
          <w:sz w:val="25"/>
          <w:szCs w:val="25"/>
        </w:rPr>
        <w:t xml:space="preserve">Parra, o la deflación</w:t>
      </w:r>
    </w:p>
    <w:p>
      <w:pPr>
        <w:pStyle w:val="BodyJ"/>
        <w:keepNext w:val="false"/>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—y, con nombre y apellido implícitos, la condena de «la poesía de pequeño dios» (Parra, 1969)—. La réplica a Huidobro no es una interpretación: está en el texto.</w:t>
      </w:r>
    </w:p>
    <w:p>
      <w:pPr>
        <w:pStyle w:val="BodyJ"/>
        <w:keepNext w:val="false"/>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—feo, honesto, exacto, imposible de recitar con voz engolada—. La ficha lúcida se escribe más cerca de Parra que de Huidobro: lengua de todos los días, dignidad del «no sé», desconfianza instintiva de toda frase que suene demasiado bien.</w:t>
      </w:r>
    </w:p>
    <w:p>
      <w:pPr>
        <w:pStyle w:val="Heading3"/>
        <w:keepNext/>
        <w:keepLines/>
        <w:spacing w:after="120" w:before="280"/>
      </w:pPr>
      <w:r>
        <w:rPr>
          <w:rFonts w:ascii="Georgia" w:cs="Georgia" w:eastAsia="Georgia" w:hAnsi="Georgia"/>
          <w:b/>
          <w:bCs/>
          <w:color w:val="2B2B2B"/>
          <w:sz w:val="25"/>
          <w:szCs w:val="25"/>
        </w:rPr>
        <w:t xml:space="preserve">La belleza como señal y como trampa</w:t>
      </w:r>
    </w:p>
    <w:p>
      <w:pPr>
        <w:pStyle w:val="BodyJ"/>
        <w:keepNext w:val="false"/>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keepNext w:val="false"/>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keepNext w:val="false"/>
      </w:pPr>
      <w:r>
        <w:t xml:space="preserve">Queda la belleza final, la que menos se nombra: la de hacer lo correcto en el contexto correcto. Una estabilización bien conducida tiene forma estética: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keepNext/>
        <w:keepLines/>
        <w:spacing w:after="120" w:before="280"/>
      </w:pPr>
      <w:r>
        <w:rPr>
          <w:rFonts w:ascii="Georgia" w:cs="Georgia" w:eastAsia="Georgia" w:hAnsi="Georgia"/>
          <w:b/>
          <w:bCs/>
          <w:color w:val="2B2B2B"/>
          <w:sz w:val="25"/>
          <w:szCs w:val="25"/>
        </w:rPr>
        <w:t xml:space="preserve">Leer poesía como entrenamiento clínico</w:t>
      </w:r>
    </w:p>
    <w:p>
      <w:pPr>
        <w:pStyle w:val="BodyJ"/>
        <w:keepNext w:val="false"/>
      </w:pPr>
      <w:r>
        <w:t xml:space="preserve">Si el parentesco es real, leer poesía no es un lujo cultural del médico, sino gimnasio específico. Entrena la precisión léxica —el poeta agoniza entre dos palabras casi iguales, que es la distancia entre «descartado» y «sin evidencia actual de»—. Entrena la tolerancia a la ambigüedad sostenida: un poema no se «resuelve», se habita; como ciertas incertidumbres clínicas. Entrena el oído para el relato: la anamnesis tiene ritmo, silencios y palabras elegidas, y «esta vez la hernia no se dejó acomodar» es, técnicamente, un verso: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keepNext w:val="false"/>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—al poema lo juzga el oído, al diagnóstico lo juzga la evolución— y por eso la ficha lúcida se escribe con Parra, no con Huidobro.</w:t>
      </w:r>
    </w:p>
    <w:p>
      <w:pPr>
        <w:pStyle w:val="BodyJ"/>
        <w:keepNext/>
        <w:spacing w:after="80" w:before="160"/>
      </w:pPr>
      <w:r>
        <w:rPr>
          <w:b/>
          <w:bCs/>
        </w:rPr>
        <w:t xml:space="preserve">Tres preguntas para la próxima visita.</w:t>
      </w:r>
    </w:p>
    <w:p>
      <w:pPr>
        <w:pStyle w:val="BodyJ"/>
        <w:keepNext/>
        <w:numPr>
          <w:ilvl w:val="0"/>
          <w:numId w:val="25"/>
        </w:numPr>
      </w:pPr>
      <w:r>
        <w:t xml:space="preserve">¿Qué palabra de mi última nota está «haciendo florecer» algo que nadie observó?</w:t>
      </w:r>
    </w:p>
    <w:p>
      <w:pPr>
        <w:pStyle w:val="BodyJ"/>
        <w:keepNext/>
        <w:numPr>
          <w:ilvl w:val="0"/>
          <w:numId w:val="25"/>
        </w:numPr>
      </w:pPr>
      <w:r>
        <w:t xml:space="preserve">El diagnóstico que más me satisface hoy: ¿me convence por la evidencia o por lo bien que cierra la historia?</w:t>
      </w:r>
    </w:p>
    <w:p>
      <w:pPr>
        <w:pStyle w:val="BodyJ"/>
        <w:keepNext w:val="false"/>
        <w:numPr>
          <w:ilvl w:val="0"/>
          <w:numId w:val="2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orgia" w:cs="Georgia" w:eastAsia="Georgia" w:hAnsi="Georgia"/>
          <w:b/>
          <w:bCs/>
          <w:color w:val="2B2B2B"/>
          <w:sz w:val="34"/>
          <w:szCs w:val="34"/>
        </w:rPr>
        <w:t xml:space="preserve">Conclusión. Una medicina lúcida</w:t>
      </w:r>
    </w:p>
    <w:p>
      <w:pPr>
        <w:pStyle w:val="BodyJ"/>
        <w:keepNext w:val="false"/>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keepNext w:val="false"/>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keepNext w:val="false"/>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keepNext w:val="false"/>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keepNext w:val="false"/>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keepNext/>
      </w:pPr>
      <w:r>
        <w:t xml:space="preserve">HII-D resume una disciplina posible:</w:t>
      </w:r>
    </w:p>
    <w:p>
      <w:pPr>
        <w:pStyle w:val="BodyJ"/>
        <w:keepNext/>
        <w:numPr>
          <w:ilvl w:val="0"/>
          <w:numId w:val="5"/>
        </w:numPr>
      </w:pPr>
      <w:r>
        <w:rPr>
          <w:b/>
          <w:bCs/>
        </w:rPr>
        <w:t xml:space="preserve">Hechos</w:t>
      </w:r>
      <w:r>
        <w:t xml:space="preserve">: observar con procedencia y límites.</w:t>
      </w:r>
    </w:p>
    <w:p>
      <w:pPr>
        <w:pStyle w:val="BodyJ"/>
        <w:keepNext/>
        <w:numPr>
          <w:ilvl w:val="0"/>
          <w:numId w:val="5"/>
        </w:numPr>
      </w:pPr>
      <w:r>
        <w:rPr>
          <w:b/>
          <w:bCs/>
        </w:rPr>
        <w:t xml:space="preserve">Inferencias</w:t>
      </w:r>
      <w:r>
        <w:t xml:space="preserve">: explicar con fuerza proporcional.</w:t>
      </w:r>
    </w:p>
    <w:p>
      <w:pPr>
        <w:pStyle w:val="BodyJ"/>
        <w:keepNext/>
        <w:numPr>
          <w:ilvl w:val="0"/>
          <w:numId w:val="5"/>
        </w:numPr>
      </w:pPr>
      <w:r>
        <w:rPr>
          <w:b/>
          <w:bCs/>
        </w:rPr>
        <w:t xml:space="preserve">Incertidumbre</w:t>
      </w:r>
      <w:r>
        <w:t xml:space="preserve">: nombrar lo que puede cambiar el modelo o la conducta.</w:t>
      </w:r>
    </w:p>
    <w:p>
      <w:pPr>
        <w:pStyle w:val="BodyJ"/>
        <w:keepNext/>
        <w:numPr>
          <w:ilvl w:val="0"/>
          <w:numId w:val="5"/>
        </w:numPr>
      </w:pPr>
      <w:r>
        <w:rPr>
          <w:b/>
          <w:bCs/>
        </w:rPr>
        <w:t xml:space="preserve">Decisión</w:t>
      </w:r>
      <w:r>
        <w:t xml:space="preserve">: actuar por umbrales y consecuencias, no por necesidad de certeza.</w:t>
      </w:r>
    </w:p>
    <w:p>
      <w:pPr>
        <w:pStyle w:val="BodyJ"/>
        <w:keepNext w:val="false"/>
        <w:numPr>
          <w:ilvl w:val="0"/>
          <w:numId w:val="5"/>
        </w:numPr>
      </w:pPr>
      <w:r>
        <w:rPr>
          <w:b/>
          <w:bCs/>
        </w:rPr>
        <w:t xml:space="preserve">Reevaluación</w:t>
      </w:r>
      <w:r>
        <w:t xml:space="preserve">: devolver al mundo la capacidad de corregirnos.</w:t>
      </w:r>
    </w:p>
    <w:p>
      <w:pPr>
        <w:pStyle w:val="BodyJ"/>
        <w:keepNext w:val="false"/>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keepNext w:val="false"/>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keepNext/>
        <w:keepLines/>
        <w:spacing w:after="120" w:before="280"/>
      </w:pPr>
      <w:r>
        <w:rPr>
          <w:rFonts w:ascii="Georgia" w:cs="Georgia" w:eastAsia="Georgia" w:hAnsi="Georgia"/>
          <w:b/>
          <w:bCs/>
          <w:color w:val="2B2B2B"/>
          <w:sz w:val="25"/>
          <w:szCs w:val="25"/>
        </w:rPr>
        <w:t xml:space="preserve">Una disciplina cotidiana</w:t>
      </w:r>
    </w:p>
    <w:p>
      <w:pPr>
        <w:pStyle w:val="BodyJ"/>
        <w:keepNext w:val="false"/>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keepNext w:val="false"/>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keepNext w:val="false"/>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keepNext/>
        <w:keepLines/>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keepNext/>
      </w:pPr>
      <w:r>
        <w:rPr>
          <w:b/>
          <w:bCs/>
        </w:rPr>
        <w:t xml:space="preserve">Pregunta operativa</w:t>
      </w:r>
    </w:p>
    <w:p>
      <w:pPr>
        <w:pStyle w:val="BodyJ"/>
        <w:keepNext w:val="false"/>
      </w:pPr>
      <w:r>
        <w:t xml:space="preserve">¿Qué decisión concreta debe resolverse ahora?</w:t>
      </w:r>
    </w:p>
    <w:p>
      <w:pPr>
        <w:pStyle w:val="BodyJ"/>
        <w:keepNext/>
      </w:pPr>
      <w:r>
        <w:rPr>
          <w:b/>
          <w:bCs/>
        </w:rPr>
        <w:t xml:space="preserve">H — Hechos decisivos</w:t>
      </w:r>
    </w:p>
    <w:p>
      <w:pPr>
        <w:pStyle w:val="BodyJ"/>
        <w:keepNext w:val="false"/>
        <w:numPr>
          <w:ilvl w:val="0"/>
          <w:numId w:val="5"/>
        </w:numPr>
      </w:pPr>
      <w:r>
        <w:t xml:space="preserve">Fuente y fecha de cada dato.</w:t>
      </w:r>
    </w:p>
    <w:p>
      <w:pPr>
        <w:pStyle w:val="BodyJ"/>
        <w:keepNext w:val="false"/>
        <w:numPr>
          <w:ilvl w:val="0"/>
          <w:numId w:val="5"/>
        </w:numPr>
      </w:pPr>
      <w:r>
        <w:t xml:space="preserve">Tendencia temporal.</w:t>
      </w:r>
    </w:p>
    <w:p>
      <w:pPr>
        <w:pStyle w:val="BodyJ"/>
        <w:keepNext w:val="false"/>
        <w:numPr>
          <w:ilvl w:val="0"/>
          <w:numId w:val="5"/>
        </w:numPr>
      </w:pPr>
      <w:r>
        <w:t xml:space="preserve">Hallazgos positivos y negativos.</w:t>
      </w:r>
    </w:p>
    <w:p>
      <w:pPr>
        <w:pStyle w:val="BodyJ"/>
        <w:keepNext w:val="false"/>
        <w:numPr>
          <w:ilvl w:val="0"/>
          <w:numId w:val="5"/>
        </w:numPr>
      </w:pPr>
      <w:r>
        <w:t xml:space="preserve">Datos no evaluados o no disponibles.</w:t>
      </w:r>
    </w:p>
    <w:p>
      <w:pPr>
        <w:pStyle w:val="BodyJ"/>
        <w:keepNext w:val="false"/>
        <w:numPr>
          <w:ilvl w:val="0"/>
          <w:numId w:val="5"/>
        </w:numPr>
      </w:pPr>
      <w:r>
        <w:t xml:space="preserve">Confiabilidad y límites del método.</w:t>
      </w:r>
    </w:p>
    <w:p>
      <w:pPr>
        <w:pStyle w:val="BodyJ"/>
        <w:keepNext w:val="false"/>
        <w:numPr>
          <w:ilvl w:val="0"/>
          <w:numId w:val="5"/>
        </w:numPr>
      </w:pPr>
      <w:r>
        <w:t xml:space="preserve">Estado del razonador cuando pueda pesar: hora, horas de turno, sueño, ánimo, preocupación ajena al caso.</w:t>
      </w:r>
    </w:p>
    <w:p>
      <w:pPr>
        <w:pStyle w:val="BodyJ"/>
        <w:keepNext/>
      </w:pPr>
      <w:r>
        <w:rPr>
          <w:b/>
          <w:bCs/>
        </w:rPr>
        <w:t xml:space="preserve">I — Inferencia principal</w:t>
      </w:r>
    </w:p>
    <w:p>
      <w:pPr>
        <w:pStyle w:val="BodyJ"/>
        <w:keepNext/>
        <w:numPr>
          <w:ilvl w:val="0"/>
          <w:numId w:val="5"/>
        </w:numPr>
      </w:pPr>
      <w:r>
        <w:t xml:space="preserve">Representación del problema en una frase.</w:t>
      </w:r>
    </w:p>
    <w:p>
      <w:pPr>
        <w:pStyle w:val="BodyJ"/>
        <w:keepNext/>
        <w:numPr>
          <w:ilvl w:val="0"/>
          <w:numId w:val="5"/>
        </w:numPr>
      </w:pPr>
      <w:r>
        <w:t xml:space="preserve">Grado de certeza: demostrado / altamente probable / probable / posible / no demostrado.</w:t>
      </w:r>
    </w:p>
    <w:p>
      <w:pPr>
        <w:pStyle w:val="BodyJ"/>
        <w:keepNext/>
        <w:numPr>
          <w:ilvl w:val="0"/>
          <w:numId w:val="5"/>
        </w:numPr>
      </w:pPr>
      <w:r>
        <w:t xml:space="preserve">Mecanismo causal propuesto y qué parte no fue observada.</w:t>
      </w:r>
    </w:p>
    <w:p>
      <w:pPr>
        <w:pStyle w:val="BodyJ"/>
        <w:keepNext w:val="false"/>
        <w:numPr>
          <w:ilvl w:val="0"/>
          <w:numId w:val="5"/>
        </w:numPr>
      </w:pPr>
      <w:r>
        <w:t xml:space="preserve">Evidencia convergente y dato discordante.</w:t>
      </w:r>
    </w:p>
    <w:p>
      <w:pPr>
        <w:pStyle w:val="BodyJ"/>
        <w:keepNext/>
      </w:pPr>
      <w:r>
        <w:rPr>
          <w:b/>
          <w:bCs/>
        </w:rPr>
        <w:t xml:space="preserve">I — Incertidumbre</w:t>
      </w:r>
    </w:p>
    <w:p>
      <w:pPr>
        <w:pStyle w:val="BodyJ"/>
        <w:keepNext/>
        <w:numPr>
          <w:ilvl w:val="0"/>
          <w:numId w:val="5"/>
        </w:numPr>
      </w:pPr>
      <w:r>
        <w:t xml:space="preserve">Alternativa que cambiaría la conducta.</w:t>
      </w:r>
    </w:p>
    <w:p>
      <w:pPr>
        <w:pStyle w:val="BodyJ"/>
        <w:keepNext/>
        <w:numPr>
          <w:ilvl w:val="0"/>
          <w:numId w:val="5"/>
        </w:numPr>
      </w:pPr>
      <w:r>
        <w:t xml:space="preserve">Duda reducible con examen.</w:t>
      </w:r>
    </w:p>
    <w:p>
      <w:pPr>
        <w:pStyle w:val="BodyJ"/>
        <w:keepNext/>
        <w:numPr>
          <w:ilvl w:val="0"/>
          <w:numId w:val="5"/>
        </w:numPr>
      </w:pPr>
      <w:r>
        <w:t xml:space="preserve">Duda dependiente de evolución.</w:t>
      </w:r>
    </w:p>
    <w:p>
      <w:pPr>
        <w:pStyle w:val="BodyJ"/>
        <w:keepNext/>
        <w:numPr>
          <w:ilvl w:val="0"/>
          <w:numId w:val="5"/>
        </w:numPr>
      </w:pPr>
      <w:r>
        <w:t xml:space="preserve">Duda irreductible o no relevante para la decisión inmediata.</w:t>
      </w:r>
    </w:p>
    <w:p>
      <w:pPr>
        <w:pStyle w:val="BodyJ"/>
        <w:keepNext w:val="false"/>
        <w:numPr>
          <w:ilvl w:val="0"/>
          <w:numId w:val="5"/>
        </w:numPr>
      </w:pPr>
      <w:r>
        <w:t xml:space="preserve">Error de mayor consecuencia.</w:t>
      </w:r>
    </w:p>
    <w:p>
      <w:pPr>
        <w:pStyle w:val="BodyJ"/>
        <w:keepNext/>
      </w:pPr>
      <w:r>
        <w:rPr>
          <w:b/>
          <w:bCs/>
        </w:rPr>
        <w:t xml:space="preserve">D — Decisión</w:t>
      </w:r>
    </w:p>
    <w:p>
      <w:pPr>
        <w:pStyle w:val="BodyJ"/>
        <w:keepNext w:val="false"/>
        <w:numPr>
          <w:ilvl w:val="0"/>
          <w:numId w:val="5"/>
        </w:numPr>
      </w:pPr>
      <w:r>
        <w:t xml:space="preserve">Conducta elegida.</w:t>
      </w:r>
    </w:p>
    <w:p>
      <w:pPr>
        <w:pStyle w:val="BodyJ"/>
        <w:keepNext w:val="false"/>
        <w:numPr>
          <w:ilvl w:val="0"/>
          <w:numId w:val="5"/>
        </w:numPr>
      </w:pPr>
      <w:r>
        <w:t xml:space="preserve">Por qué el beneficio esperado supera al de las alternativas.</w:t>
      </w:r>
    </w:p>
    <w:p>
      <w:pPr>
        <w:pStyle w:val="BodyJ"/>
        <w:keepNext w:val="false"/>
        <w:numPr>
          <w:ilvl w:val="0"/>
          <w:numId w:val="5"/>
        </w:numPr>
      </w:pPr>
      <w:r>
        <w:t xml:space="preserve">Urgencia, reversibilidad y capacidad de vigilancia.</w:t>
      </w:r>
    </w:p>
    <w:p>
      <w:pPr>
        <w:pStyle w:val="BodyJ"/>
        <w:keepNext w:val="false"/>
        <w:numPr>
          <w:ilvl w:val="0"/>
          <w:numId w:val="5"/>
        </w:numPr>
      </w:pPr>
      <w:r>
        <w:t xml:space="preserve">Contexto global: funcionalidad basal, pronóstico de fondo, red de apoyo social y familiar.</w:t>
      </w:r>
    </w:p>
    <w:p>
      <w:pPr>
        <w:pStyle w:val="BodyJ"/>
        <w:keepNext w:val="false"/>
        <w:numPr>
          <w:ilvl w:val="0"/>
          <w:numId w:val="5"/>
        </w:numPr>
      </w:pPr>
      <w:r>
        <w:t xml:space="preserve">Preferencias del paciente (citadas, no presumidas).</w:t>
      </w:r>
    </w:p>
    <w:p>
      <w:pPr>
        <w:pStyle w:val="BodyJ"/>
        <w:keepNext w:val="false"/>
        <w:numPr>
          <w:ilvl w:val="0"/>
          <w:numId w:val="5"/>
        </w:numPr>
      </w:pPr>
      <w:r>
        <w:t xml:space="preserve">Proporcionalidad: ¿la intervención guarda proporción con el pronóstico y los fines del enfermo?</w:t>
      </w:r>
    </w:p>
    <w:p>
      <w:pPr>
        <w:pStyle w:val="BodyJ"/>
        <w:keepNext/>
      </w:pPr>
      <w:r>
        <w:rPr>
          <w:b/>
          <w:bCs/>
        </w:rPr>
        <w:t xml:space="preserve">Reevaluación</w:t>
      </w:r>
    </w:p>
    <w:p>
      <w:pPr>
        <w:pStyle w:val="BodyJ"/>
        <w:keepNext/>
        <w:numPr>
          <w:ilvl w:val="0"/>
          <w:numId w:val="5"/>
        </w:numPr>
      </w:pPr>
      <w:r>
        <w:t xml:space="preserve">Resultado pendiente.</w:t>
      </w:r>
    </w:p>
    <w:p>
      <w:pPr>
        <w:pStyle w:val="BodyJ"/>
        <w:keepNext/>
        <w:numPr>
          <w:ilvl w:val="0"/>
          <w:numId w:val="5"/>
        </w:numPr>
      </w:pPr>
      <w:r>
        <w:t xml:space="preserve">Plazo.</w:t>
      </w:r>
    </w:p>
    <w:p>
      <w:pPr>
        <w:pStyle w:val="BodyJ"/>
        <w:keepNext/>
        <w:numPr>
          <w:ilvl w:val="0"/>
          <w:numId w:val="5"/>
        </w:numPr>
      </w:pPr>
      <w:r>
        <w:t xml:space="preserve">Cambio clínico que obliga a reabrir el caso.</w:t>
      </w:r>
    </w:p>
    <w:p>
      <w:pPr>
        <w:pStyle w:val="BodyJ"/>
        <w:keepNext w:val="false"/>
        <w:numPr>
          <w:ilvl w:val="0"/>
          <w:numId w:val="5"/>
        </w:numPr>
      </w:pPr>
      <w:r>
        <w:t xml:space="preserve">Responsable de verificar y comunicar.</w:t>
      </w:r>
    </w:p>
    <w:p>
      <w:pPr>
        <w:pStyle w:val="BodyJ"/>
        <w:keepNext/>
      </w:pPr>
      <w:r>
        <w:rPr>
          <w:b/>
          <w:bCs/>
        </w:rPr>
        <w:t xml:space="preserve">Frase medular final</w:t>
      </w:r>
    </w:p>
    <w:p>
      <w:pPr>
        <w:pStyle w:val="BodyJ"/>
        <w:keepNext w:val="false"/>
      </w:pPr>
      <w:r>
        <w:t xml:space="preserve">Una o dos frases que expresen la naturaleza del evento, la inferencia con su grado, la incertidumbre crítica y el efecto sobre la conducta.</w:t>
      </w:r>
    </w:p>
    <w:p>
      <w:pPr>
        <w:pStyle w:val="BodyJ"/>
        <w:keepNext w:val="false"/>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keepNext w:val="false"/>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keepNext/>
        <w:keepLines/>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keepNext/>
        <w:keepLines/>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D;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keepNext/>
        <w:keepLines/>
        <w:spacing w:after="120" w:before="280"/>
      </w:pPr>
      <w:r>
        <w:rPr>
          <w:rFonts w:ascii="Georgia" w:cs="Georgia" w:eastAsia="Georgia" w:hAnsi="Georgia"/>
          <w:b/>
          <w:bCs/>
          <w:color w:val="2B2B2B"/>
          <w:sz w:val="25"/>
          <w:szCs w:val="25"/>
        </w:rPr>
        <w:t xml:space="preserve">Doce preguntas para una pausa diagnóstica</w:t>
      </w:r>
    </w:p>
    <w:p>
      <w:pPr>
        <w:pStyle w:val="BodyJ"/>
        <w:keepNext w:val="false"/>
        <w:numPr>
          <w:ilvl w:val="0"/>
          <w:numId w:val="26"/>
        </w:numPr>
      </w:pPr>
      <w:r>
        <w:t xml:space="preserve">¿Puedo describir el caso sin usar el diagnóstico actual?</w:t>
      </w:r>
    </w:p>
    <w:p>
      <w:pPr>
        <w:pStyle w:val="BodyJ"/>
        <w:keepNext w:val="false"/>
        <w:numPr>
          <w:ilvl w:val="0"/>
          <w:numId w:val="26"/>
        </w:numPr>
      </w:pPr>
      <w:r>
        <w:t xml:space="preserve">¿Qué dato sostiene más mi conclusión?</w:t>
      </w:r>
    </w:p>
    <w:p>
      <w:pPr>
        <w:pStyle w:val="BodyJ"/>
        <w:keepNext w:val="false"/>
        <w:numPr>
          <w:ilvl w:val="0"/>
          <w:numId w:val="26"/>
        </w:numPr>
      </w:pPr>
      <w:r>
        <w:t xml:space="preserve">¿Ese dato es específico o sólo compatible?</w:t>
      </w:r>
    </w:p>
    <w:p>
      <w:pPr>
        <w:pStyle w:val="BodyJ"/>
        <w:keepNext w:val="false"/>
        <w:numPr>
          <w:ilvl w:val="0"/>
          <w:numId w:val="26"/>
        </w:numPr>
      </w:pPr>
      <w:r>
        <w:t xml:space="preserve">¿Qué hallazgo no encaja?</w:t>
      </w:r>
    </w:p>
    <w:p>
      <w:pPr>
        <w:pStyle w:val="BodyJ"/>
        <w:keepNext w:val="false"/>
        <w:numPr>
          <w:ilvl w:val="0"/>
          <w:numId w:val="26"/>
        </w:numPr>
      </w:pPr>
      <w:r>
        <w:t xml:space="preserve">¿Qué información estoy suponiendo que fue verificada?</w:t>
      </w:r>
    </w:p>
    <w:p>
      <w:pPr>
        <w:pStyle w:val="BodyJ"/>
        <w:keepNext w:val="false"/>
        <w:numPr>
          <w:ilvl w:val="0"/>
          <w:numId w:val="26"/>
        </w:numPr>
      </w:pPr>
      <w:r>
        <w:t xml:space="preserve">¿Qué alternativa cambiaría la conducta inmediata?</w:t>
      </w:r>
    </w:p>
    <w:p>
      <w:pPr>
        <w:pStyle w:val="BodyJ"/>
        <w:keepNext w:val="false"/>
        <w:numPr>
          <w:ilvl w:val="0"/>
          <w:numId w:val="26"/>
        </w:numPr>
      </w:pPr>
      <w:r>
        <w:t xml:space="preserve">¿Estoy usando la respuesta al tratamiento como prueba causal demasiado fuerte?</w:t>
      </w:r>
    </w:p>
    <w:p>
      <w:pPr>
        <w:pStyle w:val="BodyJ"/>
        <w:keepNext w:val="false"/>
        <w:numPr>
          <w:ilvl w:val="0"/>
          <w:numId w:val="26"/>
        </w:numPr>
      </w:pPr>
      <w:r>
        <w:t xml:space="preserve">¿La gravedad es coherente con mi explicación?</w:t>
      </w:r>
    </w:p>
    <w:p>
      <w:pPr>
        <w:pStyle w:val="BodyJ"/>
        <w:keepNext w:val="false"/>
        <w:numPr>
          <w:ilvl w:val="0"/>
          <w:numId w:val="26"/>
        </w:numPr>
      </w:pPr>
      <w:r>
        <w:t xml:space="preserve">¿Existe reconsulta, recurrencia o evolución inesperada?</w:t>
      </w:r>
    </w:p>
    <w:p>
      <w:pPr>
        <w:pStyle w:val="BodyJ"/>
        <w:keepNext w:val="false"/>
        <w:numPr>
          <w:ilvl w:val="0"/>
          <w:numId w:val="26"/>
        </w:numPr>
      </w:pPr>
      <w:r>
        <w:t xml:space="preserve">¿Mi confianza proviene de evidencia o de familiaridad y fluidez?</w:t>
      </w:r>
    </w:p>
    <w:p>
      <w:pPr>
        <w:pStyle w:val="BodyJ"/>
        <w:keepNext w:val="false"/>
        <w:numPr>
          <w:ilvl w:val="0"/>
          <w:numId w:val="26"/>
        </w:numPr>
      </w:pPr>
      <w:r>
        <w:t xml:space="preserve">¿Cuál es el costo de esperar y cuál el costo de actuar?</w:t>
      </w:r>
    </w:p>
    <w:p>
      <w:pPr>
        <w:pStyle w:val="BodyJ"/>
        <w:keepNext w:val="false"/>
        <w:numPr>
          <w:ilvl w:val="0"/>
          <w:numId w:val="26"/>
        </w:numPr>
      </w:pPr>
      <w:r>
        <w:t xml:space="preserve">¿Qué evento obligará a revisar la decisión y quién lo detectará?</w:t>
      </w:r>
    </w:p>
    <w:p>
      <w:pPr>
        <w:pStyle w:val="Heading1"/>
        <w:keepNext/>
        <w:keepLines/>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keepNext w:val="false"/>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keepNext/>
        <w:keepLines/>
        <w:spacing w:after="120" w:before="280"/>
      </w:pPr>
      <w:r>
        <w:rPr>
          <w:rFonts w:ascii="Georgia" w:cs="Georgia" w:eastAsia="Georgia" w:hAnsi="Georgia"/>
          <w:b/>
          <w:bCs/>
          <w:color w:val="2B2B2B"/>
          <w:sz w:val="25"/>
          <w:szCs w:val="25"/>
        </w:rPr>
        <w:t xml:space="preserve">Semana 1–2: instalar el lenguaje</w:t>
      </w:r>
    </w:p>
    <w:p>
      <w:pPr>
        <w:pStyle w:val="BodyJ"/>
        <w:keepNext/>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keepNext/>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keepNext w:val="false"/>
        <w:numPr>
          <w:ilvl w:val="0"/>
          <w:numId w:val="5"/>
        </w:numPr>
      </w:pPr>
      <w:r>
        <w:t xml:space="preserve">No pedir todavía cambios de estructura en las notas. El vocabulario primero; la arquitectura después.</w:t>
      </w:r>
    </w:p>
    <w:p>
      <w:pPr>
        <w:pStyle w:val="Heading3"/>
        <w:keepNext/>
        <w:keepLines/>
        <w:spacing w:after="120" w:before="280"/>
      </w:pPr>
      <w:r>
        <w:rPr>
          <w:rFonts w:ascii="Georgia" w:cs="Georgia" w:eastAsia="Georgia" w:hAnsi="Georgia"/>
          <w:b/>
          <w:bCs/>
          <w:color w:val="2B2B2B"/>
          <w:sz w:val="25"/>
          <w:szCs w:val="25"/>
        </w:rPr>
        <w:t xml:space="preserve">Semana 3–4: la pausa en la visita de sala</w:t>
      </w:r>
    </w:p>
    <w:p>
      <w:pPr>
        <w:pStyle w:val="BodyJ"/>
        <w:keepNext/>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keepNext/>
        <w:numPr>
          <w:ilvl w:val="0"/>
          <w:numId w:val="5"/>
        </w:numPr>
      </w:pPr>
      <w:r>
        <w:t xml:space="preserve">Cuando se active, usar las cuatro preguntas de la versión de sesenta segundos en voz alta. Duración objetivo: dos minutos por caso. Quien dirige la visita modela; no interroga.</w:t>
      </w:r>
    </w:p>
    <w:p>
      <w:pPr>
        <w:pStyle w:val="BodyJ"/>
        <w:keepNext w:val="false"/>
        <w:numPr>
          <w:ilvl w:val="0"/>
          <w:numId w:val="5"/>
        </w:numPr>
      </w:pPr>
      <w:r>
        <w:t xml:space="preserve">Entrega de turno: agregar una línea obligatoria por paciente inestable o incierto: «qué vigilar, qué reabriría el caso, quién verifica el pendiente».</w:t>
      </w:r>
    </w:p>
    <w:p>
      <w:pPr>
        <w:pStyle w:val="Heading3"/>
        <w:keepNext/>
        <w:keepLines/>
        <w:spacing w:after="120" w:before="280"/>
      </w:pPr>
      <w:r>
        <w:rPr>
          <w:rFonts w:ascii="Georgia" w:cs="Georgia" w:eastAsia="Georgia" w:hAnsi="Georgia"/>
          <w:b/>
          <w:bCs/>
          <w:color w:val="2B2B2B"/>
          <w:sz w:val="25"/>
          <w:szCs w:val="25"/>
        </w:rPr>
        <w:t xml:space="preserve">Mes 2: la ficha</w:t>
      </w:r>
    </w:p>
    <w:p>
      <w:pPr>
        <w:pStyle w:val="BodyJ"/>
        <w:keepNext/>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keepNext/>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keepNext w:val="false"/>
        <w:numPr>
          <w:ilvl w:val="0"/>
          <w:numId w:val="5"/>
        </w:numPr>
      </w:pPr>
      <w:r>
        <w:t xml:space="preserve">Revisar las plantillas electrónicas existentes: eliminar campos que inducen copia, agregar un campo breve de «criterio de reapertura».</w:t>
      </w:r>
    </w:p>
    <w:p>
      <w:pPr>
        <w:pStyle w:val="Heading3"/>
        <w:keepNext/>
        <w:keepLines/>
        <w:spacing w:after="120" w:before="280"/>
      </w:pPr>
      <w:r>
        <w:rPr>
          <w:rFonts w:ascii="Georgia" w:cs="Georgia" w:eastAsia="Georgia" w:hAnsi="Georgia"/>
          <w:b/>
          <w:bCs/>
          <w:color w:val="2B2B2B"/>
          <w:sz w:val="25"/>
          <w:szCs w:val="25"/>
        </w:rPr>
        <w:t xml:space="preserve">Mes 3 en adelante: el circuito de aprendizaje</w:t>
      </w:r>
    </w:p>
    <w:p>
      <w:pPr>
        <w:pStyle w:val="BodyJ"/>
        <w:keepNext/>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keepNext/>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keepNext w:val="false"/>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keepNext/>
        <w:keepLines/>
        <w:spacing w:after="120" w:before="280"/>
      </w:pPr>
      <w:r>
        <w:rPr>
          <w:rFonts w:ascii="Georgia" w:cs="Georgia" w:eastAsia="Georgia" w:hAnsi="Georgia"/>
          <w:b/>
          <w:bCs/>
          <w:color w:val="2B2B2B"/>
          <w:sz w:val="25"/>
          <w:szCs w:val="25"/>
        </w:rPr>
        <w:t xml:space="preserve">Qué medir (sin inflar métricas)</w:t>
      </w:r>
    </w:p>
    <w:p>
      <w:pPr>
        <w:pStyle w:val="BodyJ"/>
        <w:keepNext w:val="false"/>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keepNext/>
        <w:keepLines/>
        <w:spacing w:after="120" w:before="280"/>
      </w:pPr>
      <w:r>
        <w:rPr>
          <w:rFonts w:ascii="Georgia" w:cs="Georgia" w:eastAsia="Georgia" w:hAnsi="Georgia"/>
          <w:b/>
          <w:bCs/>
          <w:color w:val="2B2B2B"/>
          <w:sz w:val="25"/>
          <w:szCs w:val="25"/>
        </w:rPr>
        <w:t xml:space="preserve">Hoja de ruta para el docente</w:t>
      </w:r>
    </w:p>
    <w:p>
      <w:pPr>
        <w:pStyle w:val="BodyJ"/>
        <w:keepNext w:val="false"/>
      </w:pPr>
      <w:r>
        <w:t xml:space="preserve">Qué talleres del Apéndice D usar con quién, en el orden en que rinden más; cada uno se nombra por su capítulo. Salvo los que se sostienen en el tiempo (los de los capítulos 5, 15 y 16), cada uno cabe en una reunión de treinta minutos.</w:t>
      </w:r>
    </w:p>
    <w:p>
      <w:pPr>
        <w:pStyle w:val="BodyJ"/>
        <w:keepNext/>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(la observación activa, por escrito) y 12 (conjugar los verbos). Enseñan el léxico y las capas antes que el juicio.</w:t>
      </w:r>
    </w:p>
    <w:p>
      <w:pPr>
        <w:pStyle w:val="BodyJ"/>
        <w:keepNext/>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12 (desfosilizar una evolución), 13 (traducir un desacuerdo) y 15 (su paciente, esta semana). Trabajan sobre el propio razonamiento y sobre pacientes reales.</w:t>
      </w:r>
    </w:p>
    <w:p>
      <w:pPr>
        <w:pStyle w:val="BodyJ"/>
        <w:keepNext/>
        <w:numPr>
          <w:ilvl w:val="0"/>
          <w:numId w:val="5"/>
        </w:numPr>
      </w:pPr>
      <w:r>
        <w:rPr>
          <w:b/>
          <w:bCs/>
        </w:rPr>
        <w:t xml:space="preserve">Jefe de servicio, docente y comité</w:t>
      </w:r>
      <w:r>
        <w:t xml:space="preserve">: los de los capítulos 10 (las cuatro casillas), 16 (rediseñar la visita de sala) y 17 (la autopsia de una respuesta de IA), y la reunión de morbimortalidad en el formato de la viñeta 6. Cambian el sistema, no sólo al que razona.</w:t>
      </w:r>
    </w:p>
    <w:p>
      <w:pPr>
        <w:pStyle w:val="BodyJ"/>
        <w:keepNext w:val="false"/>
        <w:numPr>
          <w:ilvl w:val="0"/>
          <w:numId w:val="5"/>
        </w:numPr>
      </w:pPr>
      <w:r>
        <w:rPr>
          <w:b/>
          <w:bCs/>
        </w:rPr>
        <w:t xml:space="preserve">Para todos, al cierre de un ciclo</w:t>
      </w:r>
      <w:r>
        <w:t xml:space="preserve">: los de los capítulos 2 (cinco hipótesis en tres minutos) y 18 (la prueba de Parra), que entrenan la generación y el oído.</w:t>
      </w:r>
    </w:p>
    <w:p>
      <w:pPr>
        <w:pStyle w:val="BodyJ"/>
        <w:keepNext w:val="false"/>
      </w:pPr>
      <w:r>
        <w:t xml:space="preserve">Secuencia mínima para un servicio que empieza, alineada con las fases de esta guía: el taller del capítulo 4 en las semanas 1–2 (el lenguaje), los de los capítulos 8 y 11 en las semanas 3–4 (la pausa en la visita de sala), los dos del capítulo 12 en el mes 2 (la ficha) y el del capítulo 7 desde el mes 3, junto a la reunión de morbimortalidad; el resto, a demanda. Los «errores típicos» anotados en los talleres de los capítulos 7, 8, 10 (frecuencias naturales) y 12 (conjugar los verbos) son lo que los grupos suelen responder primero; mostrarlos antes de la versión posible enseña por contraste.</w:t>
      </w:r>
    </w:p>
    <w:p>
      <w:pPr>
        <w:pStyle w:val="Heading1"/>
        <w:keepNext/>
        <w:keepLines/>
        <w:pageBreakBefore/>
        <w:spacing w:after="320" w:before="720"/>
      </w:pPr>
      <w:r>
        <w:rPr>
          <w:rFonts w:ascii="Georgia" w:cs="Georgia" w:eastAsia="Georgia" w:hAnsi="Georgia"/>
          <w:b/>
          <w:bCs/>
          <w:color w:val="2B2B2B"/>
          <w:sz w:val="34"/>
          <w:szCs w:val="34"/>
        </w:rPr>
        <w:t xml:space="preserve">Apéndice D. Talleres</w:t>
      </w:r>
    </w:p>
    <w:p>
      <w:pPr>
        <w:pStyle w:val="BodyJ"/>
        <w:keepNext w:val="false"/>
      </w:pPr>
      <w:r>
        <w:t xml:space="preserve">Los ejercicios de este apéndice son para quien quiera practicar. Hay uno por capítulo, salvo en los capítulos 6, 9 y 14, que no tienen, y en los capítulos 2, 10 y 12,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keepNext/>
        <w:keepLines/>
      </w:pPr>
      <w:r>
        <w:t xml:space="preserve">Taller del capítulo 1. ¿Qué tan hecho es este hecho?</w:t>
      </w:r>
    </w:p>
    <w:p>
      <w:pPr>
        <w:pStyle w:val="BodyJ"/>
        <w:keepNext/>
      </w:pPr>
      <w:r>
        <w:t xml:space="preserve">Clasificar cada afirmación según el gradiente de facticidad (medido / observado por profesional / relato / heredado / ausencia inferida) y reescribir la que parezca más frágil:</w:t>
      </w:r>
    </w:p>
    <w:p>
      <w:pPr>
        <w:pStyle w:val="BodyJ"/>
        <w:keepNext/>
        <w:numPr>
          <w:ilvl w:val="0"/>
          <w:numId w:val="27"/>
        </w:numPr>
      </w:pPr>
      <w:r>
        <w:t xml:space="preserve">«Lactato 3,9 mmol/L (04:15, arterial).»</w:t>
      </w:r>
    </w:p>
    <w:p>
      <w:pPr>
        <w:pStyle w:val="BodyJ"/>
        <w:keepNext/>
        <w:numPr>
          <w:ilvl w:val="0"/>
          <w:numId w:val="27"/>
        </w:numPr>
      </w:pPr>
      <w:r>
        <w:t xml:space="preserve">«Abdomen sin signos de irritación peritoneal.»</w:t>
      </w:r>
    </w:p>
    <w:p>
      <w:pPr>
        <w:pStyle w:val="BodyJ"/>
        <w:keepNext/>
        <w:numPr>
          <w:ilvl w:val="0"/>
          <w:numId w:val="27"/>
        </w:numPr>
      </w:pPr>
      <w:r>
        <w:t xml:space="preserve">«Alérgica a penicilina.»</w:t>
      </w:r>
    </w:p>
    <w:p>
      <w:pPr>
        <w:pStyle w:val="BodyJ"/>
        <w:keepNext/>
        <w:numPr>
          <w:ilvl w:val="0"/>
          <w:numId w:val="27"/>
        </w:numPr>
      </w:pPr>
      <w:r>
        <w:t xml:space="preserve">«Sin episodios previos de sangrado.»</w:t>
      </w:r>
    </w:p>
    <w:p>
      <w:pPr>
        <w:pStyle w:val="BodyJ"/>
        <w:keepNext w:val="false"/>
        <w:numPr>
          <w:ilvl w:val="0"/>
          <w:numId w:val="27"/>
        </w:numPr>
      </w:pPr>
      <w:r>
        <w:t xml:space="preserve">«La hernia no se dejó acomodar y el dolor era distinto al de otras veces.»</w:t>
      </w:r>
    </w:p>
    <w:p>
      <w:pPr>
        <w:pStyle w:val="BodyJ"/>
        <w:keepNext w:val="false"/>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keepNext/>
        <w:keepLines/>
      </w:pPr>
      <w:r>
        <w:t xml:space="preserve">Taller del capítulo 2. La sentencia del TAC</w:t>
      </w:r>
    </w:p>
    <w:p>
      <w:pPr>
        <w:pStyle w:val="BodyJ"/>
        <w:keepNext w:val="false"/>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keepNext/>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keepNext w:val="false"/>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keepNext/>
        <w:keepLines/>
      </w:pPr>
      <w:r>
        <w:t xml:space="preserve">Taller del capítulo 2. Cinco hipótesis en tres minutos</w:t>
      </w:r>
    </w:p>
    <w:p>
      <w:pPr>
        <w:pStyle w:val="BodyJ"/>
        <w:keepNext w:val="false"/>
      </w:pPr>
      <w:r>
        <w:t xml:space="preserve">Un paciente con EPOC conocido consulta por disnea que no ha respondido a dos rondas de broncodilatadores en urgencias. La saturación es 84% con oxígeno a 2 L/min por naricera, y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keepNext w:val="false"/>
      </w:pPr>
      <w:r>
        <w:rPr>
          <w:i/>
          <w:iCs/>
        </w:rPr>
        <w:t xml:space="preserve">Una versión posible.</w:t>
      </w:r>
      <w:r>
        <w:t xml:space="preserve"> La lista generativa sin censura inicial incluye: tromboembolismo pulmonar (el EPOC y la inmovilidad aumentan el riesgo, y la escasez de sibilancias no explica una saturación de 84% con oxígeno),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keepNext/>
        <w:keepLines/>
      </w:pPr>
      <w:r>
        <w:t xml:space="preserve">Taller del capítulo 3. El mapa de lo que no sabemos de Carmen</w:t>
      </w:r>
    </w:p>
    <w:p>
      <w:pPr>
        <w:pStyle w:val="BodyJ"/>
        <w:keepNext w:val="false"/>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keepNext w:val="false"/>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keepNext/>
        <w:keepLines/>
      </w:pPr>
      <w:r>
        <w:t xml:space="preserve">Taller del capítulo 4. Cinco frases para reescribir</w:t>
      </w:r>
    </w:p>
    <w:p>
      <w:pPr>
        <w:pStyle w:val="BodyJ"/>
        <w:keepNext/>
      </w:pPr>
      <w:r>
        <w:t xml:space="preserve">Reescribir cada frase para que la fuerza del lenguaje corresponda a la fuerza de la evidencia disponible (con los mínimos datos verosímiles que haga falta inventar):</w:t>
      </w:r>
    </w:p>
    <w:p>
      <w:pPr>
        <w:pStyle w:val="BodyJ"/>
        <w:keepNext/>
        <w:numPr>
          <w:ilvl w:val="0"/>
          <w:numId w:val="28"/>
        </w:numPr>
      </w:pPr>
      <w:r>
        <w:t xml:space="preserve">«Se descarta tromboembolismo pulmonar.»</w:t>
      </w:r>
    </w:p>
    <w:p>
      <w:pPr>
        <w:pStyle w:val="BodyJ"/>
        <w:keepNext/>
        <w:numPr>
          <w:ilvl w:val="0"/>
          <w:numId w:val="28"/>
        </w:numPr>
      </w:pPr>
      <w:r>
        <w:t xml:space="preserve">«Neumonía que respondió a antibióticos.»</w:t>
      </w:r>
    </w:p>
    <w:p>
      <w:pPr>
        <w:pStyle w:val="BodyJ"/>
        <w:keepNext/>
        <w:numPr>
          <w:ilvl w:val="0"/>
          <w:numId w:val="28"/>
        </w:numPr>
      </w:pPr>
      <w:r>
        <w:t xml:space="preserve">«Paciente poco colaborador.»</w:t>
      </w:r>
    </w:p>
    <w:p>
      <w:pPr>
        <w:pStyle w:val="BodyJ"/>
        <w:keepNext/>
        <w:numPr>
          <w:ilvl w:val="0"/>
          <w:numId w:val="28"/>
        </w:numPr>
      </w:pPr>
      <w:r>
        <w:t xml:space="preserve">«ITU en tratamiento» (paciente sondado, urocultivo positivo, afebril, sin síntomas nuevos).</w:t>
      </w:r>
    </w:p>
    <w:p>
      <w:pPr>
        <w:pStyle w:val="BodyJ"/>
        <w:keepNext w:val="false"/>
        <w:numPr>
          <w:ilvl w:val="0"/>
          <w:numId w:val="28"/>
        </w:numPr>
      </w:pPr>
      <w:r>
        <w:t xml:space="preserve">«Fracaso de manejo médico.»</w:t>
      </w:r>
    </w:p>
    <w:p>
      <w:pPr>
        <w:pStyle w:val="BodyJ"/>
        <w:keepNext w:val="false"/>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keepNext/>
        <w:keepLines/>
      </w:pPr>
      <w:r>
        <w:t xml:space="preserve">Taller del capítulo 5. Un experimento de calibración personal</w:t>
      </w:r>
    </w:p>
    <w:p>
      <w:pPr>
        <w:pStyle w:val="BodyJ"/>
        <w:keepNext w:val="false"/>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keepNext w:val="false"/>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keepNext/>
        <w:keepLines/>
      </w:pPr>
      <w:r>
        <w:t xml:space="preserve">Taller del capítulo 7. Reconstruir una trayectoria, no asignar un sesgo</w:t>
      </w:r>
    </w:p>
    <w:p>
      <w:pPr>
        <w:pStyle w:val="BodyJ"/>
        <w:keepNext w:val="false"/>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keepNext w:val="false"/>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keepNext w:val="false"/>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keepNext/>
        <w:keepLines/>
      </w:pPr>
      <w:r>
        <w:t xml:space="preserve">Taller del capítulo 8. Presentar sin la etiqueta</w:t>
      </w:r>
    </w:p>
    <w:p>
      <w:pPr>
        <w:pStyle w:val="BodyJ"/>
        <w:keepNext w:val="false"/>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keepNext w:val="false"/>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keepNext w:val="false"/>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keepNext/>
        <w:keepLines/>
      </w:pPr>
      <w:r>
        <w:t xml:space="preserve">Taller del capítulo 10. Frecuencias naturales con los números del servicio</w:t>
      </w:r>
    </w:p>
    <w:p>
      <w:pPr>
        <w:pStyle w:val="BodyJ"/>
        <w:keepNext w:val="false"/>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keepNext w:val="false"/>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keepNext w:val="false"/>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keepNext/>
        <w:keepLines/>
      </w:pPr>
      <w:r>
        <w:t xml:space="preserve">Taller del capítulo 10. Las cuatro casillas en cinco minutos</w:t>
      </w:r>
    </w:p>
    <w:p>
      <w:pPr>
        <w:pStyle w:val="BodyJ"/>
        <w:keepNext w:val="false"/>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keepNext w:val="false"/>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keepNext/>
        <w:keepLines/>
      </w:pPr>
      <w:r>
        <w:t xml:space="preserve">Taller del capítulo 11. La observación activa, por escrito</w:t>
      </w:r>
    </w:p>
    <w:p>
      <w:pPr>
        <w:pStyle w:val="BodyJ"/>
        <w:keepNext w:val="false"/>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keepNext/>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keepNext w:val="false"/>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keepNext/>
        <w:keepLines/>
      </w:pPr>
      <w:r>
        <w:t xml:space="preserve">Taller del capítulo 12. Desfosilizar una evolución</w:t>
      </w:r>
    </w:p>
    <w:p>
      <w:pPr>
        <w:pStyle w:val="BodyJ"/>
        <w:keepNext w:val="false"/>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keepNext/>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keepNext w:val="false"/>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keepNext/>
        <w:keepLines/>
      </w:pPr>
      <w:r>
        <w:t xml:space="preserve">Taller del capítulo 12. Conjugar los verbos</w:t>
      </w:r>
    </w:p>
    <w:p>
      <w:pPr>
        <w:pStyle w:val="BodyJ"/>
        <w:keepNext w:val="false"/>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keepNext w:val="false"/>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keepNext w:val="false"/>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keepNext/>
        <w:keepLines/>
      </w:pPr>
      <w:r>
        <w:t xml:space="preserve">Taller del capítulo 13. Traducir un desacuerdo</w:t>
      </w:r>
    </w:p>
    <w:p>
      <w:pPr>
        <w:pStyle w:val="BodyJ"/>
        <w:keepNext w:val="false"/>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keepNext w:val="false"/>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keepNext/>
        <w:keepLines/>
      </w:pPr>
      <w:r>
        <w:t xml:space="preserve">Taller del capítulo 15. Su paciente, esta semana</w:t>
      </w:r>
    </w:p>
    <w:p>
      <w:pPr>
        <w:pStyle w:val="BodyJ"/>
        <w:keepNext w:val="false"/>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keepNext w:val="false"/>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keepNext/>
        <w:keepLines/>
      </w:pPr>
      <w:r>
        <w:t xml:space="preserve">Taller del capítulo 16. Rediseñar la visita de sala</w:t>
      </w:r>
    </w:p>
    <w:p>
      <w:pPr>
        <w:pStyle w:val="BodyJ"/>
        <w:keepNext w:val="false"/>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keepNext w:val="false"/>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—y las reuniones nuevas mueren por inasistencia—.</w:t>
      </w:r>
    </w:p>
    <w:p>
      <w:pPr>
        <w:pStyle w:val="TallerHead"/>
        <w:keepNext/>
        <w:keepLines/>
      </w:pPr>
      <w:r>
        <w:t xml:space="preserve">Taller del capítulo 17. La autopsia de una respuesta</w:t>
      </w:r>
    </w:p>
    <w:p>
      <w:pPr>
        <w:pStyle w:val="BodyJ"/>
        <w:keepNext w:val="false"/>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(detalles «típicos», causalidades, datos que nadie le dio); (3) incertidumbre declarada. Después, una segunda pregunta al modelo: «¿qué evidencia haría improbable tu diagnóstico principal?».</w:t>
      </w:r>
    </w:p>
    <w:p>
      <w:pPr>
        <w:pStyle w:val="BodyJ"/>
        <w:keepNext w:val="false"/>
      </w:pPr>
      <w:r>
        <w:rPr>
          <w:i/>
          <w:iCs/>
        </w:rPr>
        <w:t xml:space="preserve">Comentario.</w:t>
      </w:r>
      <w:r>
        <w:t xml:space="preserve"> En ejercicios docentes, tres hallazgos vuelven una y otra vez. Primero, el color 2 aparece más de lo esperado: el modelo rellena huecos con verosimilitud —una evolución «esperable», un factor de riesgo «presumible»— y esa es la definición de confabulación; contarlas cura más que leer sobre ellas. Segundo, el color 3 suele ser genérico («se sugiere correlacionar con la clínica») y no específico del caso: incertidumbre de fórmula, no de contenido —conviene compararla con la que exige el léxico de certeza—. Tercero, la respuesta a la segunda pregunta suele ser mejor que la primera: el modelo enumera con soltura los datos que refutarían su propia propuesta —pero sólo si alguien se lo pide—. La herramienta contiene su propio antídoto; la pregunta que lo libera sigue siendo humana.</w:t>
      </w:r>
    </w:p>
    <w:p>
      <w:pPr>
        <w:pStyle w:val="TallerHead"/>
        <w:keepNext/>
        <w:keepLines/>
      </w:pPr>
      <w:r>
        <w:t xml:space="preserve">Taller del capítulo 18. La prueba de Parra</w:t>
      </w:r>
    </w:p>
    <w:p>
      <w:pPr>
        <w:pStyle w:val="BodyJ"/>
        <w:keepNext w:val="false"/>
      </w:pPr>
      <w:r>
        <w:t xml:space="preserve">Dos preguntas para la frase medular del paciente más reciente. Primera: ¿hay en ella alguna palabra huidobriana —que haga florecer lo que nadie observó (un mecanismo no demostrado, una causal de contrabando, un «descartado» sin método)—? Segunda: ¿puede reescribirse en palabras de todos los días sin perder un gramo de precisión? Y si al traducirla se desinfla, ¿qué la sostenía: la evidencia o la retórica?</w:t>
      </w:r>
    </w:p>
    <w:p>
      <w:pPr>
        <w:pStyle w:val="BodyJ"/>
        <w:keepNext w:val="false"/>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keepNext/>
        <w:keepLines/>
        <w:pageBreakBefore/>
        <w:spacing w:after="320" w:before="720"/>
      </w:pPr>
      <w:r>
        <w:rPr>
          <w:rFonts w:ascii="Georgia" w:cs="Georgia" w:eastAsia="Georgia" w:hAnsi="Georgia"/>
          <w:b/>
          <w:bCs/>
          <w:color w:val="2B2B2B"/>
          <w:sz w:val="34"/>
          <w:szCs w:val="34"/>
        </w:rPr>
        <w:t xml:space="preserve">Apéndice E. Las preguntas para la próxima visita</w:t>
      </w:r>
    </w:p>
    <w:p>
      <w:pPr>
        <w:pStyle w:val="BodyJ"/>
        <w:keepNext w:val="false"/>
      </w:pPr>
      <w:r>
        <w:t xml:space="preserve">Las 57 preguntas con que cierran la Introducción y los dieciocho capítulos, reunidas para la visita de sala, la entrega de turno o el portafolio de calibración del capítulo 5. Tres por capítulo; una por semana basta. Ninguna pide más de dos minutos y todas se responden con un paciente concreto.</w:t>
      </w:r>
    </w:p>
    <w:p>
      <w:pPr>
        <w:pStyle w:val="BodyJ"/>
        <w:keepNext/>
      </w:pPr>
      <w:r>
        <w:rPr>
          <w:b/>
          <w:bCs/>
        </w:rPr>
        <w:t xml:space="preserve">Introducción</w:t>
      </w:r>
    </w:p>
    <w:p>
      <w:pPr>
        <w:pStyle w:val="BodyJ"/>
        <w:keepNext/>
        <w:numPr>
          <w:ilvl w:val="0"/>
          <w:numId w:val="5"/>
        </w:numPr>
      </w:pPr>
      <w:r>
        <w:t xml:space="preserve">En la última nota que escribí, ¿qué afirmación era un dato y cuál era mi interpretación del dato?</w:t>
      </w:r>
    </w:p>
    <w:p>
      <w:pPr>
        <w:pStyle w:val="BodyJ"/>
        <w:keepNext/>
        <w:numPr>
          <w:ilvl w:val="0"/>
          <w:numId w:val="5"/>
        </w:numPr>
      </w:pPr>
      <w:r>
        <w:t xml:space="preserve">¿Qué frase de la ficha de mi paciente actual heredé de otra nota sin verificar su origen?</w:t>
      </w:r>
    </w:p>
    <w:p>
      <w:pPr>
        <w:pStyle w:val="BodyJ"/>
        <w:keepNext w:val="false"/>
        <w:numPr>
          <w:ilvl w:val="0"/>
          <w:numId w:val="5"/>
        </w:numPr>
      </w:pPr>
      <w:r>
        <w:t xml:space="preserve">¿Cuál es la decisión concreta que este caso me exige hoy, y qué me haría cambiarla?</w:t>
      </w:r>
    </w:p>
    <w:p>
      <w:pPr>
        <w:pStyle w:val="BodyJ"/>
        <w:keepNext/>
      </w:pPr>
      <w:r>
        <w:rPr>
          <w:b/>
          <w:bCs/>
        </w:rPr>
        <w:t xml:space="preserve">Capítulo 1. El hecho clínico: observación, medición y procedencia</w:t>
      </w:r>
    </w:p>
    <w:p>
      <w:pPr>
        <w:pStyle w:val="BodyJ"/>
        <w:keepNext/>
        <w:numPr>
          <w:ilvl w:val="0"/>
          <w:numId w:val="5"/>
        </w:numPr>
      </w:pPr>
      <w:r>
        <w:t xml:space="preserve">¿Cuál es el dato más decisivo de mi evaluación de hoy y quién lo produjo realmente?</w:t>
      </w:r>
    </w:p>
    <w:p>
      <w:pPr>
        <w:pStyle w:val="BodyJ"/>
        <w:keepNext/>
        <w:numPr>
          <w:ilvl w:val="0"/>
          <w:numId w:val="5"/>
        </w:numPr>
      </w:pPr>
      <w:r>
        <w:t xml:space="preserve">¿Qué «hallazgo negativo» estoy tratando como evidencia de ausencia sin preguntarme por la sensibilidad de la búsqueda?</w:t>
      </w:r>
    </w:p>
    <w:p>
      <w:pPr>
        <w:pStyle w:val="BodyJ"/>
        <w:keepNext w:val="false"/>
        <w:numPr>
          <w:ilvl w:val="0"/>
          <w:numId w:val="5"/>
        </w:numPr>
      </w:pPr>
      <w:r>
        <w:t xml:space="preserve">¿Qué dijo mi paciente con sus propias palabras que yo ya traduje a jerga?</w:t>
      </w:r>
    </w:p>
    <w:p>
      <w:pPr>
        <w:pStyle w:val="BodyJ"/>
        <w:keepNext/>
      </w:pPr>
      <w:r>
        <w:rPr>
          <w:b/>
          <w:bCs/>
        </w:rPr>
        <w:t xml:space="preserve">Capítulo 2. Inferir: del signo a la explicación</w:t>
      </w:r>
    </w:p>
    <w:p>
      <w:pPr>
        <w:pStyle w:val="BodyJ"/>
        <w:keepNext/>
        <w:numPr>
          <w:ilvl w:val="0"/>
          <w:numId w:val="5"/>
        </w:numPr>
      </w:pPr>
      <w:r>
        <w:t xml:space="preserve">¿Cuál es el dato más difícil de explicar con mi hipótesis principal?</w:t>
      </w:r>
    </w:p>
    <w:p>
      <w:pPr>
        <w:pStyle w:val="BodyJ"/>
        <w:keepNext/>
        <w:numPr>
          <w:ilvl w:val="0"/>
          <w:numId w:val="5"/>
        </w:numPr>
      </w:pPr>
      <w:r>
        <w:t xml:space="preserve">¿Qué explicación rival cambiaría mi conducta hoy, y qué me costaría buscarla?</w:t>
      </w:r>
    </w:p>
    <w:p>
      <w:pPr>
        <w:pStyle w:val="BodyJ"/>
        <w:keepNext w:val="false"/>
        <w:numPr>
          <w:ilvl w:val="0"/>
          <w:numId w:val="5"/>
        </w:numPr>
      </w:pPr>
      <w:r>
        <w:t xml:space="preserve">¿Qué predicción concreta hace mi diagnóstico para las próximas 24 horas?</w:t>
      </w:r>
    </w:p>
    <w:p>
      <w:pPr>
        <w:pStyle w:val="BodyJ"/>
        <w:keepNext/>
      </w:pPr>
      <w:r>
        <w:rPr>
          <w:b/>
          <w:bCs/>
        </w:rPr>
        <w:t xml:space="preserve">Capítulo 3. Incertidumbre: una condición estructural</w:t>
      </w:r>
    </w:p>
    <w:p>
      <w:pPr>
        <w:pStyle w:val="BodyJ"/>
        <w:keepNext/>
        <w:numPr>
          <w:ilvl w:val="0"/>
          <w:numId w:val="5"/>
        </w:numPr>
      </w:pPr>
      <w:r>
        <w:t xml:space="preserve">De todo lo que no sé de este paciente, ¿qué duda cambiaría mi conducta si se resolviera?</w:t>
      </w:r>
    </w:p>
    <w:p>
      <w:pPr>
        <w:pStyle w:val="BodyJ"/>
        <w:keepNext/>
        <w:numPr>
          <w:ilvl w:val="0"/>
          <w:numId w:val="5"/>
        </w:numPr>
      </w:pPr>
      <w:r>
        <w:t xml:space="preserve">¿Cuál es la duda pequeña con consecuencia catastrófica que exige vigilancia explícita?</w:t>
      </w:r>
    </w:p>
    <w:p>
      <w:pPr>
        <w:pStyle w:val="BodyJ"/>
        <w:keepNext w:val="false"/>
        <w:numPr>
          <w:ilvl w:val="0"/>
          <w:numId w:val="5"/>
        </w:numPr>
      </w:pPr>
      <w:r>
        <w:t xml:space="preserve">¿Qué parte de mi plan depende de valores del paciente que aún no he preguntado?</w:t>
      </w:r>
    </w:p>
    <w:p>
      <w:pPr>
        <w:pStyle w:val="BodyJ"/>
        <w:keepNext/>
      </w:pPr>
      <w:r>
        <w:rPr>
          <w:b/>
          <w:bCs/>
        </w:rPr>
        <w:t xml:space="preserve">Capítulo 4. Lenguaje clínico y densidad epistémica</w:t>
      </w:r>
    </w:p>
    <w:p>
      <w:pPr>
        <w:pStyle w:val="BodyJ"/>
        <w:keepNext/>
        <w:numPr>
          <w:ilvl w:val="0"/>
          <w:numId w:val="5"/>
        </w:numPr>
      </w:pPr>
      <w:r>
        <w:t xml:space="preserve">En mi última evolución, ¿qué verbo causal («secundario a», «por», «complicado por») no podría defender si me lo preguntaran?</w:t>
      </w:r>
    </w:p>
    <w:p>
      <w:pPr>
        <w:pStyle w:val="BodyJ"/>
        <w:keepNext/>
        <w:numPr>
          <w:ilvl w:val="0"/>
          <w:numId w:val="5"/>
        </w:numPr>
      </w:pPr>
      <w:r>
        <w:t xml:space="preserve">¿Escribí «se descarta» donde sólo tenía «sin evidencia actual de»?</w:t>
      </w:r>
    </w:p>
    <w:p>
      <w:pPr>
        <w:pStyle w:val="BodyJ"/>
        <w:keepNext w:val="false"/>
        <w:numPr>
          <w:ilvl w:val="0"/>
          <w:numId w:val="5"/>
        </w:numPr>
      </w:pPr>
      <w:r>
        <w:t xml:space="preserve">Si otro médico leyera sólo mi frase final, ¿sabría qué vigilar y qué me haría cambiar?</w:t>
      </w:r>
    </w:p>
    <w:p>
      <w:pPr>
        <w:pStyle w:val="BodyJ"/>
        <w:keepNext/>
      </w:pPr>
      <w:r>
        <w:rPr>
          <w:b/>
          <w:bCs/>
        </w:rPr>
        <w:t xml:space="preserve">Capítulo 5. Metacognición: monitorear y regular el propio juicio</w:t>
      </w:r>
    </w:p>
    <w:p>
      <w:pPr>
        <w:pStyle w:val="BodyJ"/>
        <w:keepNext/>
        <w:numPr>
          <w:ilvl w:val="0"/>
          <w:numId w:val="5"/>
        </w:numPr>
      </w:pPr>
      <w:r>
        <w:t xml:space="preserve">En mi diagnóstico más firme de hoy, ¿mi confianza viene de la evidencia o de la fluidez con que reconocí el patrón?</w:t>
      </w:r>
    </w:p>
    <w:p>
      <w:pPr>
        <w:pStyle w:val="BodyJ"/>
        <w:keepNext/>
        <w:numPr>
          <w:ilvl w:val="0"/>
          <w:numId w:val="5"/>
        </w:numPr>
      </w:pPr>
      <w:r>
        <w:t xml:space="preserve">¿Qué señal afectiva (prisa, irritación, alivio) está influyendo en mi evaluación de este caso?</w:t>
      </w:r>
    </w:p>
    <w:p>
      <w:pPr>
        <w:pStyle w:val="BodyJ"/>
        <w:keepNext w:val="false"/>
        <w:numPr>
          <w:ilvl w:val="0"/>
          <w:numId w:val="5"/>
        </w:numPr>
      </w:pPr>
      <w:r>
        <w:t xml:space="preserve">¿Cuál fue mi última predicción concreta —un cultivo, una imagen, una evolución— y la contrasté con el resultado cuando llegó, o sólo recuerdo las que acerté?</w:t>
      </w:r>
    </w:p>
    <w:p>
      <w:pPr>
        <w:pStyle w:val="BodyJ"/>
        <w:keepNext/>
      </w:pPr>
      <w:r>
        <w:rPr>
          <w:b/>
          <w:bCs/>
        </w:rPr>
        <w:t xml:space="preserve">Capítulo 6. Pericia, intuición y conocimiento tácito</w:t>
      </w:r>
    </w:p>
    <w:p>
      <w:pPr>
        <w:pStyle w:val="BodyJ"/>
        <w:keepNext/>
        <w:numPr>
          <w:ilvl w:val="0"/>
          <w:numId w:val="5"/>
        </w:numPr>
      </w:pPr>
      <w:r>
        <w:t xml:space="preserve">¿En qué dominio tengo suficiente experiencia con feedback real como para confiar en mi primera impresión?</w:t>
      </w:r>
    </w:p>
    <w:p>
      <w:pPr>
        <w:pStyle w:val="BodyJ"/>
        <w:keepNext/>
        <w:numPr>
          <w:ilvl w:val="0"/>
          <w:numId w:val="5"/>
        </w:numPr>
      </w:pPr>
      <w:r>
        <w:t xml:space="preserve">La última vez que «vi» un diagnóstico al instante, ¿qué características lo activaron? ¿Puedo nombrarlas?</w:t>
      </w:r>
    </w:p>
    <w:p>
      <w:pPr>
        <w:pStyle w:val="BodyJ"/>
        <w:keepNext w:val="false"/>
        <w:numPr>
          <w:ilvl w:val="0"/>
          <w:numId w:val="5"/>
        </w:numPr>
      </w:pPr>
      <w:r>
        <w:t xml:space="preserve">¿Qué caso reciente forcé a encajar en un patrón conocido cuando algo no calzaba?</w:t>
      </w:r>
    </w:p>
    <w:p>
      <w:pPr>
        <w:pStyle w:val="BodyJ"/>
        <w:keepNext/>
      </w:pPr>
      <w:r>
        <w:rPr>
          <w:b/>
          <w:bCs/>
        </w:rPr>
        <w:t xml:space="preserve">Capítulo 7. Error, sesgo y ecología del diagnóstico</w:t>
      </w:r>
    </w:p>
    <w:p>
      <w:pPr>
        <w:pStyle w:val="BodyJ"/>
        <w:keepNext/>
        <w:numPr>
          <w:ilvl w:val="0"/>
          <w:numId w:val="5"/>
        </w:numPr>
      </w:pPr>
      <w:r>
        <w:t xml:space="preserve">¿Qué frase heredada estoy tratando como hecho en mi paciente más complejo?</w:t>
      </w:r>
    </w:p>
    <w:p>
      <w:pPr>
        <w:pStyle w:val="BodyJ"/>
        <w:keepNext/>
        <w:numPr>
          <w:ilvl w:val="0"/>
          <w:numId w:val="5"/>
        </w:numPr>
      </w:pPr>
      <w:r>
        <w:t xml:space="preserve">¿Qué dato «confirmatorio» de hoy confirmaría también la hipótesis rival?</w:t>
      </w:r>
    </w:p>
    <w:p>
      <w:pPr>
        <w:pStyle w:val="BodyJ"/>
        <w:keepNext w:val="false"/>
        <w:numPr>
          <w:ilvl w:val="0"/>
          <w:numId w:val="5"/>
        </w:numPr>
      </w:pPr>
      <w:r>
        <w:t xml:space="preserve">¿Qué evolución atípica estoy reinterpretando para no reabrir el caso?</w:t>
      </w:r>
    </w:p>
    <w:p>
      <w:pPr>
        <w:pStyle w:val="BodyJ"/>
        <w:keepNext/>
      </w:pPr>
      <w:r>
        <w:rPr>
          <w:b/>
          <w:bCs/>
        </w:rPr>
        <w:t xml:space="preserve">Capítulo 8. Desacelerar: cuándo, en qué estado y con qué mente</w:t>
      </w:r>
    </w:p>
    <w:p>
      <w:pPr>
        <w:pStyle w:val="BodyJ"/>
        <w:keepNext/>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5"/>
        </w:numPr>
      </w:pPr>
      <w:r>
        <w:t xml:space="preserve">¿Puedo presentar mi caso más complejo sin usar su etiqueta diagnóstica?</w:t>
      </w:r>
    </w:p>
    <w:p>
      <w:pPr>
        <w:pStyle w:val="BodyJ"/>
        <w:keepNext w:val="false"/>
        <w:numPr>
          <w:ilvl w:val="0"/>
          <w:numId w:val="5"/>
        </w:numPr>
      </w:pPr>
      <w:r>
        <w:t xml:space="preserve">En mi última alta con diagnóstico incierto, ¿dejé escrito qué debería motivar reconsulta?</w:t>
      </w:r>
    </w:p>
    <w:p>
      <w:pPr>
        <w:pStyle w:val="BodyJ"/>
        <w:keepNext/>
      </w:pPr>
      <w:r>
        <w:rPr>
          <w:b/>
          <w:bCs/>
        </w:rPr>
        <w:t xml:space="preserve">Capítulo 9. La evidencia y el caso singular</w:t>
      </w:r>
    </w:p>
    <w:p>
      <w:pPr>
        <w:pStyle w:val="BodyJ"/>
        <w:keepNext/>
        <w:numPr>
          <w:ilvl w:val="0"/>
          <w:numId w:val="5"/>
        </w:numPr>
      </w:pPr>
      <w:r>
        <w:t xml:space="preserve">Para mi indicación más importante de hoy: ¿qué demostró exactamente el estudio que la respalda, y en qué se parece mi paciente a esa población?</w:t>
      </w:r>
    </w:p>
    <w:p>
      <w:pPr>
        <w:pStyle w:val="BodyJ"/>
        <w:keepNext/>
        <w:numPr>
          <w:ilvl w:val="0"/>
          <w:numId w:val="5"/>
        </w:numPr>
      </w:pPr>
      <w:r>
        <w:t xml:space="preserve">El último ensayo «negativo» que cité: ¿mostró ausencia de efecto o ausencia de significación —y traté esa diferencia como si no existiera—?</w:t>
      </w:r>
    </w:p>
    <w:p>
      <w:pPr>
        <w:pStyle w:val="BodyJ"/>
        <w:keepNext w:val="false"/>
        <w:numPr>
          <w:ilvl w:val="0"/>
          <w:numId w:val="5"/>
        </w:numPr>
      </w:pPr>
      <w:r>
        <w:t xml:space="preserve">¿Qué conocimiento local (resistencias, tiempos, capacidad de seguimiento) está modificando mi decisión sin estar declarado en ninguna parte?</w:t>
      </w:r>
    </w:p>
    <w:p>
      <w:pPr>
        <w:pStyle w:val="BodyJ"/>
        <w:keepNext/>
      </w:pPr>
      <w:r>
        <w:rPr>
          <w:b/>
          <w:bCs/>
        </w:rPr>
        <w:t xml:space="preserve">Capítulo 10. Decidir sin certeza: umbrales, valores y bioética</w:t>
      </w:r>
    </w:p>
    <w:p>
      <w:pPr>
        <w:pStyle w:val="BodyJ"/>
        <w:keepNext/>
        <w:numPr>
          <w:ilvl w:val="0"/>
          <w:numId w:val="5"/>
        </w:numPr>
      </w:pPr>
      <w:r>
        <w:t xml:space="preserve">¿Cuál es el umbral implícito de mi decisión: qué probabilidad de estar equivocado la haría cambiar?</w:t>
      </w:r>
    </w:p>
    <w:p>
      <w:pPr>
        <w:pStyle w:val="BodyJ"/>
        <w:keepNext/>
        <w:numPr>
          <w:ilvl w:val="0"/>
          <w:numId w:val="5"/>
        </w:numPr>
      </w:pPr>
      <w:r>
        <w:t xml:space="preserve">¿Estoy exigiendo certeza diagnóstica donde bastaría compromiso práctico, o actuando para no tolerar una duda?</w:t>
      </w:r>
    </w:p>
    <w:p>
      <w:pPr>
        <w:pStyle w:val="BodyJ"/>
        <w:keepNext w:val="false"/>
        <w:numPr>
          <w:ilvl w:val="0"/>
          <w:numId w:val="5"/>
        </w:numPr>
      </w:pPr>
      <w:r>
        <w:t xml:space="preserve">De mi paciente más grave de hoy: ¿sé cómo funcionaba antes de enfermar, con quién vive y qué espera del tratamiento —y está escrito en alguna parte—?</w:t>
      </w:r>
    </w:p>
    <w:p>
      <w:pPr>
        <w:pStyle w:val="BodyJ"/>
        <w:keepNext/>
      </w:pPr>
      <w:r>
        <w:rPr>
          <w:b/>
          <w:bCs/>
        </w:rPr>
        <w:t xml:space="preserve">Capítulo 11. Temporalidad, trayectoria y razonamiento contrafactual</w:t>
      </w:r>
    </w:p>
    <w:p>
      <w:pPr>
        <w:pStyle w:val="BodyJ"/>
        <w:keepNext/>
        <w:numPr>
          <w:ilvl w:val="0"/>
          <w:numId w:val="5"/>
        </w:numPr>
      </w:pPr>
      <w:r>
        <w:t xml:space="preserve">«Está mejor»: ¿mejor que cuándo, en qué variable y a qué velocidad?</w:t>
      </w:r>
    </w:p>
    <w:p>
      <w:pPr>
        <w:pStyle w:val="BodyJ"/>
        <w:keepNext/>
        <w:numPr>
          <w:ilvl w:val="0"/>
          <w:numId w:val="5"/>
        </w:numPr>
      </w:pPr>
      <w:r>
        <w:t xml:space="preserve">¿Qué predijo mi diagnóstico hace 48 horas, y la evolución lo confirmó o lo desmintió?</w:t>
      </w:r>
    </w:p>
    <w:p>
      <w:pPr>
        <w:pStyle w:val="BodyJ"/>
        <w:keepNext w:val="false"/>
        <w:numPr>
          <w:ilvl w:val="0"/>
          <w:numId w:val="5"/>
        </w:numPr>
      </w:pPr>
      <w:r>
        <w:t xml:space="preserve">Mi «observación» de hoy, ¿tiene plazo, variables y criterio de salida, o es una espera sin diseño?</w:t>
      </w:r>
    </w:p>
    <w:p>
      <w:pPr>
        <w:pStyle w:val="BodyJ"/>
        <w:keepNext/>
      </w:pPr>
      <w:r>
        <w:rPr>
          <w:b/>
          <w:bCs/>
        </w:rPr>
        <w:t xml:space="preserve">Capítulo 12. La ficha clínica como instrumento de pensamiento</w:t>
      </w:r>
    </w:p>
    <w:p>
      <w:pPr>
        <w:pStyle w:val="BodyJ"/>
        <w:keepNext/>
        <w:numPr>
          <w:ilvl w:val="0"/>
          <w:numId w:val="5"/>
        </w:numPr>
      </w:pPr>
      <w:r>
        <w:t xml:space="preserve">¿Qué párrafo de mi evolución de hoy es copia de ayer, y sigue siendo verdad?</w:t>
      </w:r>
    </w:p>
    <w:p>
      <w:pPr>
        <w:pStyle w:val="BodyJ"/>
        <w:keepNext/>
        <w:numPr>
          <w:ilvl w:val="0"/>
          <w:numId w:val="5"/>
        </w:numPr>
      </w:pPr>
      <w:r>
        <w:t xml:space="preserve">Si yo no estuviera mañana, ¿el médico que me reemplace sabría por mi nota qué vigilar y qué reabriría el caso?</w:t>
      </w:r>
    </w:p>
    <w:p>
      <w:pPr>
        <w:pStyle w:val="BodyJ"/>
        <w:keepNext w:val="false"/>
        <w:numPr>
          <w:ilvl w:val="0"/>
          <w:numId w:val="5"/>
        </w:numPr>
      </w:pPr>
      <w:r>
        <w:t xml:space="preserve">¿Mi lista de problemas distingue hechos, hipótesis, acciones pendientes e incertidumbres, o todo tiene el mismo estatus?</w:t>
      </w:r>
    </w:p>
    <w:p>
      <w:pPr>
        <w:pStyle w:val="BodyJ"/>
        <w:keepNext w:val="false"/>
      </w:pPr>
      <w:r>
        <w:rPr>
          <w:b/>
          <w:bCs/>
        </w:rPr>
        <w:t xml:space="preserve">Capítulo 13. Pensar con otros: equipos, desacuerdo y comunicación de la incertidumbre</w:t>
      </w:r>
    </w:p>
    <w:p>
      <w:pPr>
        <w:pStyle w:val="BodyJ"/>
        <w:keepNext/>
        <w:numPr>
          <w:ilvl w:val="0"/>
          <w:numId w:val="5"/>
        </w:numPr>
      </w:pPr>
      <w:r>
        <w:t xml:space="preserve">¿Qué observó enfermería en las últimas 24 horas que no pasó por mi evaluación?</w:t>
      </w:r>
    </w:p>
    <w:p>
      <w:pPr>
        <w:pStyle w:val="BodyJ"/>
        <w:keepNext/>
        <w:numPr>
          <w:ilvl w:val="0"/>
          <w:numId w:val="5"/>
        </w:numPr>
      </w:pPr>
      <w:r>
        <w:t xml:space="preserve">En mi último desacuerdo clínico, ¿discrepábamos en hechos, inferencias, incertidumbre, valores o umbral?</w:t>
      </w:r>
    </w:p>
    <w:p>
      <w:pPr>
        <w:pStyle w:val="BodyJ"/>
        <w:keepNext w:val="false"/>
        <w:numPr>
          <w:ilvl w:val="0"/>
          <w:numId w:val="5"/>
        </w:numPr>
      </w:pPr>
      <w:r>
        <w:t xml:space="preserve">¿Mi paciente sabe qué sabemos, qué creemos, qué no sabemos aún y qué haremos —o sólo recibió una etiqueta—?</w:t>
      </w:r>
    </w:p>
    <w:p>
      <w:pPr>
        <w:pStyle w:val="BodyJ"/>
        <w:keepNext/>
      </w:pPr>
      <w:r>
        <w:rPr>
          <w:b/>
          <w:bCs/>
        </w:rPr>
        <w:t xml:space="preserve">Capítulo 14. Humildad epistémica y responsabilidad clínica</w:t>
      </w:r>
    </w:p>
    <w:p>
      <w:pPr>
        <w:pStyle w:val="BodyJ"/>
        <w:keepNext/>
        <w:numPr>
          <w:ilvl w:val="0"/>
          <w:numId w:val="5"/>
        </w:numPr>
      </w:pPr>
      <w:r>
        <w:t xml:space="preserve">¿A qué paciente le estoy creyendo menos de lo que su testimonio merece, y por qué?</w:t>
      </w:r>
    </w:p>
    <w:p>
      <w:pPr>
        <w:pStyle w:val="BodyJ"/>
        <w:keepNext/>
        <w:numPr>
          <w:ilvl w:val="0"/>
          <w:numId w:val="5"/>
        </w:numPr>
      </w:pPr>
      <w:r>
        <w:t xml:space="preserve">Mi última recomendación firme: ¿podría explicar qué hechos la sostienen, qué incertidumbres la modificarían y qué valores del paciente pesan?</w:t>
      </w:r>
    </w:p>
    <w:p>
      <w:pPr>
        <w:pStyle w:val="BodyJ"/>
        <w:keepNext w:val="false"/>
        <w:numPr>
          <w:ilvl w:val="0"/>
          <w:numId w:val="5"/>
        </w:numPr>
      </w:pPr>
      <w:r>
        <w:t xml:space="preserve">¿Hay en mis fichas una etiqueta («funcional», «no adherente», «poco colaborador») que esté distribuyendo credibilidad en lugar de información?</w:t>
      </w:r>
    </w:p>
    <w:p>
      <w:pPr>
        <w:pStyle w:val="BodyJ"/>
        <w:keepNext/>
      </w:pPr>
      <w:r>
        <w:rPr>
          <w:b/>
          <w:bCs/>
        </w:rPr>
        <w:t xml:space="preserve">Capítulo 15. El método HII-D: una epistemología operativa</w:t>
      </w:r>
    </w:p>
    <w:p>
      <w:pPr>
        <w:pStyle w:val="BodyJ"/>
        <w:keepNext/>
        <w:numPr>
          <w:ilvl w:val="0"/>
          <w:numId w:val="5"/>
        </w:numPr>
      </w:pPr>
      <w:r>
        <w:t xml:space="preserve">¿Cuál es la pregunta operativa de mi caso más difícil —la decisión real en juego, no «el diagnóstico»—?</w:t>
      </w:r>
    </w:p>
    <w:p>
      <w:pPr>
        <w:pStyle w:val="BodyJ"/>
        <w:keepNext/>
        <w:numPr>
          <w:ilvl w:val="0"/>
          <w:numId w:val="5"/>
        </w:numPr>
      </w:pPr>
      <w:r>
        <w:t xml:space="preserve">¿Mi nota de hoy permite a otro médico reconstruir mis cuatro capas, o sólo mi conclusión?</w:t>
      </w:r>
    </w:p>
    <w:p>
      <w:pPr>
        <w:pStyle w:val="BodyJ"/>
        <w:keepNext w:val="false"/>
        <w:numPr>
          <w:ilvl w:val="0"/>
          <w:numId w:val="5"/>
        </w:numPr>
      </w:pPr>
      <w:r>
        <w:t xml:space="preserve">¿Qué decisión de esta semana tomé sin criterio de reapertura, y todavía estoy a tiempo de escribirlo?</w:t>
      </w:r>
    </w:p>
    <w:p>
      <w:pPr>
        <w:pStyle w:val="BodyJ"/>
        <w:keepNext/>
      </w:pPr>
      <w:r>
        <w:rPr>
          <w:b/>
          <w:bCs/>
        </w:rPr>
        <w:t xml:space="preserve">Capítulo 16. Enseñar y organizar la metacognición clínica</w:t>
      </w:r>
    </w:p>
    <w:p>
      <w:pPr>
        <w:pStyle w:val="BodyJ"/>
        <w:keepNext/>
        <w:numPr>
          <w:ilvl w:val="0"/>
          <w:numId w:val="5"/>
        </w:numPr>
      </w:pPr>
      <w:r>
        <w:t xml:space="preserve">La última vez que enseñé un caso, ¿pedí el diagnóstico o pedí primero la representación del problema?</w:t>
      </w:r>
    </w:p>
    <w:p>
      <w:pPr>
        <w:pStyle w:val="BodyJ"/>
        <w:keepNext/>
        <w:numPr>
          <w:ilvl w:val="0"/>
          <w:numId w:val="5"/>
        </w:numPr>
      </w:pPr>
      <w:r>
        <w:t xml:space="preserve">¿Qué pasó con el último paciente que derivé o di de alta con diagnóstico incierto —y cómo podría enterarme sistemáticamente—?</w:t>
      </w:r>
    </w:p>
    <w:p>
      <w:pPr>
        <w:pStyle w:val="BodyJ"/>
        <w:keepNext w:val="false"/>
        <w:numPr>
          <w:ilvl w:val="0"/>
          <w:numId w:val="5"/>
        </w:numPr>
      </w:pPr>
      <w:r>
        <w:t xml:space="preserve">Si mañana dirigiera mi servicio, ¿cuál de las tres palancas (visita de sala, ficha, revisión de errores) cambiaría primero, y qué costaría?</w:t>
      </w:r>
    </w:p>
    <w:p>
      <w:pPr>
        <w:pStyle w:val="BodyJ"/>
        <w:keepNext w:val="false"/>
      </w:pPr>
      <w:r>
        <w:rPr>
          <w:b/>
          <w:bCs/>
        </w:rPr>
        <w:t xml:space="preserve">Capítulo 17. La inteligencia artificial en el proceso clínico: roles, riesgos y defensas</w:t>
      </w:r>
    </w:p>
    <w:p>
      <w:pPr>
        <w:pStyle w:val="BodyJ"/>
        <w:keepNext/>
        <w:numPr>
          <w:ilvl w:val="0"/>
          <w:numId w:val="5"/>
        </w:numPr>
      </w:pPr>
      <w:r>
        <w:t xml:space="preserve">Si uso IA en este caso, ¿qué dato de su respuesta verifiqué contra una fuente primaria antes de actuar?</w:t>
      </w:r>
    </w:p>
    <w:p>
      <w:pPr>
        <w:pStyle w:val="BodyJ"/>
        <w:keepNext/>
        <w:numPr>
          <w:ilvl w:val="0"/>
          <w:numId w:val="5"/>
        </w:numPr>
      </w:pPr>
      <w:r>
        <w:t xml:space="preserve">¿Qué agregó el modelo que el caso no contenía?</w:t>
      </w:r>
    </w:p>
    <w:p>
      <w:pPr>
        <w:pStyle w:val="BodyJ"/>
        <w:keepNext w:val="false"/>
        <w:numPr>
          <w:ilvl w:val="0"/>
          <w:numId w:val="5"/>
        </w:numPr>
      </w:pPr>
      <w:r>
        <w:t xml:space="preserve">¿Estoy usando la herramienta para ampliar hipótesis o para confirmar rápido la que ya tenía?</w:t>
      </w:r>
    </w:p>
    <w:p>
      <w:pPr>
        <w:pStyle w:val="BodyJ"/>
        <w:keepNext/>
      </w:pPr>
      <w:r>
        <w:rPr>
          <w:b/>
          <w:bCs/>
        </w:rPr>
        <w:t xml:space="preserve">Capítulo 18. La palabra exacta: lo que la poesía sabe del juicio clínico</w:t>
      </w:r>
    </w:p>
    <w:p>
      <w:pPr>
        <w:pStyle w:val="BodyJ"/>
        <w:keepNext/>
        <w:numPr>
          <w:ilvl w:val="0"/>
          <w:numId w:val="5"/>
        </w:numPr>
      </w:pPr>
      <w:r>
        <w:t xml:space="preserve">¿Qué palabra de mi última nota está «haciendo florecer» algo que nadie observó?</w:t>
      </w:r>
    </w:p>
    <w:p>
      <w:pPr>
        <w:pStyle w:val="BodyJ"/>
        <w:keepNext/>
        <w:numPr>
          <w:ilvl w:val="0"/>
          <w:numId w:val="5"/>
        </w:numPr>
      </w:pPr>
      <w:r>
        <w:t xml:space="preserve">El diagnóstico que más me satisface hoy: ¿me convence por la evidencia o por lo bien que cierra la historia?</w:t>
      </w:r>
    </w:p>
    <w:p>
      <w:pPr>
        <w:pStyle w:val="BodyJ"/>
        <w:keepNext w:val="false"/>
        <w:numPr>
          <w:ilvl w:val="0"/>
          <w:numId w:val="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orgia" w:cs="Georgia" w:eastAsia="Georgia" w:hAnsi="Georgia"/>
          <w:b/>
          <w:bCs/>
          <w:color w:val="2B2B2B"/>
          <w:sz w:val="34"/>
          <w:szCs w:val="34"/>
        </w:rPr>
        <w:t xml:space="preserve">Glosario</w:t>
      </w:r>
    </w:p>
    <w:p>
      <w:pPr>
        <w:pStyle w:val="BodyJ"/>
        <w:keepNext w:val="false"/>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keepNext w:val="false"/>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keepNext w:val="false"/>
      </w:pPr>
      <w:r>
        <w:rPr>
          <w:b/>
          <w:bCs/>
        </w:rPr>
        <w:t xml:space="preserve">Anclaje (anchoring).</w:t>
      </w:r>
      <w:r>
        <w:t xml:space="preserve"> Persistencia de una hipótesis inicial que conserva autoridad aun cuando la evidencia acumulada la ha degradado.</w:t>
      </w:r>
    </w:p>
    <w:p>
      <w:pPr>
        <w:pStyle w:val="BodyJ"/>
        <w:keepNext w:val="false"/>
      </w:pPr>
      <w:r>
        <w:rPr>
          <w:b/>
          <w:bCs/>
        </w:rPr>
        <w:t xml:space="preserve">Calibración (calibration).</w:t>
      </w:r>
      <w:r>
        <w:t xml:space="preserve"> Correspondencia entre la confianza declarada y la proporción real de aciertos, evaluada sobre una serie de juicios.</w:t>
      </w:r>
    </w:p>
    <w:p>
      <w:pPr>
        <w:pStyle w:val="BodyJ"/>
        <w:keepNext w:val="false"/>
      </w:pPr>
      <w:r>
        <w:rPr>
          <w:b/>
          <w:bCs/>
        </w:rPr>
        <w:t xml:space="preserve">Captura cognitiva∗.</w:t>
      </w:r>
      <w:r>
        <w:t xml:space="preserve"> Condicionamiento de la búsqueda de hipótesis, la lectura de los datos y la ponderación por una respuesta vista antes de razonar —típicamente la de un asistente de IA—. No exige que la respuesta sea errónea: una hipótesis correcta entregada demasiado pronto también sustituye las operaciones que forman el juicio.</w:t>
      </w:r>
    </w:p>
    <w:p>
      <w:pPr>
        <w:pStyle w:val="BodyJ"/>
        <w:keepNext w:val="false"/>
      </w:pPr>
      <w:r>
        <w:rPr>
          <w:b/>
          <w:bCs/>
        </w:rPr>
        <w:t xml:space="preserve">Cierre prematuro (premature closure).</w:t>
      </w:r>
      <w:r>
        <w:t xml:space="preserve"> Aceptación de un diagnóstico antes de haberlo verificado suficientemente, con suspensión de la búsqueda de alternativas.</w:t>
      </w:r>
    </w:p>
    <w:p>
      <w:pPr>
        <w:pStyle w:val="BodyJ"/>
        <w:keepNext w:val="false"/>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keepNext w:val="false"/>
      </w:pPr>
      <w:r>
        <w:rPr>
          <w:b/>
          <w:bCs/>
        </w:rPr>
        <w:t xml:space="preserve">Conocimiento tácito (tacit knowledge).</w:t>
      </w:r>
      <w:r>
        <w:t xml:space="preserve"> Capacidad de reconocer o ejecutar más de lo que puede formularse explícitamente (Polanyi).</w:t>
      </w:r>
    </w:p>
    <w:p>
      <w:pPr>
        <w:pStyle w:val="BodyJ"/>
        <w:keepNext w:val="false"/>
      </w:pPr>
      <w:r>
        <w:rPr>
          <w:b/>
          <w:bCs/>
        </w:rPr>
        <w:t xml:space="preserve">Contrafactual (counterfactual).</w:t>
      </w:r>
      <w:r>
        <w:t xml:space="preserve"> Escenario comparativo implícito en toda afirmación causal: qué habría ocurrido sin la exposición o la intervención.</w:t>
      </w:r>
    </w:p>
    <w:p>
      <w:pPr>
        <w:pStyle w:val="BodyJ"/>
        <w:keepNext w:val="false"/>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keepNext w:val="false"/>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keepNext w:val="false"/>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keepNext w:val="false"/>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keepNext w:val="false"/>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keepNext w:val="false"/>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keepNext w:val="false"/>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keepNext w:val="false"/>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keepNext w:val="false"/>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keepNext w:val="false"/>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keepNext w:val="false"/>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keepNext w:val="false"/>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keepNext w:val="false"/>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keepNext w:val="false"/>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keepNext w:val="false"/>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keepNext w:val="false"/>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keepNext w:val="false"/>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keepNext w:val="false"/>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keepNext w:val="false"/>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keepNext w:val="false"/>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keepNext w:val="false"/>
      </w:pPr>
      <w:r>
        <w:rPr>
          <w:b/>
          <w:bCs/>
        </w:rPr>
        <w:t xml:space="preserve">Hindsight bias (sesgo retrospectivo).</w:t>
      </w:r>
      <w:r>
        <w:t xml:space="preserve"> Tendencia a percibir un desenlace conocido como si hubiera sido predecible, contaminando la evaluación de decisiones pasadas.</w:t>
      </w:r>
    </w:p>
    <w:p>
      <w:pPr>
        <w:pStyle w:val="BodyJ"/>
        <w:keepNext w:val="false"/>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—permite seguir explorando, seguir aprendiendo y reubicar el foco y el manejo cuando la trayectoria contradice el mapa—.</w:t>
      </w:r>
    </w:p>
    <w:p>
      <w:pPr>
        <w:pStyle w:val="BodyJ"/>
        <w:keepNext w:val="false"/>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keepNext w:val="false"/>
      </w:pPr>
      <w:r>
        <w:rPr>
          <w:b/>
          <w:bCs/>
        </w:rPr>
        <w:t xml:space="preserve">Incertidumbre aleatoria (aleatory uncertainty).</w:t>
      </w:r>
      <w:r>
        <w:t xml:space="preserve"> La que proviene de variabilidad o contingencia que persiste aun con conocimiento completo del sistema.</w:t>
      </w:r>
    </w:p>
    <w:p>
      <w:pPr>
        <w:pStyle w:val="BodyJ"/>
        <w:keepNext w:val="false"/>
      </w:pPr>
      <w:r>
        <w:rPr>
          <w:b/>
          <w:bCs/>
        </w:rPr>
        <w:t xml:space="preserve">Incertidumbre epistémica (epistemic uncertainty).</w:t>
      </w:r>
      <w:r>
        <w:t xml:space="preserve"> La que proviene de conocimiento insuficiente y puede, en principio, reducirse con información.</w:t>
      </w:r>
    </w:p>
    <w:p>
      <w:pPr>
        <w:pStyle w:val="BodyJ"/>
        <w:keepNext w:val="false"/>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keepNext w:val="false"/>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keepNext w:val="false"/>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keepNext w:val="false"/>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keepNext w:val="false"/>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keepNext w:val="false"/>
      </w:pPr>
      <w:r>
        <w:rPr>
          <w:b/>
          <w:bCs/>
        </w:rPr>
        <w:t xml:space="preserve">Modalidad epistémica (epistemic modality).</w:t>
      </w:r>
      <w:r>
        <w:t xml:space="preserve"> Recursos del lenguaje que expresan el grado de certeza de una afirmación («demostrado», «probable», «sin evidencia de»).</w:t>
      </w:r>
    </w:p>
    <w:p>
      <w:pPr>
        <w:pStyle w:val="BodyJ"/>
        <w:keepNext w:val="false"/>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keepNext w:val="false"/>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keepNext w:val="false"/>
      </w:pPr>
      <w:r>
        <w:rPr>
          <w:b/>
          <w:bCs/>
        </w:rPr>
        <w:t xml:space="preserve">Paradoja de la automatización (automation paradox).</w:t>
      </w:r>
      <w:r>
        <w:t xml:space="preserve"> Cuanto más competente es un sistema automatizado, menos ejercita el humano las habilidades necesarias para detectar sus fallas —que es cuando más se las necesita (Abdulnour et al.)—.</w:t>
      </w:r>
    </w:p>
    <w:p>
      <w:pPr>
        <w:pStyle w:val="BodyJ"/>
        <w:keepNext w:val="false"/>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keepNext w:val="false"/>
      </w:pPr>
      <w:r>
        <w:rPr>
          <w:b/>
          <w:bCs/>
        </w:rPr>
        <w:t xml:space="preserve">Phronesis.</w:t>
      </w:r>
      <w:r>
        <w:t xml:space="preserve"> Prudencia práctica aristotélica: la capacidad de deliberar bien sobre lo que conviene hacer en una situación particular.</w:t>
      </w:r>
    </w:p>
    <w:p>
      <w:pPr>
        <w:pStyle w:val="BodyJ"/>
        <w:keepNext w:val="false"/>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keepNext w:val="false"/>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keepNext w:val="false"/>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keepNext w:val="false"/>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keepNext w:val="false"/>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keepNext w:val="false"/>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keepNext w:val="false"/>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keepNext w:val="false"/>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keepNext w:val="false"/>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keepNext w:val="false"/>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keepNext w:val="false"/>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keepNext w:val="false"/>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keepNext w:val="false"/>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keepNext w:val="false"/>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keepNext w:val="false"/>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keepNext/>
        <w:keepLines/>
        <w:pageBreakBefore/>
        <w:spacing w:after="320" w:before="720"/>
      </w:pPr>
      <w:r>
        <w:rPr>
          <w:rFonts w:ascii="Georgia" w:cs="Georgia" w:eastAsia="Georgia" w:hAnsi="Georgia"/>
          <w:b/>
          <w:bCs/>
          <w:color w:val="2B2B2B"/>
          <w:sz w:val="34"/>
          <w:szCs w:val="34"/>
        </w:rPr>
        <w:t xml:space="preserve">Índice analítico</w:t>
      </w:r>
    </w:p>
    <w:p>
      <w:pPr>
        <w:pStyle w:val="BodyJ"/>
        <w:keepNext w:val="false"/>
      </w:pPr>
      <w:r>
        <w:t xml:space="preserve">Los números remiten a capítulos (Int = introducción, Interludios I–III, CC = cuaderno de casos, C = conclusión, Ap = apéndices).</w:t>
      </w:r>
    </w:p>
    <w:p>
      <w:pPr>
        <w:pStyle w:val="BodyJ"/>
        <w:keepNext w:val="false"/>
        <w:numPr>
          <w:ilvl w:val="0"/>
          <w:numId w:val="5"/>
        </w:numPr>
      </w:pPr>
      <w:r>
        <w:t xml:space="preserve">Abducción — 2; vigilada por la metacognición — 5; mantenida abierta por la humildad — 14</w:t>
      </w:r>
    </w:p>
    <w:p>
      <w:pPr>
        <w:pStyle w:val="BodyJ"/>
        <w:keepNext w:val="false"/>
        <w:numPr>
          <w:ilvl w:val="0"/>
          <w:numId w:val="5"/>
        </w:numPr>
      </w:pPr>
      <w:r>
        <w:t xml:space="preserve">Actos de habla en la ficha (Austin) — 4</w:t>
      </w:r>
    </w:p>
    <w:p>
      <w:pPr>
        <w:pStyle w:val="BodyJ"/>
        <w:keepNext w:val="false"/>
        <w:numPr>
          <w:ilvl w:val="0"/>
          <w:numId w:val="5"/>
        </w:numPr>
      </w:pPr>
      <w:r>
        <w:t xml:space="preserve">Anclaje — 7, 11, CC (viñeta 6)</w:t>
      </w:r>
    </w:p>
    <w:p>
      <w:pPr>
        <w:pStyle w:val="BodyJ"/>
        <w:keepNext w:val="false"/>
        <w:numPr>
          <w:ilvl w:val="0"/>
          <w:numId w:val="5"/>
        </w:numPr>
      </w:pPr>
      <w:r>
        <w:t xml:space="preserve">Antipoesía como léxico de certeza (Parra) — 18</w:t>
      </w:r>
    </w:p>
    <w:p>
      <w:pPr>
        <w:pStyle w:val="BodyJ"/>
        <w:keepNext w:val="false"/>
        <w:numPr>
          <w:ilvl w:val="0"/>
          <w:numId w:val="5"/>
        </w:numPr>
      </w:pPr>
      <w:r>
        <w:t xml:space="preserve">Atrofia de la pericia por asistencia de IA (deskilling) — 17</w:t>
      </w:r>
    </w:p>
    <w:p>
      <w:pPr>
        <w:pStyle w:val="BodyJ"/>
        <w:keepNext w:val="false"/>
        <w:numPr>
          <w:ilvl w:val="0"/>
          <w:numId w:val="5"/>
        </w:numPr>
      </w:pPr>
      <w:r>
        <w:t xml:space="preserve">Ausencia de evidencia / evidencia de ausencia — 1, 4, Ap B</w:t>
      </w:r>
    </w:p>
    <w:p>
      <w:pPr>
        <w:pStyle w:val="BodyJ"/>
        <w:keepNext w:val="false"/>
        <w:numPr>
          <w:ilvl w:val="0"/>
          <w:numId w:val="5"/>
        </w:numPr>
      </w:pPr>
      <w:r>
        <w:t xml:space="preserve">Autoridad revisable — 7, 13, 14</w:t>
      </w:r>
    </w:p>
    <w:p>
      <w:pPr>
        <w:pStyle w:val="BodyJ"/>
        <w:keepNext w:val="false"/>
        <w:numPr>
          <w:ilvl w:val="0"/>
          <w:numId w:val="5"/>
        </w:numPr>
      </w:pPr>
      <w:r>
        <w:t xml:space="preserve">Bioética y razonamiento clínico (cuatro tópicos, proporcionalidad, deliberación) — 10, 15, CC (viñeta 5), Ap A</w:t>
      </w:r>
    </w:p>
    <w:p>
      <w:pPr>
        <w:pStyle w:val="BodyJ"/>
        <w:keepNext w:val="false"/>
        <w:numPr>
          <w:ilvl w:val="0"/>
          <w:numId w:val="5"/>
        </w:numPr>
      </w:pPr>
      <w:r>
        <w:t xml:space="preserve">Calibración — 5, 15, 16, Ap C</w:t>
      </w:r>
    </w:p>
    <w:p>
      <w:pPr>
        <w:pStyle w:val="BodyJ"/>
        <w:keepNext w:val="false"/>
        <w:numPr>
          <w:ilvl w:val="0"/>
          <w:numId w:val="5"/>
        </w:numPr>
      </w:pPr>
      <w:r>
        <w:t xml:space="preserve">Captura cognitiva por IA (la respuesta antes que el caso) — 17</w:t>
      </w:r>
    </w:p>
    <w:p>
      <w:pPr>
        <w:pStyle w:val="BodyJ"/>
        <w:keepNext w:val="false"/>
        <w:numPr>
          <w:ilvl w:val="0"/>
          <w:numId w:val="5"/>
        </w:numPr>
      </w:pPr>
      <w:r>
        <w:t xml:space="preserve">Carga teórica de la observación — 1</w:t>
      </w:r>
    </w:p>
    <w:p>
      <w:pPr>
        <w:pStyle w:val="BodyJ"/>
        <w:keepNext w:val="false"/>
        <w:numPr>
          <w:ilvl w:val="0"/>
          <w:numId w:val="5"/>
        </w:numPr>
      </w:pPr>
      <w:r>
        <w:t xml:space="preserve">Cierre prematuro — 2, 7, CC (viñeta 6)</w:t>
      </w:r>
    </w:p>
    <w:p>
      <w:pPr>
        <w:pStyle w:val="BodyJ"/>
        <w:keepNext w:val="false"/>
        <w:numPr>
          <w:ilvl w:val="0"/>
          <w:numId w:val="5"/>
        </w:numPr>
      </w:pPr>
      <w:r>
        <w:t xml:space="preserve">Cognición distribuida — 13</w:t>
      </w:r>
    </w:p>
    <w:p>
      <w:pPr>
        <w:pStyle w:val="BodyJ"/>
        <w:keepNext w:val="false"/>
        <w:numPr>
          <w:ilvl w:val="0"/>
          <w:numId w:val="5"/>
        </w:numPr>
      </w:pPr>
      <w:r>
        <w:t xml:space="preserve">Comparación de HII-D con otros modelos (SOAP, scripts, reflexión deliberada) — 15</w:t>
      </w:r>
    </w:p>
    <w:p>
      <w:pPr>
        <w:pStyle w:val="BodyJ"/>
        <w:keepNext w:val="false"/>
        <w:numPr>
          <w:ilvl w:val="0"/>
          <w:numId w:val="5"/>
        </w:numPr>
      </w:pPr>
      <w:r>
        <w:t xml:space="preserve">Comunicación de incertidumbre — 13, 14, CC (viñeta 5)</w:t>
      </w:r>
    </w:p>
    <w:p>
      <w:pPr>
        <w:pStyle w:val="BodyJ"/>
        <w:keepNext w:val="false"/>
        <w:numPr>
          <w:ilvl w:val="0"/>
          <w:numId w:val="5"/>
        </w:numPr>
      </w:pPr>
      <w:r>
        <w:t xml:space="preserve">Conocimiento tácito — 6; saber hacer y quiebre (Varela) — 6</w:t>
      </w:r>
    </w:p>
    <w:p>
      <w:pPr>
        <w:pStyle w:val="BodyJ"/>
        <w:keepNext w:val="false"/>
        <w:numPr>
          <w:ilvl w:val="0"/>
          <w:numId w:val="5"/>
        </w:numPr>
      </w:pPr>
      <w:r>
        <w:t xml:space="preserve">Contexto global del paciente (funcionalidad, pronóstico de fondo, red de apoyo) — 10, 15, Ap A</w:t>
      </w:r>
    </w:p>
    <w:p>
      <w:pPr>
        <w:pStyle w:val="BodyJ"/>
        <w:keepNext w:val="false"/>
        <w:numPr>
          <w:ilvl w:val="0"/>
          <w:numId w:val="5"/>
        </w:numPr>
      </w:pPr>
      <w:r>
        <w:t xml:space="preserve">Contrafactuales — 11</w:t>
      </w:r>
    </w:p>
    <w:p>
      <w:pPr>
        <w:pStyle w:val="BodyJ"/>
        <w:keepNext w:val="false"/>
        <w:numPr>
          <w:ilvl w:val="0"/>
          <w:numId w:val="5"/>
        </w:numPr>
      </w:pPr>
      <w:r>
        <w:t xml:space="preserve">Conversaciones para la acción (Flores y Winograd) — 13</w:t>
      </w:r>
    </w:p>
    <w:p>
      <w:pPr>
        <w:pStyle w:val="BodyJ"/>
        <w:keepNext w:val="false"/>
        <w:numPr>
          <w:ilvl w:val="0"/>
          <w:numId w:val="5"/>
        </w:numPr>
      </w:pPr>
      <w:r>
        <w:t xml:space="preserve">Copiado de notas (fósil narrativo; magnitud medida) — 12, Ap C</w:t>
      </w:r>
    </w:p>
    <w:p>
      <w:pPr>
        <w:pStyle w:val="BodyJ"/>
        <w:keepNext w:val="false"/>
        <w:numPr>
          <w:ilvl w:val="0"/>
          <w:numId w:val="5"/>
        </w:numPr>
      </w:pPr>
      <w:r>
        <w:t xml:space="preserve">Creatividad en el juicio clínico (abducción, problem setting, tercera opción) — 2, 18</w:t>
      </w:r>
    </w:p>
    <w:p>
      <w:pPr>
        <w:pStyle w:val="BodyJ"/>
        <w:keepNext w:val="false"/>
        <w:numPr>
          <w:ilvl w:val="0"/>
          <w:numId w:val="5"/>
        </w:numPr>
      </w:pPr>
      <w:r>
        <w:t xml:space="preserve">Criterio de reapertura — 8, 12, 15, Interludio III, CC (viñeta 6), Ap A, Ap C</w:t>
      </w:r>
    </w:p>
    <w:p>
      <w:pPr>
        <w:pStyle w:val="BodyJ"/>
        <w:keepNext w:val="false"/>
        <w:numPr>
          <w:ilvl w:val="0"/>
          <w:numId w:val="5"/>
        </w:numPr>
      </w:pPr>
      <w:r>
        <w:t xml:space="preserve">Cuatro tópicos (Jonsen, Siegler y Winslade) — 10, Ap A</w:t>
      </w:r>
    </w:p>
    <w:p>
      <w:pPr>
        <w:pStyle w:val="BodyJ"/>
        <w:keepNext w:val="false"/>
        <w:numPr>
          <w:ilvl w:val="0"/>
          <w:numId w:val="5"/>
        </w:numPr>
      </w:pPr>
      <w:r>
        <w:t xml:space="preserve">Debate sobre la enseñanza del razonamiento (Croskerry vs. Norman/Monteiro) — 16</w:t>
      </w:r>
    </w:p>
    <w:p>
      <w:pPr>
        <w:pStyle w:val="BodyJ"/>
        <w:keepNext w:val="false"/>
        <w:numPr>
          <w:ilvl w:val="0"/>
          <w:numId w:val="5"/>
        </w:numPr>
      </w:pPr>
      <w:r>
        <w:t xml:space="preserve">Decisión compartida — 14, Interludio III</w:t>
      </w:r>
    </w:p>
    <w:p>
      <w:pPr>
        <w:pStyle w:val="BodyJ"/>
        <w:keepNext w:val="false"/>
        <w:numPr>
          <w:ilvl w:val="0"/>
          <w:numId w:val="5"/>
        </w:numPr>
      </w:pPr>
      <w:r>
        <w:t xml:space="preserve">Deliberación moral (Gracia) — 10</w:t>
      </w:r>
    </w:p>
    <w:p>
      <w:pPr>
        <w:pStyle w:val="BodyJ"/>
        <w:keepNext w:val="false"/>
        <w:numPr>
          <w:ilvl w:val="0"/>
          <w:numId w:val="5"/>
        </w:numPr>
      </w:pPr>
      <w:r>
        <w:t xml:space="preserve">Densidad epistémica — 4; seis dimensiones de auditoría — 4, Ap B</w:t>
      </w:r>
    </w:p>
    <w:p>
      <w:pPr>
        <w:pStyle w:val="BodyJ"/>
        <w:keepNext w:val="false"/>
        <w:numPr>
          <w:ilvl w:val="0"/>
          <w:numId w:val="5"/>
        </w:numPr>
      </w:pPr>
      <w:r>
        <w:t xml:space="preserve">Desaceleración selectiva — 8, Interludio II; disparadores, incluido el estado del razonador — 8</w:t>
      </w:r>
    </w:p>
    <w:p>
      <w:pPr>
        <w:pStyle w:val="BodyJ"/>
        <w:keepNext w:val="false"/>
        <w:numPr>
          <w:ilvl w:val="0"/>
          <w:numId w:val="5"/>
        </w:numPr>
      </w:pPr>
      <w:r>
        <w:t xml:space="preserve">Desacuerdo clínico — 13, Interludio III</w:t>
      </w:r>
    </w:p>
    <w:p>
      <w:pPr>
        <w:pStyle w:val="BodyJ"/>
        <w:keepNext w:val="false"/>
        <w:numPr>
          <w:ilvl w:val="0"/>
          <w:numId w:val="5"/>
        </w:numPr>
      </w:pPr>
      <w:r>
        <w:t xml:space="preserve">Doble proceso — 6</w:t>
      </w:r>
    </w:p>
    <w:p>
      <w:pPr>
        <w:pStyle w:val="BodyJ"/>
        <w:keepNext w:val="false"/>
        <w:numPr>
          <w:ilvl w:val="0"/>
          <w:numId w:val="5"/>
        </w:numPr>
      </w:pPr>
      <w:r>
        <w:t xml:space="preserve">Documentación defensiva — 14</w:t>
      </w:r>
    </w:p>
    <w:p>
      <w:pPr>
        <w:pStyle w:val="BodyJ"/>
        <w:keepNext w:val="false"/>
        <w:numPr>
          <w:ilvl w:val="0"/>
          <w:numId w:val="5"/>
        </w:numPr>
      </w:pPr>
      <w:r>
        <w:t xml:space="preserve">Ensombrecimiento diagnóstico — CC (viñeta 8)</w:t>
      </w:r>
    </w:p>
    <w:p>
      <w:pPr>
        <w:pStyle w:val="BodyJ"/>
        <w:keepNext w:val="false"/>
        <w:numPr>
          <w:ilvl w:val="0"/>
          <w:numId w:val="5"/>
        </w:numPr>
      </w:pPr>
      <w:r>
        <w:t xml:space="preserve">Errores asimétricos — 10, CC (viñeta 3)</w:t>
      </w:r>
    </w:p>
    <w:p>
      <w:pPr>
        <w:pStyle w:val="BodyJ"/>
        <w:keepNext w:val="false"/>
        <w:numPr>
          <w:ilvl w:val="0"/>
          <w:numId w:val="5"/>
        </w:numPr>
      </w:pPr>
      <w:r>
        <w:t xml:space="preserve">Errores típicos en los talleres — Ap D</w:t>
      </w:r>
    </w:p>
    <w:p>
      <w:pPr>
        <w:pStyle w:val="BodyJ"/>
        <w:keepNext w:val="false"/>
        <w:numPr>
          <w:ilvl w:val="0"/>
          <w:numId w:val="5"/>
        </w:numPr>
      </w:pPr>
      <w:r>
        <w:t xml:space="preserve">Escribas ambientales (regla «la capa H, verificada; la capa D, no») — 17</w:t>
      </w:r>
    </w:p>
    <w:p>
      <w:pPr>
        <w:pStyle w:val="BodyJ"/>
        <w:keepNext w:val="false"/>
        <w:numPr>
          <w:ilvl w:val="0"/>
          <w:numId w:val="5"/>
        </w:numPr>
      </w:pPr>
      <w:r>
        <w:t xml:space="preserve">Estado de verificación de un diagnóstico en la ficha electrónica — 12</w:t>
      </w:r>
    </w:p>
    <w:p>
      <w:pPr>
        <w:pStyle w:val="BodyJ"/>
        <w:keepNext w:val="false"/>
        <w:numPr>
          <w:ilvl w:val="0"/>
          <w:numId w:val="5"/>
        </w:numPr>
      </w:pPr>
      <w:r>
        <w:t xml:space="preserve">Estado del razonador (esfuerzo, sueño, ánimo; turnos como condición epistémica) — 8, 16, Ap A</w:t>
      </w:r>
    </w:p>
    <w:p>
      <w:pPr>
        <w:pStyle w:val="BodyJ"/>
        <w:keepNext w:val="false"/>
        <w:numPr>
          <w:ilvl w:val="0"/>
          <w:numId w:val="5"/>
        </w:numPr>
      </w:pPr>
      <w:r>
        <w:t xml:space="preserve">Ética de la creencia (Clifford); pensar bien como deber primordial — 14, C</w:t>
      </w:r>
    </w:p>
    <w:p>
      <w:pPr>
        <w:pStyle w:val="BodyJ"/>
        <w:keepNext w:val="false"/>
        <w:numPr>
          <w:ilvl w:val="0"/>
          <w:numId w:val="5"/>
        </w:numPr>
      </w:pPr>
      <w:r>
        <w:t xml:space="preserve">Evidencia poblacional y particularización — 9</w:t>
      </w:r>
    </w:p>
    <w:p>
      <w:pPr>
        <w:pStyle w:val="BodyJ"/>
        <w:keepNext w:val="false"/>
        <w:numPr>
          <w:ilvl w:val="0"/>
          <w:numId w:val="5"/>
        </w:numPr>
      </w:pPr>
      <w:r>
        <w:t xml:space="preserve">Falsabilidad del método HII-D — 15</w:t>
      </w:r>
    </w:p>
    <w:p>
      <w:pPr>
        <w:pStyle w:val="BodyJ"/>
        <w:keepNext w:val="false"/>
        <w:numPr>
          <w:ilvl w:val="0"/>
          <w:numId w:val="5"/>
        </w:numPr>
      </w:pPr>
      <w:r>
        <w:t xml:space="preserve">Feedback diagnóstico — 5, 16, Ap C</w:t>
      </w:r>
    </w:p>
    <w:p>
      <w:pPr>
        <w:pStyle w:val="BodyJ"/>
        <w:keepNext w:val="false"/>
        <w:numPr>
          <w:ilvl w:val="0"/>
          <w:numId w:val="5"/>
        </w:numPr>
      </w:pPr>
      <w:r>
        <w:t xml:space="preserve">Ficha como dispositivo que produce lo visible (Foucault) — 12</w:t>
      </w:r>
    </w:p>
    <w:p>
      <w:pPr>
        <w:pStyle w:val="BodyJ"/>
        <w:keepNext w:val="false"/>
        <w:numPr>
          <w:ilvl w:val="0"/>
          <w:numId w:val="5"/>
        </w:numPr>
      </w:pPr>
      <w:r>
        <w:t xml:space="preserve">Ficha de proceso vs. ficha de resultados (los verbos del razonamiento) — 12, Ap D</w:t>
      </w:r>
    </w:p>
    <w:p>
      <w:pPr>
        <w:pStyle w:val="BodyJ"/>
        <w:keepNext w:val="false"/>
        <w:numPr>
          <w:ilvl w:val="0"/>
          <w:numId w:val="5"/>
        </w:numPr>
      </w:pPr>
      <w:r>
        <w:t xml:space="preserve">Fichas clínicas y plantillas — 12, 16, Ap C; ficha electrónica pensada desde HII-D — 12</w:t>
      </w:r>
    </w:p>
    <w:p>
      <w:pPr>
        <w:pStyle w:val="BodyJ"/>
        <w:keepNext w:val="false"/>
        <w:numPr>
          <w:ilvl w:val="0"/>
          <w:numId w:val="5"/>
        </w:numPr>
      </w:pPr>
      <w:r>
        <w:t xml:space="preserve">Formación clínica en la era de la IA (deskilling, never-skilling, mis-skilling) — 17</w:t>
      </w:r>
    </w:p>
    <w:p>
      <w:pPr>
        <w:pStyle w:val="BodyJ"/>
        <w:keepNext w:val="false"/>
        <w:numPr>
          <w:ilvl w:val="0"/>
          <w:numId w:val="5"/>
        </w:numPr>
      </w:pPr>
      <w:r>
        <w:t xml:space="preserve">Fragilidad y funcionalidad como hechos clínicos — 10, 15, Ap A</w:t>
      </w:r>
    </w:p>
    <w:p>
      <w:pPr>
        <w:pStyle w:val="BodyJ"/>
        <w:keepNext w:val="false"/>
        <w:numPr>
          <w:ilvl w:val="0"/>
          <w:numId w:val="5"/>
        </w:numPr>
      </w:pPr>
      <w:r>
        <w:t xml:space="preserve">Frase medular — 4, 12, C, CC (todas las viñetas); como argumento de Toulmin — 4</w:t>
      </w:r>
    </w:p>
    <w:p>
      <w:pPr>
        <w:pStyle w:val="BodyJ"/>
        <w:keepNext w:val="false"/>
        <w:numPr>
          <w:ilvl w:val="0"/>
          <w:numId w:val="5"/>
        </w:numPr>
      </w:pPr>
      <w:r>
        <w:t xml:space="preserve">Frecuencias naturales — 2, 10</w:t>
      </w:r>
    </w:p>
    <w:p>
      <w:pPr>
        <w:pStyle w:val="BodyJ"/>
        <w:keepNext w:val="false"/>
        <w:numPr>
          <w:ilvl w:val="0"/>
          <w:numId w:val="5"/>
        </w:numPr>
      </w:pPr>
      <w:r>
        <w:t xml:space="preserve">Fuentes del hecho clínico (matriz de procedencia) — 1</w:t>
      </w:r>
    </w:p>
    <w:p>
      <w:pPr>
        <w:pStyle w:val="BodyJ"/>
        <w:keepNext w:val="false"/>
        <w:numPr>
          <w:ilvl w:val="0"/>
          <w:numId w:val="5"/>
        </w:numPr>
      </w:pPr>
      <w:r>
        <w:t xml:space="preserve">Grados de facticidad — 1</w:t>
      </w:r>
    </w:p>
    <w:p>
      <w:pPr>
        <w:pStyle w:val="BodyJ"/>
        <w:keepNext w:val="false"/>
        <w:numPr>
          <w:ilvl w:val="0"/>
          <w:numId w:val="5"/>
        </w:numPr>
      </w:pPr>
      <w:r>
        <w:t xml:space="preserve">Hecho como estatus provisional (frontera hecho/inferencia) — 1</w:t>
      </w:r>
    </w:p>
    <w:p>
      <w:pPr>
        <w:pStyle w:val="BodyJ"/>
        <w:keepNext w:val="false"/>
        <w:numPr>
          <w:ilvl w:val="0"/>
          <w:numId w:val="5"/>
        </w:numPr>
      </w:pPr>
      <w:r>
        <w:t xml:space="preserve">HII-D (método) — 12, 15, Ap A; auditoría de IA con — 17</w:t>
      </w:r>
    </w:p>
    <w:p>
      <w:pPr>
        <w:pStyle w:val="BodyJ"/>
        <w:keepNext w:val="false"/>
        <w:numPr>
          <w:ilvl w:val="0"/>
          <w:numId w:val="5"/>
        </w:numPr>
      </w:pPr>
      <w:r>
        <w:t xml:space="preserve">Hindsight bias — 8, 11, 16, CC (viñeta 6)</w:t>
      </w:r>
    </w:p>
    <w:p>
      <w:pPr>
        <w:pStyle w:val="BodyJ"/>
        <w:keepNext w:val="false"/>
        <w:numPr>
          <w:ilvl w:val="0"/>
          <w:numId w:val="5"/>
        </w:numPr>
      </w:pPr>
      <w:r>
        <w:t xml:space="preserve">Hoja de ruta para el docente (talleres por nivel) — Ap C</w:t>
      </w:r>
    </w:p>
    <w:p>
      <w:pPr>
        <w:pStyle w:val="BodyJ"/>
        <w:keepNext w:val="false"/>
        <w:numPr>
          <w:ilvl w:val="0"/>
          <w:numId w:val="5"/>
        </w:numPr>
      </w:pPr>
      <w:r>
        <w:t xml:space="preserve">Humildad epistémica como motor (explorar, aprender, reenfocar) — 14</w:t>
      </w:r>
    </w:p>
    <w:p>
      <w:pPr>
        <w:pStyle w:val="BodyJ"/>
        <w:keepNext w:val="false"/>
        <w:numPr>
          <w:ilvl w:val="0"/>
          <w:numId w:val="5"/>
        </w:numPr>
      </w:pPr>
      <w:r>
        <w:t xml:space="preserve">Illness scripts — 2, 6, 16</w:t>
      </w:r>
    </w:p>
    <w:p>
      <w:pPr>
        <w:pStyle w:val="BodyJ"/>
        <w:keepNext w:val="false"/>
        <w:numPr>
          <w:ilvl w:val="0"/>
          <w:numId w:val="5"/>
        </w:numPr>
      </w:pPr>
      <w:r>
        <w:t xml:space="preserve">Improvisación y saber hacer (jazz; Limb y Braun) — 6</w:t>
      </w:r>
    </w:p>
    <w:p>
      <w:pPr>
        <w:pStyle w:val="BodyJ"/>
        <w:keepNext w:val="false"/>
        <w:numPr>
          <w:ilvl w:val="0"/>
          <w:numId w:val="5"/>
        </w:numPr>
      </w:pPr>
      <w:r>
        <w:t xml:space="preserve">Incertidumbre: taxonomía y cartografía — 3; epistémica y aleatoria — 3; knightiana — 3</w:t>
      </w:r>
    </w:p>
    <w:p>
      <w:pPr>
        <w:pStyle w:val="BodyJ"/>
        <w:keepNext w:val="false"/>
        <w:numPr>
          <w:ilvl w:val="0"/>
          <w:numId w:val="5"/>
        </w:numPr>
      </w:pPr>
      <w:r>
        <w:t xml:space="preserve">Injusticia epistémica — 14, CC (viñetas 6 y 8)</w:t>
      </w:r>
    </w:p>
    <w:p>
      <w:pPr>
        <w:pStyle w:val="BodyJ"/>
        <w:keepNext w:val="false"/>
        <w:numPr>
          <w:ilvl w:val="0"/>
          <w:numId w:val="5"/>
        </w:numPr>
      </w:pPr>
      <w:r>
        <w:t xml:space="preserve">Inteligencia artificial: rol diagnóstico y terapéutico, catálogo de riesgos, defensas — 17</w:t>
      </w:r>
    </w:p>
    <w:p>
      <w:pPr>
        <w:pStyle w:val="BodyJ"/>
        <w:keepNext w:val="false"/>
        <w:numPr>
          <w:ilvl w:val="0"/>
          <w:numId w:val="5"/>
        </w:numPr>
      </w:pPr>
      <w:r>
        <w:t xml:space="preserve">Intuición experta — 5, 6, Interludio II</w:t>
      </w:r>
    </w:p>
    <w:p>
      <w:pPr>
        <w:pStyle w:val="BodyJ"/>
        <w:keepNext w:val="false"/>
        <w:numPr>
          <w:ilvl w:val="0"/>
          <w:numId w:val="5"/>
        </w:numPr>
      </w:pPr>
      <w:r>
        <w:t xml:space="preserve">Lectura de ensayos clínicos (significación, reanálisis bayesiano, saga ANDROMEDA) — 9</w:t>
      </w:r>
    </w:p>
    <w:p>
      <w:pPr>
        <w:pStyle w:val="BodyJ"/>
        <w:keepNext w:val="false"/>
        <w:numPr>
          <w:ilvl w:val="0"/>
          <w:numId w:val="5"/>
        </w:numPr>
      </w:pPr>
      <w:r>
        <w:t xml:space="preserve">Léxico de certeza — 4, Ap B</w:t>
      </w:r>
    </w:p>
    <w:p>
      <w:pPr>
        <w:pStyle w:val="BodyJ"/>
        <w:keepNext w:val="false"/>
        <w:numPr>
          <w:ilvl w:val="0"/>
          <w:numId w:val="5"/>
        </w:numPr>
      </w:pPr>
      <w:r>
        <w:t xml:space="preserve">Marcador y enfermedad (lactato, perfusión, ANDROMEDA-SHOCK) — 1, 9</w:t>
      </w:r>
    </w:p>
    <w:p>
      <w:pPr>
        <w:pStyle w:val="BodyJ"/>
        <w:keepNext w:val="false"/>
        <w:numPr>
          <w:ilvl w:val="0"/>
          <w:numId w:val="5"/>
        </w:numPr>
      </w:pPr>
      <w:r>
        <w:t xml:space="preserve">Medicina basada en evidencia — 9</w:t>
      </w:r>
    </w:p>
    <w:p>
      <w:pPr>
        <w:pStyle w:val="BodyJ"/>
        <w:keepNext w:val="false"/>
        <w:numPr>
          <w:ilvl w:val="0"/>
          <w:numId w:val="5"/>
        </w:numPr>
      </w:pPr>
      <w:r>
        <w:t xml:space="preserve">Mente del principiante (Zen, shoshin) — 8</w:t>
      </w:r>
    </w:p>
    <w:p>
      <w:pPr>
        <w:pStyle w:val="BodyJ"/>
        <w:keepNext w:val="false"/>
        <w:numPr>
          <w:ilvl w:val="0"/>
          <w:numId w:val="5"/>
        </w:numPr>
      </w:pPr>
      <w:r>
        <w:t xml:space="preserve">Meta-d′ y medición de la metacognición — 5</w:t>
      </w:r>
    </w:p>
    <w:p>
      <w:pPr>
        <w:pStyle w:val="BodyJ"/>
        <w:keepNext w:val="false"/>
        <w:numPr>
          <w:ilvl w:val="0"/>
          <w:numId w:val="5"/>
        </w:numPr>
      </w:pPr>
      <w:r>
        <w:t xml:space="preserve">Metacognición: definición y niveles — Int, 5; monitoreo y control — 5; social (señales del equipo y del paciente) — 5, 13; sensibilidad vs. sesgo — Int, 5; auditoría de salidas de IA — 17</w:t>
      </w:r>
    </w:p>
    <w:p>
      <w:pPr>
        <w:pStyle w:val="BodyJ"/>
        <w:keepNext w:val="false"/>
        <w:numPr>
          <w:ilvl w:val="0"/>
          <w:numId w:val="5"/>
        </w:numPr>
      </w:pPr>
      <w:r>
        <w:t xml:space="preserve">Miedo y decisión (documentación defensiva, sobreestudio) — 3, 14</w:t>
      </w:r>
    </w:p>
    <w:p>
      <w:pPr>
        <w:pStyle w:val="BodyJ"/>
        <w:keepNext w:val="false"/>
        <w:numPr>
          <w:ilvl w:val="0"/>
          <w:numId w:val="5"/>
        </w:numPr>
      </w:pPr>
      <w:r>
        <w:t xml:space="preserve">Modelo de Toulmin (dato, garantía, calificador, refutación) — 4</w:t>
      </w:r>
    </w:p>
    <w:p>
      <w:pPr>
        <w:pStyle w:val="BodyJ"/>
        <w:keepNext w:val="false"/>
        <w:numPr>
          <w:ilvl w:val="0"/>
          <w:numId w:val="5"/>
        </w:numPr>
      </w:pPr>
      <w:r>
        <w:t xml:space="preserve">Nota clínica generada por IA (degradación del registro) — 17</w:t>
      </w:r>
    </w:p>
    <w:p>
      <w:pPr>
        <w:pStyle w:val="BodyJ"/>
        <w:keepNext w:val="false"/>
        <w:numPr>
          <w:ilvl w:val="0"/>
          <w:numId w:val="5"/>
        </w:numPr>
      </w:pPr>
      <w:r>
        <w:t xml:space="preserve">Nota de enfermería como hecho clínico — 13</w:t>
      </w:r>
    </w:p>
    <w:p>
      <w:pPr>
        <w:pStyle w:val="BodyJ"/>
        <w:keepNext w:val="false"/>
        <w:numPr>
          <w:ilvl w:val="0"/>
          <w:numId w:val="5"/>
        </w:numPr>
      </w:pPr>
      <w:r>
        <w:t xml:space="preserve">Objetividad entre paréntesis y observador (Maturana) — 1; emociones como dominio de acción — 8</w:t>
      </w:r>
    </w:p>
    <w:p>
      <w:pPr>
        <w:pStyle w:val="BodyJ"/>
        <w:keepNext w:val="false"/>
        <w:numPr>
          <w:ilvl w:val="0"/>
          <w:numId w:val="5"/>
        </w:numPr>
      </w:pPr>
      <w:r>
        <w:t xml:space="preserve">Observación activa — 11, Ap D</w:t>
      </w:r>
    </w:p>
    <w:p>
      <w:pPr>
        <w:pStyle w:val="BodyJ"/>
        <w:keepNext w:val="false"/>
        <w:numPr>
          <w:ilvl w:val="0"/>
          <w:numId w:val="5"/>
        </w:numPr>
      </w:pPr>
      <w:r>
        <w:t xml:space="preserve">Paradoja de la automatización — 17</w:t>
      </w:r>
    </w:p>
    <w:p>
      <w:pPr>
        <w:pStyle w:val="BodyJ"/>
        <w:keepNext w:val="false"/>
        <w:numPr>
          <w:ilvl w:val="0"/>
          <w:numId w:val="5"/>
        </w:numPr>
      </w:pPr>
      <w:r>
        <w:t xml:space="preserve">Pausa diagnóstica — 8, 16, Ap B, Ap C</w:t>
      </w:r>
    </w:p>
    <w:p>
      <w:pPr>
        <w:pStyle w:val="BodyJ"/>
        <w:keepNext w:val="false"/>
        <w:numPr>
          <w:ilvl w:val="0"/>
          <w:numId w:val="5"/>
        </w:numPr>
      </w:pPr>
      <w:r>
        <w:t xml:space="preserve">Pericia y práctica deliberada — 6</w:t>
      </w:r>
    </w:p>
    <w:p>
      <w:pPr>
        <w:pStyle w:val="BodyJ"/>
        <w:keepNext w:val="false"/>
        <w:numPr>
          <w:ilvl w:val="0"/>
          <w:numId w:val="5"/>
        </w:numPr>
      </w:pPr>
      <w:r>
        <w:t xml:space="preserve">Phronesis — 6, 14</w:t>
      </w:r>
    </w:p>
    <w:p>
      <w:pPr>
        <w:pStyle w:val="BodyJ"/>
        <w:keepNext w:val="false"/>
        <w:numPr>
          <w:ilvl w:val="0"/>
          <w:numId w:val="5"/>
        </w:numPr>
      </w:pPr>
      <w:r>
        <w:t xml:space="preserve">Poesía y juicio clínico (Huidobro, Parra; belleza como señal y trampa) — 18</w:t>
      </w:r>
    </w:p>
    <w:p>
      <w:pPr>
        <w:pStyle w:val="BodyJ"/>
        <w:keepNext w:val="false"/>
        <w:numPr>
          <w:ilvl w:val="0"/>
          <w:numId w:val="5"/>
        </w:numPr>
      </w:pPr>
      <w:r>
        <w:t xml:space="preserve">Portafolio de calibración — 5, 8, 14, 16, Ap C, Ap D</w:t>
      </w:r>
    </w:p>
    <w:p>
      <w:pPr>
        <w:pStyle w:val="BodyJ"/>
        <w:keepNext w:val="false"/>
        <w:numPr>
          <w:ilvl w:val="0"/>
          <w:numId w:val="5"/>
        </w:numPr>
      </w:pPr>
      <w:r>
        <w:t xml:space="preserve">Preguntas para la próxima visita (reunidas) — Ap E</w:t>
      </w:r>
    </w:p>
    <w:p>
      <w:pPr>
        <w:pStyle w:val="BodyJ"/>
        <w:keepNext w:val="false"/>
        <w:numPr>
          <w:ilvl w:val="0"/>
          <w:numId w:val="5"/>
        </w:numPr>
      </w:pPr>
      <w:r>
        <w:t xml:space="preserve">Pronóstico e incertidumbre de plazo — CC (viñeta 5)</w:t>
      </w:r>
    </w:p>
    <w:p>
      <w:pPr>
        <w:pStyle w:val="BodyJ"/>
        <w:keepNext w:val="false"/>
        <w:numPr>
          <w:ilvl w:val="0"/>
          <w:numId w:val="5"/>
        </w:numPr>
      </w:pPr>
      <w:r>
        <w:t xml:space="preserve">Proporcionalidad terapéutica (Taboada) — 10, 15, CC (viñeta 5)</w:t>
      </w:r>
    </w:p>
    <w:p>
      <w:pPr>
        <w:pStyle w:val="BodyJ"/>
        <w:keepNext w:val="false"/>
        <w:numPr>
          <w:ilvl w:val="0"/>
          <w:numId w:val="5"/>
        </w:numPr>
      </w:pPr>
      <w:r>
        <w:t xml:space="preserve">Proteína C reactiva: cinética y lectura temporal — 11, 12</w:t>
      </w:r>
    </w:p>
    <w:p>
      <w:pPr>
        <w:pStyle w:val="BodyJ"/>
        <w:keepNext w:val="false"/>
        <w:numPr>
          <w:ilvl w:val="0"/>
          <w:numId w:val="5"/>
        </w:numPr>
      </w:pPr>
      <w:r>
        <w:t xml:space="preserve">Prueba de Parra (taller del capítulo 18) — Ap D</w:t>
      </w:r>
    </w:p>
    <w:p>
      <w:pPr>
        <w:pStyle w:val="BodyJ"/>
        <w:keepNext w:val="false"/>
        <w:numPr>
          <w:ilvl w:val="0"/>
          <w:numId w:val="5"/>
        </w:numPr>
      </w:pPr>
      <w:r>
        <w:t xml:space="preserve">Pruebas severas (Popper) — 2</w:t>
      </w:r>
    </w:p>
    <w:p>
      <w:pPr>
        <w:pStyle w:val="BodyJ"/>
        <w:keepNext w:val="false"/>
        <w:numPr>
          <w:ilvl w:val="0"/>
          <w:numId w:val="5"/>
        </w:numPr>
      </w:pPr>
      <w:r>
        <w:t xml:space="preserve">Puntos de inflexión — 11, Interludio III</w:t>
      </w:r>
    </w:p>
    <w:p>
      <w:pPr>
        <w:pStyle w:val="BodyJ"/>
        <w:keepNext w:val="false"/>
        <w:numPr>
          <w:ilvl w:val="0"/>
          <w:numId w:val="5"/>
        </w:numPr>
      </w:pPr>
      <w:r>
        <w:t xml:space="preserve">Red de seguridad (safety-netting) — 11, CC (viñetas 3, 4 y 7)</w:t>
      </w:r>
    </w:p>
    <w:p>
      <w:pPr>
        <w:pStyle w:val="BodyJ"/>
        <w:keepNext w:val="false"/>
        <w:numPr>
          <w:ilvl w:val="0"/>
          <w:numId w:val="5"/>
        </w:numPr>
      </w:pPr>
      <w:r>
        <w:t xml:space="preserve">Reglas de decisión clínica (PERC) y umbral — CC (viñeta 6)</w:t>
      </w:r>
    </w:p>
    <w:p>
      <w:pPr>
        <w:pStyle w:val="BodyJ"/>
        <w:keepNext w:val="false"/>
        <w:numPr>
          <w:ilvl w:val="0"/>
          <w:numId w:val="5"/>
        </w:numPr>
      </w:pPr>
      <w:r>
        <w:t xml:space="preserve">Representación del problema — Int, 2, 8, 16</w:t>
      </w:r>
    </w:p>
    <w:p>
      <w:pPr>
        <w:pStyle w:val="BodyJ"/>
        <w:keepNext w:val="false"/>
        <w:numPr>
          <w:ilvl w:val="0"/>
          <w:numId w:val="5"/>
        </w:numPr>
      </w:pPr>
      <w:r>
        <w:t xml:space="preserve">Riesgo inductivo (Rudner, Douglas) — 10</w:t>
      </w:r>
    </w:p>
    <w:p>
      <w:pPr>
        <w:pStyle w:val="BodyJ"/>
        <w:keepNext w:val="false"/>
        <w:numPr>
          <w:ilvl w:val="0"/>
          <w:numId w:val="5"/>
        </w:numPr>
      </w:pPr>
      <w:r>
        <w:t xml:space="preserve">Segunda víctima — 14</w:t>
      </w:r>
    </w:p>
    <w:p>
      <w:pPr>
        <w:pStyle w:val="BodyJ"/>
        <w:keepNext w:val="false"/>
        <w:numPr>
          <w:ilvl w:val="0"/>
          <w:numId w:val="5"/>
        </w:numPr>
      </w:pPr>
      <w:r>
        <w:t xml:space="preserve">Segundo lector — 5, 8, 17</w:t>
      </w:r>
    </w:p>
    <w:p>
      <w:pPr>
        <w:pStyle w:val="BodyJ"/>
        <w:keepNext w:val="false"/>
        <w:numPr>
          <w:ilvl w:val="0"/>
          <w:numId w:val="5"/>
        </w:numPr>
      </w:pPr>
      <w:r>
        <w:t xml:space="preserve">Sesgo algorítmico (Obermeyer) — 17</w:t>
      </w:r>
    </w:p>
    <w:p>
      <w:pPr>
        <w:pStyle w:val="BodyJ"/>
        <w:keepNext w:val="false"/>
        <w:numPr>
          <w:ilvl w:val="0"/>
          <w:numId w:val="5"/>
        </w:numPr>
      </w:pPr>
      <w:r>
        <w:t xml:space="preserve">Sesgo de automatización (Goddard) — 17</w:t>
      </w:r>
    </w:p>
    <w:p>
      <w:pPr>
        <w:pStyle w:val="BodyJ"/>
        <w:keepNext w:val="false"/>
        <w:numPr>
          <w:ilvl w:val="0"/>
          <w:numId w:val="5"/>
        </w:numPr>
      </w:pPr>
      <w:r>
        <w:t xml:space="preserve">Sesgos cognitivos: alcance y límites del vocabulario — 7</w:t>
      </w:r>
    </w:p>
    <w:p>
      <w:pPr>
        <w:pStyle w:val="BodyJ"/>
        <w:keepNext w:val="false"/>
        <w:numPr>
          <w:ilvl w:val="0"/>
          <w:numId w:val="5"/>
        </w:numPr>
      </w:pPr>
      <w:r>
        <w:t xml:space="preserve">Sobreconfianza — 5, 7</w:t>
      </w:r>
    </w:p>
    <w:p>
      <w:pPr>
        <w:pStyle w:val="BodyJ"/>
        <w:keepNext w:val="false"/>
        <w:numPr>
          <w:ilvl w:val="0"/>
          <w:numId w:val="5"/>
        </w:numPr>
      </w:pPr>
      <w:r>
        <w:t xml:space="preserve">Sobreestudio e intervenciones innecesarias — 3</w:t>
      </w:r>
    </w:p>
    <w:p>
      <w:pPr>
        <w:pStyle w:val="BodyJ"/>
        <w:keepNext w:val="false"/>
        <w:numPr>
          <w:ilvl w:val="0"/>
          <w:numId w:val="5"/>
        </w:numPr>
      </w:pPr>
      <w:r>
        <w:t xml:space="preserve">Talleres (ejercicios por capítulo) — Ap D</w:t>
      </w:r>
    </w:p>
    <w:p>
      <w:pPr>
        <w:pStyle w:val="BodyJ"/>
        <w:keepNext w:val="false"/>
        <w:numPr>
          <w:ilvl w:val="0"/>
          <w:numId w:val="5"/>
        </w:numPr>
      </w:pPr>
      <w:r>
        <w:t xml:space="preserve">Tarjeta HII-D en sesenta segundos — última página</w:t>
      </w:r>
    </w:p>
    <w:p>
      <w:pPr>
        <w:pStyle w:val="BodyJ"/>
        <w:keepNext w:val="false"/>
        <w:numPr>
          <w:ilvl w:val="0"/>
          <w:numId w:val="5"/>
        </w:numPr>
      </w:pPr>
      <w:r>
        <w:t xml:space="preserve">Testimonio del paciente — 1, 14; epistemología del testimonio (Coady, Lackey) — 14; testimonio de terceros y cuidadores — CC (viñeta 7)</w:t>
      </w:r>
    </w:p>
    <w:p>
      <w:pPr>
        <w:pStyle w:val="BodyJ"/>
        <w:keepNext w:val="false"/>
        <w:numPr>
          <w:ilvl w:val="0"/>
          <w:numId w:val="5"/>
        </w:numPr>
      </w:pPr>
      <w:r>
        <w:t xml:space="preserve">Trayectoria del error (estaciones y barreras) — 7</w:t>
      </w:r>
    </w:p>
    <w:p>
      <w:pPr>
        <w:pStyle w:val="BodyJ"/>
        <w:keepNext w:val="false"/>
        <w:numPr>
          <w:ilvl w:val="0"/>
          <w:numId w:val="5"/>
        </w:numPr>
      </w:pPr>
      <w:r>
        <w:t xml:space="preserve">Trayectoria y temporalidad — 11, Interludio I</w:t>
      </w:r>
    </w:p>
    <w:p>
      <w:pPr>
        <w:pStyle w:val="BodyJ"/>
        <w:keepNext w:val="false"/>
        <w:numPr>
          <w:ilvl w:val="0"/>
          <w:numId w:val="5"/>
        </w:numPr>
      </w:pPr>
      <w:r>
        <w:t xml:space="preserve">Umbral y geografía (hospital insular, evacuación aeromédica) — 11</w:t>
      </w:r>
    </w:p>
    <w:p>
      <w:pPr>
        <w:pStyle w:val="BodyJ"/>
        <w:keepNext w:val="false"/>
        <w:numPr>
          <w:ilvl w:val="0"/>
          <w:numId w:val="5"/>
        </w:numPr>
      </w:pPr>
      <w:r>
        <w:t xml:space="preserve">Umbrales de decisión — 10, Interludio III, CC (viñeta 3)</w:t>
      </w:r>
    </w:p>
    <w:p>
      <w:pPr>
        <w:pStyle w:val="BodyJ"/>
        <w:keepNext w:val="false"/>
        <w:numPr>
          <w:ilvl w:val="0"/>
          <w:numId w:val="5"/>
        </w:numPr>
      </w:pPr>
      <w:r>
        <w:t xml:space="preserve">Validación local y monitoreo de herramientas de IA — 17</w:t>
      </w:r>
    </w:p>
    <w:p>
      <w:pPr>
        <w:pStyle w:val="BodyJ"/>
        <w:keepNext w:val="false"/>
        <w:numPr>
          <w:ilvl w:val="0"/>
          <w:numId w:val="5"/>
        </w:numPr>
      </w:pPr>
      <w:r>
        <w:t xml:space="preserve">Validez del entorno e intuición (Kahneman y Klein) — 6</w:t>
      </w:r>
    </w:p>
    <w:p>
      <w:pPr>
        <w:pStyle w:val="BodyJ"/>
        <w:keepNext w:val="false"/>
        <w:numPr>
          <w:ilvl w:val="0"/>
          <w:numId w:val="5"/>
        </w:numPr>
      </w:pPr>
      <w:r>
        <w:t xml:space="preserve">Verbos epistémicos — 4, Ap B</w:t>
      </w:r>
    </w:p>
    <w:p>
      <w:pPr>
        <w:pStyle w:val="Heading1"/>
        <w:keepNext/>
        <w:keepLines/>
        <w:pageBreakBefore/>
        <w:spacing w:after="320" w:before="720"/>
      </w:pPr>
      <w:r>
        <w:rPr>
          <w:rFonts w:ascii="Georgia" w:cs="Georgia" w:eastAsia="Georgia" w:hAnsi="Georgia"/>
          <w:b/>
          <w:bCs/>
          <w:color w:val="2B2B2B"/>
          <w:sz w:val="34"/>
          <w:szCs w:val="34"/>
        </w:rPr>
        <w:t xml:space="preserve">Lista de figuras</w:t>
      </w:r>
    </w:p>
    <w:p>
      <w:pPr>
        <w:pStyle w:val="BodyJ"/>
        <w:keepNext w:val="false"/>
        <w:numPr>
          <w:ilvl w:val="0"/>
          <w:numId w:val="5"/>
        </w:numPr>
      </w:pPr>
      <w:r>
        <w:t xml:space="preserve">Figura 1. Mapa del libro (Cómo leer este libro).</w:t>
      </w:r>
    </w:p>
    <w:p>
      <w:pPr>
        <w:pStyle w:val="BodyJ"/>
        <w:keepNext w:val="false"/>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keepNext w:val="false"/>
        <w:numPr>
          <w:ilvl w:val="0"/>
          <w:numId w:val="5"/>
        </w:numPr>
      </w:pPr>
      <w:r>
        <w:t xml:space="preserve">Figura 3. Fuentes del hecho clínico (Capítulo 1).</w:t>
      </w:r>
    </w:p>
    <w:p>
      <w:pPr>
        <w:pStyle w:val="BodyJ"/>
        <w:keepNext w:val="false"/>
        <w:numPr>
          <w:ilvl w:val="0"/>
          <w:numId w:val="5"/>
        </w:numPr>
      </w:pPr>
      <w:r>
        <w:t xml:space="preserve">Figura 4. Un mapa de la incertidumbre clínica (adaptado de la taxonomía de Han et al.) (Capítulo 3).</w:t>
      </w:r>
    </w:p>
    <w:p>
      <w:pPr>
        <w:pStyle w:val="BodyJ"/>
        <w:keepNext w:val="false"/>
        <w:numPr>
          <w:ilvl w:val="0"/>
          <w:numId w:val="5"/>
        </w:numPr>
      </w:pPr>
      <w:r>
        <w:t xml:space="preserve">Figura 5. La frase medular como argumento de Toulmin (Capítulo 4).</w:t>
      </w:r>
    </w:p>
    <w:p>
      <w:pPr>
        <w:pStyle w:val="BodyJ"/>
        <w:keepNext w:val="false"/>
        <w:numPr>
          <w:ilvl w:val="0"/>
          <w:numId w:val="5"/>
        </w:numPr>
      </w:pPr>
      <w:r>
        <w:t xml:space="preserve">Figura 6. El modelo de dos niveles de Nelson y Narens (Capítulo 5).</w:t>
      </w:r>
    </w:p>
    <w:p>
      <w:pPr>
        <w:pStyle w:val="BodyJ"/>
        <w:keepNext w:val="false"/>
        <w:numPr>
          <w:ilvl w:val="0"/>
          <w:numId w:val="5"/>
        </w:numPr>
      </w:pPr>
      <w:r>
        <w:t xml:space="preserve">Figura 7. Curva de calibración, esquemática (Capítulo 5).</w:t>
      </w:r>
    </w:p>
    <w:p>
      <w:pPr>
        <w:pStyle w:val="BodyJ"/>
        <w:keepNext w:val="false"/>
        <w:numPr>
          <w:ilvl w:val="0"/>
          <w:numId w:val="5"/>
        </w:numPr>
      </w:pPr>
      <w:r>
        <w:t xml:space="preserve">Figura 8. El error como trayectoria (Capítulo 7).</w:t>
      </w:r>
    </w:p>
    <w:p>
      <w:pPr>
        <w:pStyle w:val="BodyJ"/>
        <w:keepNext w:val="false"/>
        <w:numPr>
          <w:ilvl w:val="0"/>
          <w:numId w:val="5"/>
        </w:numPr>
      </w:pPr>
      <w:r>
        <w:t xml:space="preserve">Figura 9. Una década sobre un mismo dato (Capítulo 9).</w:t>
      </w:r>
    </w:p>
    <w:p>
      <w:pPr>
        <w:pStyle w:val="BodyJ"/>
        <w:keepNext w:val="false"/>
        <w:numPr>
          <w:ilvl w:val="0"/>
          <w:numId w:val="5"/>
        </w:numPr>
      </w:pPr>
      <w:r>
        <w:t xml:space="preserve">Figura 10. El enfoque de umbrales de Pauker y Kassirer (Capítulo 10).</w:t>
      </w:r>
    </w:p>
    <w:p>
      <w:pPr>
        <w:pStyle w:val="BodyJ"/>
        <w:keepNext w:val="false"/>
        <w:numPr>
          <w:ilvl w:val="0"/>
          <w:numId w:val="5"/>
        </w:numPr>
      </w:pPr>
      <w:r>
        <w:t xml:space="preserve">Figura 11. La línea de tiempo de Carmen y el umbral que se mueve (Capítulo 10).</w:t>
      </w:r>
    </w:p>
    <w:p>
      <w:pPr>
        <w:pStyle w:val="BodyJ"/>
        <w:keepNext w:val="false"/>
        <w:numPr>
          <w:ilvl w:val="0"/>
          <w:numId w:val="5"/>
        </w:numPr>
      </w:pPr>
      <w:r>
        <w:t xml:space="preserve">Figura 12. El cálculo en frecuencias naturales (Capítulo 10).</w:t>
      </w:r>
    </w:p>
    <w:p>
      <w:pPr>
        <w:pStyle w:val="BodyJ"/>
        <w:keepNext w:val="false"/>
        <w:numPr>
          <w:ilvl w:val="0"/>
          <w:numId w:val="5"/>
        </w:numPr>
      </w:pPr>
      <w:r>
        <w:t xml:space="preserve">Figura 13. El viaje de una frase (Capítulo 12).</w:t>
      </w:r>
    </w:p>
    <w:p>
      <w:pPr>
        <w:pStyle w:val="BodyJ"/>
        <w:keepNext w:val="false"/>
        <w:numPr>
          <w:ilvl w:val="0"/>
          <w:numId w:val="5"/>
        </w:numPr>
      </w:pPr>
      <w:r>
        <w:t xml:space="preserve">Figura 14. El método HII-D en una página (Capítulo 15).</w:t>
      </w:r>
    </w:p>
    <w:p>
      <w:pPr>
        <w:pStyle w:val="BodyJ"/>
        <w:keepNext w:val="false"/>
        <w:numPr>
          <w:ilvl w:val="0"/>
          <w:numId w:val="5"/>
        </w:numPr>
      </w:pPr>
      <w:r>
        <w:t xml:space="preserve">Figura 15. Parentescos: cada riesgo de la IA clínica junto al sesgo ya descrito (Capítulo 17).</w:t>
      </w:r>
    </w:p>
    <w:p>
      <w:pPr>
        <w:pStyle w:val="Heading1"/>
        <w:keepNext/>
        <w:keepLines/>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keepNext w:val="false"/>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keepNext w:val="false"/>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—autoría, año, revista y resultado—. No se pretende exhaustividad sistemática: la selección sirve al argumento y se declara como tal.</w:t>
      </w:r>
    </w:p>
    <w:p>
      <w:pPr>
        <w:pStyle w:val="BodyJ"/>
        <w:keepNext w:val="false"/>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—la densidad epistémica, la frase medular y el método HII-D—, que no deben leerse como hallazgos sino como hipótesis de trabajo.</w:t>
      </w:r>
    </w:p>
    <w:p>
      <w:pPr>
        <w:pStyle w:val="BodyJ"/>
        <w:keepNext w:val="false"/>
      </w:pPr>
      <w:r>
        <w:rPr>
          <w:b/>
          <w:bCs/>
        </w:rPr>
        <w:t xml:space="preserve">Los casos.</w:t>
      </w:r>
      <w:r>
        <w:t xml:space="preserve"> Las escenas clínicas de este libro —Carmen, los interludios, las viñetas y los pasajes en primera persona— son composiciones docentes en el sentido declarado en la página legal: condensan experiencias reales y situaciones compuestas, sin reproducir episodios literales ni permitir identificación de personas o instituciones.</w:t>
      </w:r>
    </w:p>
    <w:p>
      <w:pPr>
        <w:pStyle w:val="BodyJ"/>
        <w:keepNext w:val="false"/>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keepNext w:val="false"/>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keepNext w:val="false"/>
      </w:pPr>
      <w:r>
        <w:rPr>
          <w:b/>
          <w:bCs/>
        </w:rPr>
        <w:t xml:space="preserve">HII-D.</w:t>
      </w:r>
      <w:r>
        <w:t xml:space="preserve"> Es una heurística conceptual no validada. Sus compromisos de falsabilidad están en el capítulo 15 («Qué evidencia me haría abandonar este método»); su evaluación empírica —concordancia entre lectores, efecto sobre la reconstrucción del razonamiento y sobre conductas medibles, y costo en tiempo— es un programa pendiente, no un resultado.</w:t>
      </w:r>
    </w:p>
    <w:p>
      <w:pPr>
        <w:pStyle w:val="Heading1"/>
        <w:keepNext/>
        <w:keepLines/>
        <w:pageBreakBefore/>
        <w:spacing w:after="320" w:before="720"/>
      </w:pPr>
      <w:r>
        <w:rPr>
          <w:rFonts w:ascii="Georgia" w:cs="Georgia" w:eastAsia="Georgia" w:hAnsi="Georgia"/>
          <w:b/>
          <w:bCs/>
          <w:color w:val="2B2B2B"/>
          <w:sz w:val="34"/>
          <w:szCs w:val="34"/>
        </w:rPr>
        <w:t xml:space="preserve">Referencias</w:t>
      </w:r>
    </w:p>
    <w:p>
      <w:pPr>
        <w:pStyle w:val="BodyJ"/>
        <w:keepNext w:val="false"/>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keepNext w:val="false"/>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keepNext w:val="false"/>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keepNext w:val="false"/>
      </w:pPr>
      <w:r>
        <w:t xml:space="preserve">Alves de Lima, A. (2008). Devolución constructiva: Una estrategia para mejorar el aprendizaje. </w:t>
      </w:r>
      <w:r>
        <w:rPr>
          <w:i/>
          <w:iCs/>
        </w:rPr>
        <w:t xml:space="preserve">Medicina (Buenos Aires), 68</w:t>
      </w:r>
      <w:r>
        <w:t xml:space="preserve">(1), 88–92.</w:t>
      </w:r>
    </w:p>
    <w:p>
      <w:pPr>
        <w:pStyle w:val="BodyJ"/>
        <w:keepNext w:val="false"/>
      </w:pPr>
      <w:r>
        <w:t xml:space="preserve">Aristóteles. (1985). </w:t>
      </w:r>
      <w:r>
        <w:rPr>
          <w:i/>
          <w:iCs/>
        </w:rPr>
        <w:t xml:space="preserve">Ética nicomáquea; Ética eudemia</w:t>
      </w:r>
      <w:r>
        <w:t xml:space="preserve"> (J. Pallí Bonet, Trad.; introd. E. Lledó). Gredos.</w:t>
      </w:r>
    </w:p>
    <w:p>
      <w:pPr>
        <w:pStyle w:val="BodyJ"/>
        <w:keepNext w:val="false"/>
      </w:pPr>
      <w:r>
        <w:t xml:space="preserve">Austin, J. L. (1962). </w:t>
      </w:r>
      <w:r>
        <w:rPr>
          <w:i/>
          <w:iCs/>
        </w:rPr>
        <w:t xml:space="preserve">How to Do Things with Words</w:t>
      </w:r>
      <w:r>
        <w:t xml:space="preserve">. Clarendon Press.</w:t>
      </w:r>
    </w:p>
    <w:p>
      <w:pPr>
        <w:pStyle w:val="BodyJ"/>
        <w:keepNext w:val="false"/>
      </w:pPr>
      <w:r>
        <w:t xml:space="preserve">Barrows, H. S., &amp; Feltovich, P. J. (1987). The clinical reasoning process. </w:t>
      </w:r>
      <w:r>
        <w:rPr>
          <w:i/>
          <w:iCs/>
        </w:rPr>
        <w:t xml:space="preserve">Medical Education, 21</w:t>
      </w:r>
      <w:r>
        <w:t xml:space="preserve">(2), 86–91.</w:t>
      </w:r>
    </w:p>
    <w:p>
      <w:pPr>
        <w:pStyle w:val="BodyJ"/>
        <w:keepNext w:val="false"/>
      </w:pPr>
      <w:r>
        <w:t xml:space="preserve">Berner, E. S., &amp; Graber, M. L. (2008). Overconfidence as a cause of diagnostic error in medicine. </w:t>
      </w:r>
      <w:r>
        <w:rPr>
          <w:i/>
          <w:iCs/>
        </w:rPr>
        <w:t xml:space="preserve">The American Journal of Medicine, 121</w:t>
      </w:r>
      <w:r>
        <w:t xml:space="preserve">(5 Suppl), S2–S23.</w:t>
      </w:r>
    </w:p>
    <w:p>
      <w:pPr>
        <w:pStyle w:val="BodyJ"/>
        <w:keepNext w:val="false"/>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keepNext w:val="false"/>
      </w:pPr>
      <w:r>
        <w:t xml:space="preserve">Boden, M. A. (2004). </w:t>
      </w:r>
      <w:r>
        <w:rPr>
          <w:i/>
          <w:iCs/>
        </w:rPr>
        <w:t xml:space="preserve">The Creative Mind: Myths and Mechanisms</w:t>
      </w:r>
      <w:r>
        <w:t xml:space="preserve"> (2.ª ed.). Routledge.</w:t>
      </w:r>
    </w:p>
    <w:p>
      <w:pPr>
        <w:pStyle w:val="BodyJ"/>
        <w:keepNext w:val="false"/>
      </w:pPr>
      <w:r>
        <w:t xml:space="preserve">Bohm, D. (1996). </w:t>
      </w:r>
      <w:r>
        <w:rPr>
          <w:i/>
          <w:iCs/>
        </w:rPr>
        <w:t xml:space="preserve">On Creativity</w:t>
      </w:r>
      <w:r>
        <w:t xml:space="preserve"> (L. Nichol, Ed.). Routledge.</w:t>
      </w:r>
    </w:p>
    <w:p>
      <w:pPr>
        <w:pStyle w:val="BodyJ"/>
        <w:keepNext w:val="false"/>
      </w:pPr>
      <w:r>
        <w:t xml:space="preserve">Bohm, D., &amp; Peat, F. D. (1987). </w:t>
      </w:r>
      <w:r>
        <w:rPr>
          <w:i/>
          <w:iCs/>
        </w:rPr>
        <w:t xml:space="preserve">Science, Order, and Creativity</w:t>
      </w:r>
      <w:r>
        <w:t xml:space="preserve">. Bantam Books.</w:t>
      </w:r>
    </w:p>
    <w:p>
      <w:pPr>
        <w:pStyle w:val="BodyJ"/>
        <w:keepNext w:val="false"/>
      </w:pPr>
      <w:r>
        <w:t xml:space="preserve">Bordage, G. (1994). Elaborated knowledge: A key to successful diagnostic thinking. </w:t>
      </w:r>
      <w:r>
        <w:rPr>
          <w:i/>
          <w:iCs/>
        </w:rPr>
        <w:t xml:space="preserve">Academic Medicine, 69</w:t>
      </w:r>
      <w:r>
        <w:t xml:space="preserve">(11), 883–885.</w:t>
      </w:r>
    </w:p>
    <w:p>
      <w:pPr>
        <w:pStyle w:val="BodyJ"/>
        <w:keepNext w:val="false"/>
      </w:pPr>
      <w:r>
        <w:t xml:space="preserve">Bowen, J. L. (2006). Educational strategies to promote clinical diagnostic reasoning. </w:t>
      </w:r>
      <w:r>
        <w:rPr>
          <w:i/>
          <w:iCs/>
        </w:rPr>
        <w:t xml:space="preserve">New England Journal of Medicine, 355</w:t>
      </w:r>
      <w:r>
        <w:t xml:space="preserve">(21), 2217–2225.</w:t>
      </w:r>
    </w:p>
    <w:p>
      <w:pPr>
        <w:pStyle w:val="BodyJ"/>
        <w:keepNext w:val="false"/>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keepNext w:val="false"/>
      </w:pPr>
      <w:r>
        <w:t xml:space="preserve">Cabitza, F., Rasoini, R., &amp; Gensini, G. F. (2017). Unintended consequences of machine learning in medicine. </w:t>
      </w:r>
      <w:r>
        <w:rPr>
          <w:i/>
          <w:iCs/>
        </w:rPr>
        <w:t xml:space="preserve">JAMA, 318</w:t>
      </w:r>
      <w:r>
        <w:t xml:space="preserve">(6), 517–518.</w:t>
      </w:r>
    </w:p>
    <w:p>
      <w:pPr>
        <w:pStyle w:val="BodyJ"/>
        <w:keepNext w:val="false"/>
      </w:pPr>
      <w:r>
        <w:t xml:space="preserve">Canguilhem, G. (1971). </w:t>
      </w:r>
      <w:r>
        <w:rPr>
          <w:i/>
          <w:iCs/>
        </w:rPr>
        <w:t xml:space="preserve">Lo normal y lo patológico</w:t>
      </w:r>
      <w:r>
        <w:t xml:space="preserve"> (R. Potschart, Trad.). Siglo XXI. (Obra original publicada en 1966).</w:t>
      </w:r>
    </w:p>
    <w:p>
      <w:pPr>
        <w:pStyle w:val="BodyJ"/>
        <w:keepNext w:val="false"/>
      </w:pPr>
      <w:r>
        <w:t xml:space="preserve">Carel, H., &amp; Kidd, I. J. (2014). Epistemic injustice in healthcare: A philosophical analysis. </w:t>
      </w:r>
      <w:r>
        <w:rPr>
          <w:i/>
          <w:iCs/>
        </w:rPr>
        <w:t xml:space="preserve">Medicine, Health Care and Philosophy, 17</w:t>
      </w:r>
      <w:r>
        <w:t xml:space="preserve">(4), 529–540.</w:t>
      </w:r>
    </w:p>
    <w:p>
      <w:pPr>
        <w:pStyle w:val="BodyJ"/>
        <w:keepNext w:val="false"/>
      </w:pPr>
      <w:r>
        <w:t xml:space="preserve">Cartwright, N., &amp; Hardie, J. (2012). </w:t>
      </w:r>
      <w:r>
        <w:rPr>
          <w:i/>
          <w:iCs/>
        </w:rPr>
        <w:t xml:space="preserve">Evidence-Based Policy: A Practical Guide to Doing It Better</w:t>
      </w:r>
      <w:r>
        <w:t xml:space="preserve">. Oxford University Press.</w:t>
      </w:r>
    </w:p>
    <w:p>
      <w:pPr>
        <w:pStyle w:val="BodyJ"/>
        <w:keepNext w:val="false"/>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keepNext w:val="false"/>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keepNext w:val="false"/>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keepNext w:val="false"/>
      </w:pPr>
      <w:r>
        <w:t xml:space="preserve">Charon, R. (2006). </w:t>
      </w:r>
      <w:r>
        <w:rPr>
          <w:i/>
          <w:iCs/>
        </w:rPr>
        <w:t xml:space="preserve">Narrative Medicine: Honoring the Stories of Illness</w:t>
      </w:r>
      <w:r>
        <w:t xml:space="preserve">. Oxford University Press.</w:t>
      </w:r>
    </w:p>
    <w:p>
      <w:pPr>
        <w:pStyle w:val="BodyJ"/>
        <w:keepNext w:val="false"/>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keepNext w:val="false"/>
      </w:pPr>
      <w:r>
        <w:t xml:space="preserve">Clifford, W. K. (1877). The ethics of belief. </w:t>
      </w:r>
      <w:r>
        <w:rPr>
          <w:i/>
          <w:iCs/>
        </w:rPr>
        <w:t xml:space="preserve">Contemporary Review, 29</w:t>
      </w:r>
      <w:r>
        <w:t xml:space="preserve">, 289–309.</w:t>
      </w:r>
    </w:p>
    <w:p>
      <w:pPr>
        <w:pStyle w:val="BodyJ"/>
        <w:keepNext w:val="false"/>
      </w:pPr>
      <w:r>
        <w:t xml:space="preserve">Coady, C. A. J. (1992). </w:t>
      </w:r>
      <w:r>
        <w:rPr>
          <w:i/>
          <w:iCs/>
        </w:rPr>
        <w:t xml:space="preserve">Testimony: A Philosophical Study</w:t>
      </w:r>
      <w:r>
        <w:t xml:space="preserve">. Clarendon Press.</w:t>
      </w:r>
    </w:p>
    <w:p>
      <w:pPr>
        <w:pStyle w:val="BodyJ"/>
        <w:keepNext w:val="false"/>
      </w:pPr>
      <w:r>
        <w:t xml:space="preserve">Croskerry, P. (2003). The importance of cognitive errors in diagnosis and strategies to minimize them. </w:t>
      </w:r>
      <w:r>
        <w:rPr>
          <w:i/>
          <w:iCs/>
        </w:rPr>
        <w:t xml:space="preserve">Academic Medicine, 78</w:t>
      </w:r>
      <w:r>
        <w:t xml:space="preserve">(8), 775–780.</w:t>
      </w:r>
    </w:p>
    <w:p>
      <w:pPr>
        <w:pStyle w:val="BodyJ"/>
        <w:keepNext w:val="false"/>
      </w:pPr>
      <w:r>
        <w:t xml:space="preserve">Croskerry, P. (2009). A universal model of diagnostic reasoning. </w:t>
      </w:r>
      <w:r>
        <w:rPr>
          <w:i/>
          <w:iCs/>
        </w:rPr>
        <w:t xml:space="preserve">Academic Medicine, 84</w:t>
      </w:r>
      <w:r>
        <w:t xml:space="preserve">(8), 1022–1028.</w:t>
      </w:r>
    </w:p>
    <w:p>
      <w:pPr>
        <w:pStyle w:val="BodyJ"/>
        <w:keepNext w:val="false"/>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keepNext w:val="false"/>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keepNext w:val="false"/>
      </w:pPr>
      <w:r>
        <w:t xml:space="preserve">Custers, E. J. F. M. (2015). Thirty years of illness scripts: Theoretical origins and practical applications. </w:t>
      </w:r>
      <w:r>
        <w:rPr>
          <w:i/>
          <w:iCs/>
        </w:rPr>
        <w:t xml:space="preserve">Medical Teacher, 37</w:t>
      </w:r>
      <w:r>
        <w:t xml:space="preserve">(5), 457–462.</w:t>
      </w:r>
    </w:p>
    <w:p>
      <w:pPr>
        <w:pStyle w:val="BodyJ"/>
        <w:keepNext w:val="false"/>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keepNext w:val="false"/>
      </w:pPr>
      <w:r>
        <w:t xml:space="preserve">Djulbegovic, B., &amp; Guyatt, G. H. (2017). Progress in evidence-based medicine: A quarter century on. </w:t>
      </w:r>
      <w:r>
        <w:rPr>
          <w:i/>
          <w:iCs/>
        </w:rPr>
        <w:t xml:space="preserve">The Lancet, 390</w:t>
      </w:r>
      <w:r>
        <w:t xml:space="preserve">(10092), 415–423.</w:t>
      </w:r>
    </w:p>
    <w:p>
      <w:pPr>
        <w:pStyle w:val="BodyJ"/>
        <w:keepNext w:val="false"/>
      </w:pPr>
      <w:r>
        <w:t xml:space="preserve">Douglas, H. (2000). Inductive risk and values in science. </w:t>
      </w:r>
      <w:r>
        <w:rPr>
          <w:i/>
          <w:iCs/>
        </w:rPr>
        <w:t xml:space="preserve">Philosophy of Science, 67</w:t>
      </w:r>
      <w:r>
        <w:t xml:space="preserve">(4), 559–579.</w:t>
      </w:r>
    </w:p>
    <w:p>
      <w:pPr>
        <w:pStyle w:val="BodyJ"/>
        <w:keepNext w:val="false"/>
      </w:pPr>
      <w:r>
        <w:t xml:space="preserve">Dunlosky, J., &amp; Metcalfe, J. (2009). </w:t>
      </w:r>
      <w:r>
        <w:rPr>
          <w:i/>
          <w:iCs/>
        </w:rPr>
        <w:t xml:space="preserve">Metacognition</w:t>
      </w:r>
      <w:r>
        <w:t xml:space="preserve">. SAGE.</w:t>
      </w:r>
    </w:p>
    <w:p>
      <w:pPr>
        <w:pStyle w:val="BodyJ"/>
        <w:keepNext w:val="false"/>
      </w:pPr>
      <w:r>
        <w:t xml:space="preserve">Elstein, A. S., Shulman, L. S., &amp; Sprafka, S. A. (1978). </w:t>
      </w:r>
      <w:r>
        <w:rPr>
          <w:i/>
          <w:iCs/>
        </w:rPr>
        <w:t xml:space="preserve">Medical Problem Solving: An Analysis of Clinical Reasoning</w:t>
      </w:r>
      <w:r>
        <w:t xml:space="preserve">. Harvard University Press.</w:t>
      </w:r>
    </w:p>
    <w:p>
      <w:pPr>
        <w:pStyle w:val="BodyJ"/>
        <w:keepNext w:val="false"/>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keepNext w:val="false"/>
      </w:pPr>
      <w:r>
        <w:t xml:space="preserve">Epstein, R. M. (1999). Mindful practice. </w:t>
      </w:r>
      <w:r>
        <w:rPr>
          <w:i/>
          <w:iCs/>
        </w:rPr>
        <w:t xml:space="preserve">JAMA, 282</w:t>
      </w:r>
      <w:r>
        <w:t xml:space="preserve">(9), 833–839.</w:t>
      </w:r>
    </w:p>
    <w:p>
      <w:pPr>
        <w:pStyle w:val="BodyJ"/>
        <w:keepNext w:val="false"/>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keepNext w:val="false"/>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keepNext w:val="false"/>
      </w:pPr>
      <w:r>
        <w:t xml:space="preserve">Eva, K. W. (2005). What every teacher needs to know about clinical reasoning. </w:t>
      </w:r>
      <w:r>
        <w:rPr>
          <w:i/>
          <w:iCs/>
        </w:rPr>
        <w:t xml:space="preserve">Medical Education, 39</w:t>
      </w:r>
      <w:r>
        <w:t xml:space="preserve">(1), 98–106.</w:t>
      </w:r>
    </w:p>
    <w:p>
      <w:pPr>
        <w:pStyle w:val="BodyJ"/>
        <w:keepNext w:val="false"/>
      </w:pPr>
      <w:r>
        <w:t xml:space="preserve">Eva, K. W., &amp; Regehr, G. (2005). Self-assessment in the health professions: A reformulation and research agenda. </w:t>
      </w:r>
      <w:r>
        <w:rPr>
          <w:i/>
          <w:iCs/>
        </w:rPr>
        <w:t xml:space="preserve">Academic Medicine, 80</w:t>
      </w:r>
      <w:r>
        <w:t xml:space="preserve">(10 Suppl), S46–S54.</w:t>
      </w:r>
    </w:p>
    <w:p>
      <w:pPr>
        <w:pStyle w:val="BodyJ"/>
        <w:keepNext w:val="false"/>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keepNext w:val="false"/>
      </w:pPr>
      <w:r>
        <w:t xml:space="preserve">Feinstein, A. R. (1967). </w:t>
      </w:r>
      <w:r>
        <w:rPr>
          <w:i/>
          <w:iCs/>
        </w:rPr>
        <w:t xml:space="preserve">Clinical Judgment</w:t>
      </w:r>
      <w:r>
        <w:t xml:space="preserve">. Williams &amp; Wilkins.</w:t>
      </w:r>
    </w:p>
    <w:p>
      <w:pPr>
        <w:pStyle w:val="BodyJ"/>
        <w:keepNext w:val="false"/>
      </w:pPr>
      <w:r>
        <w:t xml:space="preserve">Flavell, J. H. (1979). Metacognition and cognitive monitoring: A new area of cognitive-developmental inquiry. </w:t>
      </w:r>
      <w:r>
        <w:rPr>
          <w:i/>
          <w:iCs/>
        </w:rPr>
        <w:t xml:space="preserve">American Psychologist, 34</w:t>
      </w:r>
      <w:r>
        <w:t xml:space="preserve">(10), 906–911.</w:t>
      </w:r>
    </w:p>
    <w:p>
      <w:pPr>
        <w:pStyle w:val="BodyJ"/>
        <w:keepNext w:val="false"/>
      </w:pPr>
      <w:r>
        <w:t xml:space="preserve">Fleming, S. M. (2021). </w:t>
      </w:r>
      <w:r>
        <w:rPr>
          <w:i/>
          <w:iCs/>
        </w:rPr>
        <w:t xml:space="preserve">Know Thyself: The Science of Self-Awareness</w:t>
      </w:r>
      <w:r>
        <w:t xml:space="preserve">. Basic Books.</w:t>
      </w:r>
    </w:p>
    <w:p>
      <w:pPr>
        <w:pStyle w:val="BodyJ"/>
        <w:keepNext w:val="false"/>
      </w:pPr>
      <w:r>
        <w:t xml:space="preserve">Fleming, S. M., &amp; Dolan, R. J. (2012). The neural basis of metacognitive ability. </w:t>
      </w:r>
      <w:r>
        <w:rPr>
          <w:i/>
          <w:iCs/>
        </w:rPr>
        <w:t xml:space="preserve">Philosophical Transactions of the Royal Society B, 367</w:t>
      </w:r>
      <w:r>
        <w:t xml:space="preserve">(1594), 1338–1349.</w:t>
      </w:r>
    </w:p>
    <w:p>
      <w:pPr>
        <w:pStyle w:val="BodyJ"/>
        <w:keepNext w:val="false"/>
      </w:pPr>
      <w:r>
        <w:t xml:space="preserve">Fleming, S. M., &amp; Lau, H. C. (2014). How to measure metacognition. </w:t>
      </w:r>
      <w:r>
        <w:rPr>
          <w:i/>
          <w:iCs/>
        </w:rPr>
        <w:t xml:space="preserve">Frontiers in Human Neuroscience, 8</w:t>
      </w:r>
      <w:r>
        <w:t xml:space="preserve">, 443.</w:t>
      </w:r>
    </w:p>
    <w:p>
      <w:pPr>
        <w:pStyle w:val="BodyJ"/>
        <w:keepNext w:val="false"/>
      </w:pPr>
      <w:r>
        <w:t xml:space="preserve">Foucault, M. (1966). </w:t>
      </w:r>
      <w:r>
        <w:rPr>
          <w:i/>
          <w:iCs/>
        </w:rPr>
        <w:t xml:space="preserve">El nacimiento de la clínica: Una arqueología de la mirada médica</w:t>
      </w:r>
      <w:r>
        <w:t xml:space="preserve"> (F. Perujo, Trad.). Siglo XXI. (Obra original publicada en 1963).</w:t>
      </w:r>
    </w:p>
    <w:p>
      <w:pPr>
        <w:pStyle w:val="BodyJ"/>
        <w:keepNext w:val="false"/>
      </w:pPr>
      <w:r>
        <w:t xml:space="preserve">Fox, R. C. (1980). The evolution of medical uncertainty. </w:t>
      </w:r>
      <w:r>
        <w:rPr>
          <w:i/>
          <w:iCs/>
        </w:rPr>
        <w:t xml:space="preserve">Milbank Memorial Fund Quarterly: Health and Society, 58</w:t>
      </w:r>
      <w:r>
        <w:t xml:space="preserve">(1), 1–49.</w:t>
      </w:r>
    </w:p>
    <w:p>
      <w:pPr>
        <w:pStyle w:val="BodyJ"/>
        <w:keepNext w:val="false"/>
      </w:pPr>
      <w:r>
        <w:t xml:space="preserve">Fricker, M. (2007). </w:t>
      </w:r>
      <w:r>
        <w:rPr>
          <w:i/>
          <w:iCs/>
        </w:rPr>
        <w:t xml:space="preserve">Epistemic Injustice: Power and the Ethics of Knowing</w:t>
      </w:r>
      <w:r>
        <w:t xml:space="preserve">. Oxford University Press.</w:t>
      </w:r>
    </w:p>
    <w:p>
      <w:pPr>
        <w:pStyle w:val="BodyJ"/>
        <w:keepNext w:val="false"/>
      </w:pPr>
      <w:r>
        <w:t xml:space="preserve">Gadamer, H.-G. (1996). </w:t>
      </w:r>
      <w:r>
        <w:rPr>
          <w:i/>
          <w:iCs/>
        </w:rPr>
        <w:t xml:space="preserve">El estado oculto de la salud</w:t>
      </w:r>
      <w:r>
        <w:t xml:space="preserve"> (N. Machaín, Trad.). Gedisa.</w:t>
      </w:r>
    </w:p>
    <w:p>
      <w:pPr>
        <w:pStyle w:val="BodyJ"/>
        <w:keepNext w:val="false"/>
      </w:pPr>
      <w:r>
        <w:t xml:space="preserve">Gérvas, J., &amp; Pérez Fernández, M. (2013). </w:t>
      </w:r>
      <w:r>
        <w:rPr>
          <w:i/>
          <w:iCs/>
        </w:rPr>
        <w:t xml:space="preserve">Sano y salvo (y libre de intervenciones médicas innecesarias)</w:t>
      </w:r>
      <w:r>
        <w:t xml:space="preserve">. Los Libros del Lince.</w:t>
      </w:r>
    </w:p>
    <w:p>
      <w:pPr>
        <w:pStyle w:val="BodyJ"/>
        <w:keepNext w:val="false"/>
      </w:pPr>
      <w:r>
        <w:t xml:space="preserve">Gigerenzer, G., &amp; Gaissmaier, W. (2011). Heuristic decision making. </w:t>
      </w:r>
      <w:r>
        <w:rPr>
          <w:i/>
          <w:iCs/>
        </w:rPr>
        <w:t xml:space="preserve">Annual Review of Psychology, 62</w:t>
      </w:r>
      <w:r>
        <w:t xml:space="preserve">, 451–482.</w:t>
      </w:r>
    </w:p>
    <w:p>
      <w:pPr>
        <w:pStyle w:val="BodyJ"/>
        <w:keepNext w:val="false"/>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keepNext w:val="false"/>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keepNext w:val="false"/>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keepNext w:val="false"/>
      </w:pPr>
      <w:r>
        <w:t xml:space="preserve">Graber, M. L., Franklin, N., &amp; Gordon, R. (2005). Diagnostic error in internal medicine. </w:t>
      </w:r>
      <w:r>
        <w:rPr>
          <w:i/>
          <w:iCs/>
        </w:rPr>
        <w:t xml:space="preserve">Archives of Internal Medicine, 165</w:t>
      </w:r>
      <w:r>
        <w:t xml:space="preserve">(13), 1493–1499.</w:t>
      </w:r>
    </w:p>
    <w:p>
      <w:pPr>
        <w:pStyle w:val="BodyJ"/>
        <w:keepNext w:val="false"/>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keepNext w:val="false"/>
      </w:pPr>
      <w:r>
        <w:t xml:space="preserve">Gracia, D. (2001). La deliberación moral: El método de la ética clínica. </w:t>
      </w:r>
      <w:r>
        <w:rPr>
          <w:i/>
          <w:iCs/>
        </w:rPr>
        <w:t xml:space="preserve">Medicina Clínica, 117</w:t>
      </w:r>
      <w:r>
        <w:t xml:space="preserve">(1), 18–23.</w:t>
      </w:r>
    </w:p>
    <w:p>
      <w:pPr>
        <w:pStyle w:val="BodyJ"/>
        <w:keepNext w:val="false"/>
      </w:pPr>
      <w:r>
        <w:t xml:space="preserve">Greenhalgh, T., Howick, J., &amp; Maskrey, N. (2014). Evidence based medicine: A movement in crisis? </w:t>
      </w:r>
      <w:r>
        <w:rPr>
          <w:i/>
          <w:iCs/>
        </w:rPr>
        <w:t xml:space="preserve">BMJ, 348</w:t>
      </w:r>
      <w:r>
        <w:t xml:space="preserve">, g3725.</w:t>
      </w:r>
    </w:p>
    <w:p>
      <w:pPr>
        <w:pStyle w:val="BodyJ"/>
        <w:keepNext w:val="false"/>
      </w:pPr>
      <w:r>
        <w:t xml:space="preserve">Greenhalgh, T., &amp; Hurwitz, B. (Eds.). (1998). </w:t>
      </w:r>
      <w:r>
        <w:rPr>
          <w:i/>
          <w:iCs/>
        </w:rPr>
        <w:t xml:space="preserve">Narrative Based Medicine: Dialogue and Discourse in Clinical Practice</w:t>
      </w:r>
      <w:r>
        <w:t xml:space="preserve">. BMJ Books.</w:t>
      </w:r>
    </w:p>
    <w:p>
      <w:pPr>
        <w:pStyle w:val="BodyJ"/>
        <w:keepNext w:val="false"/>
      </w:pPr>
      <w:r>
        <w:t xml:space="preserve">Groopman, J. (2007). </w:t>
      </w:r>
      <w:r>
        <w:rPr>
          <w:i/>
          <w:iCs/>
        </w:rPr>
        <w:t xml:space="preserve">How Doctors Think</w:t>
      </w:r>
      <w:r>
        <w:t xml:space="preserve">. Houghton Mifflin.</w:t>
      </w:r>
    </w:p>
    <w:p>
      <w:pPr>
        <w:pStyle w:val="BodyJ"/>
        <w:keepNext w:val="false"/>
      </w:pPr>
      <w:r>
        <w:t xml:space="preserve">Han, P. K. J., Klein, W. M. P., &amp; Arora, N. K. (2011). Varieties of uncertainty in health care: A conceptual taxonomy. </w:t>
      </w:r>
      <w:r>
        <w:rPr>
          <w:i/>
          <w:iCs/>
        </w:rPr>
        <w:t xml:space="preserve">Medical Decision Making, 31</w:t>
      </w:r>
      <w:r>
        <w:t xml:space="preserve">(6), 828–838.</w:t>
      </w:r>
    </w:p>
    <w:p>
      <w:pPr>
        <w:pStyle w:val="BodyJ"/>
        <w:keepNext w:val="false"/>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keepNext w:val="false"/>
      </w:pPr>
      <w:r>
        <w:t xml:space="preserve">Hernán, M. A., &amp; Robins, J. M. (2020). </w:t>
      </w:r>
      <w:r>
        <w:rPr>
          <w:i/>
          <w:iCs/>
        </w:rPr>
        <w:t xml:space="preserve">Causal Inference: What If</w:t>
      </w:r>
      <w:r>
        <w:t xml:space="preserve">. Chapman &amp; Hall/CRC.</w:t>
      </w:r>
    </w:p>
    <w:p>
      <w:pPr>
        <w:pStyle w:val="BodyJ"/>
        <w:keepNext w:val="false"/>
      </w:pPr>
      <w:r>
        <w:t xml:space="preserve">Hernández, G., Bellomo, R., &amp; Bakker, J. (2019). The ten pitfalls of lactate clearance in sepsis. </w:t>
      </w:r>
      <w:r>
        <w:rPr>
          <w:i/>
          <w:iCs/>
        </w:rPr>
        <w:t xml:space="preserve">Intensive Care Medicine, 45</w:t>
      </w:r>
      <w:r>
        <w:t xml:space="preserve">(1), 82–85.</w:t>
      </w:r>
    </w:p>
    <w:p>
      <w:pPr>
        <w:pStyle w:val="BodyJ"/>
        <w:keepNext w:val="false"/>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keepNext w:val="false"/>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keepNext w:val="false"/>
      </w:pPr>
      <w:r>
        <w:t xml:space="preserve">Hoffrage, U., &amp; Gigerenzer, G. (1998). Using natural frequencies to improve diagnostic inferences. </w:t>
      </w:r>
      <w:r>
        <w:rPr>
          <w:i/>
          <w:iCs/>
        </w:rPr>
        <w:t xml:space="preserve">Academic Medicine, 73</w:t>
      </w:r>
      <w:r>
        <w:t xml:space="preserve">(5), 538–540.</w:t>
      </w:r>
    </w:p>
    <w:p>
      <w:pPr>
        <w:pStyle w:val="BodyJ"/>
        <w:keepNext w:val="false"/>
      </w:pPr>
      <w:r>
        <w:t xml:space="preserve">Huidobro, V. (1916). </w:t>
      </w:r>
      <w:r>
        <w:rPr>
          <w:i/>
          <w:iCs/>
        </w:rPr>
        <w:t xml:space="preserve">El espejo de agua</w:t>
      </w:r>
      <w:r>
        <w:t xml:space="preserve">. Orión.</w:t>
      </w:r>
    </w:p>
    <w:p>
      <w:pPr>
        <w:pStyle w:val="BodyJ"/>
        <w:keepNext w:val="false"/>
      </w:pPr>
      <w:r>
        <w:t xml:space="preserve">Hunter, K. M. (1991). </w:t>
      </w:r>
      <w:r>
        <w:rPr>
          <w:i/>
          <w:iCs/>
        </w:rPr>
        <w:t xml:space="preserve">Doctors' Stories: The Narrative Structure of Medical Knowledge</w:t>
      </w:r>
      <w:r>
        <w:t xml:space="preserve">. Princeton University Press.</w:t>
      </w:r>
    </w:p>
    <w:p>
      <w:pPr>
        <w:pStyle w:val="BodyJ"/>
        <w:keepNext w:val="false"/>
      </w:pPr>
      <w:r>
        <w:t xml:space="preserve">Hutchins, E. (1995). </w:t>
      </w:r>
      <w:r>
        <w:rPr>
          <w:i/>
          <w:iCs/>
        </w:rPr>
        <w:t xml:space="preserve">Cognition in the Wild</w:t>
      </w:r>
      <w:r>
        <w:t xml:space="preserve">. MIT Press.</w:t>
      </w:r>
    </w:p>
    <w:p>
      <w:pPr>
        <w:pStyle w:val="BodyJ"/>
        <w:keepNext w:val="false"/>
      </w:pPr>
      <w:r>
        <w:t xml:space="preserve">Hyland, K. (1998). </w:t>
      </w:r>
      <w:r>
        <w:rPr>
          <w:i/>
          <w:iCs/>
        </w:rPr>
        <w:t xml:space="preserve">Hedging in Scientific Research Articles</w:t>
      </w:r>
      <w:r>
        <w:t xml:space="preserve">. John Benjamins.</w:t>
      </w:r>
    </w:p>
    <w:p>
      <w:pPr>
        <w:pStyle w:val="BodyJ"/>
        <w:keepNext w:val="false"/>
      </w:pPr>
      <w:r>
        <w:t xml:space="preserve">Ji, Z., Lee, N., Frieske, R., Yu, T., Su, D., Xu, Y., et al. (2023). Survey of hallucination in natural language generation. </w:t>
      </w:r>
      <w:r>
        <w:rPr>
          <w:i/>
          <w:iCs/>
        </w:rPr>
        <w:t xml:space="preserve">ACM Computing Surveys, 55</w:t>
      </w:r>
      <w:r>
        <w:t xml:space="preserve">(12), Article 248.</w:t>
      </w:r>
    </w:p>
    <w:p>
      <w:pPr>
        <w:pStyle w:val="BodyJ"/>
        <w:keepNext w:val="false"/>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keepNext w:val="false"/>
      </w:pPr>
      <w:r>
        <w:t xml:space="preserve">Jonsen, A. R., &amp; Toulmin, S. (1988). </w:t>
      </w:r>
      <w:r>
        <w:rPr>
          <w:i/>
          <w:iCs/>
        </w:rPr>
        <w:t xml:space="preserve">The Abuse of Casuistry: A History of Moral Reasoning</w:t>
      </w:r>
      <w:r>
        <w:t xml:space="preserve">. University of California Press.</w:t>
      </w:r>
    </w:p>
    <w:p>
      <w:pPr>
        <w:pStyle w:val="BodyJ"/>
        <w:keepNext w:val="false"/>
      </w:pPr>
      <w:r>
        <w:t xml:space="preserve">Kadavath, S., Conerly, T., Askell, A., Henighan, T., Drain, D., Perez, E., et al. (2022). Language models (mostly) know what they know. </w:t>
      </w:r>
      <w:r>
        <w:rPr>
          <w:i/>
          <w:iCs/>
        </w:rPr>
        <w:t xml:space="preserve">arXiv preprint</w:t>
      </w:r>
      <w:r>
        <w:t xml:space="preserve">, arXiv:2207.05221.</w:t>
      </w:r>
    </w:p>
    <w:p>
      <w:pPr>
        <w:pStyle w:val="BodyJ"/>
        <w:keepNext w:val="false"/>
      </w:pPr>
      <w:r>
        <w:t xml:space="preserve">Kahneman, D. (2011). </w:t>
      </w:r>
      <w:r>
        <w:rPr>
          <w:i/>
          <w:iCs/>
        </w:rPr>
        <w:t xml:space="preserve">Thinking, Fast and Slow</w:t>
      </w:r>
      <w:r>
        <w:t xml:space="preserve">. Farrar, Straus and Giroux.</w:t>
      </w:r>
    </w:p>
    <w:p>
      <w:pPr>
        <w:pStyle w:val="BodyJ"/>
        <w:keepNext w:val="false"/>
      </w:pPr>
      <w:r>
        <w:t xml:space="preserve">Kahneman, D., &amp; Klein, G. (2009). Conditions for intuitive expertise: A failure to disagree. </w:t>
      </w:r>
      <w:r>
        <w:rPr>
          <w:i/>
          <w:iCs/>
        </w:rPr>
        <w:t xml:space="preserve">American Psychologist, 64</w:t>
      </w:r>
      <w:r>
        <w:t xml:space="preserve">(6), 515–526.</w:t>
      </w:r>
    </w:p>
    <w:p>
      <w:pPr>
        <w:pStyle w:val="BodyJ"/>
        <w:keepNext w:val="false"/>
      </w:pPr>
      <w:r>
        <w:t xml:space="preserve">Kassirer, J. P. (1989). Our stubborn quest for diagnostic certainty. </w:t>
      </w:r>
      <w:r>
        <w:rPr>
          <w:i/>
          <w:iCs/>
        </w:rPr>
        <w:t xml:space="preserve">New England Journal of Medicine, 320</w:t>
      </w:r>
      <w:r>
        <w:t xml:space="preserve">(22), 1489–1491.</w:t>
      </w:r>
    </w:p>
    <w:p>
      <w:pPr>
        <w:pStyle w:val="BodyJ"/>
        <w:keepNext w:val="false"/>
      </w:pPr>
      <w:r>
        <w:t xml:space="preserve">Kidd, I. J., &amp; Carel, H. (2017). Epistemic injustice and illness. </w:t>
      </w:r>
      <w:r>
        <w:rPr>
          <w:i/>
          <w:iCs/>
        </w:rPr>
        <w:t xml:space="preserve">Journal of Applied Philosophy, 34</w:t>
      </w:r>
      <w:r>
        <w:t xml:space="preserve">(2), 172–190.</w:t>
      </w:r>
    </w:p>
    <w:p>
      <w:pPr>
        <w:pStyle w:val="BodyJ"/>
        <w:keepNext w:val="false"/>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keepNext w:val="false"/>
      </w:pPr>
      <w:r>
        <w:t xml:space="preserve">Knight, F. H. (1921). </w:t>
      </w:r>
      <w:r>
        <w:rPr>
          <w:i/>
          <w:iCs/>
        </w:rPr>
        <w:t xml:space="preserve">Risk, Uncertainty and Profit</w:t>
      </w:r>
      <w:r>
        <w:t xml:space="preserve">. Houghton Mifflin.</w:t>
      </w:r>
    </w:p>
    <w:p>
      <w:pPr>
        <w:pStyle w:val="BodyJ"/>
        <w:keepNext w:val="false"/>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keepNext w:val="false"/>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keepNext w:val="false"/>
      </w:pPr>
      <w:r>
        <w:t xml:space="preserve">Lackey, J. (2008). </w:t>
      </w:r>
      <w:r>
        <w:rPr>
          <w:i/>
          <w:iCs/>
        </w:rPr>
        <w:t xml:space="preserve">Learning from Words: Testimony as a Source of Knowledge</w:t>
      </w:r>
      <w:r>
        <w:t xml:space="preserve">. Oxford University Press.</w:t>
      </w:r>
    </w:p>
    <w:p>
      <w:pPr>
        <w:pStyle w:val="BodyJ"/>
        <w:keepNext w:val="false"/>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keepNext w:val="false"/>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keepNext w:val="false"/>
      </w:pPr>
      <w:r>
        <w:t xml:space="preserve">Lee, P., Bubeck, S., &amp; Petro, J. (2023). Benefits, limits, and risks of GPT-4 as an AI chatbot for medicine. </w:t>
      </w:r>
      <w:r>
        <w:rPr>
          <w:i/>
          <w:iCs/>
        </w:rPr>
        <w:t xml:space="preserve">New England Journal of Medicine, 388</w:t>
      </w:r>
      <w:r>
        <w:t xml:space="preserve">, 1233–1239.</w:t>
      </w:r>
    </w:p>
    <w:p>
      <w:pPr>
        <w:pStyle w:val="BodyJ"/>
        <w:keepNext w:val="false"/>
      </w:pPr>
      <w:r>
        <w:t xml:space="preserve">Lifshitz, A. (2014). </w:t>
      </w:r>
      <w:r>
        <w:rPr>
          <w:i/>
          <w:iCs/>
        </w:rPr>
        <w:t xml:space="preserve">La nueva clínica</w:t>
      </w:r>
      <w:r>
        <w:t xml:space="preserve">. Academia Nacional de Medicina de México.</w:t>
      </w:r>
    </w:p>
    <w:p>
      <w:pPr>
        <w:pStyle w:val="BodyJ"/>
        <w:keepNext w:val="false"/>
      </w:pPr>
      <w:r>
        <w:t xml:space="preserve">Limb, C. J., &amp; Braun, A. R. (2008). Neural substrates of spontaneous musical performance: An fMRI study of jazz improvisation. </w:t>
      </w:r>
      <w:r>
        <w:rPr>
          <w:i/>
          <w:iCs/>
        </w:rPr>
        <w:t xml:space="preserve">PLoS ONE, 3</w:t>
      </w:r>
      <w:r>
        <w:t xml:space="preserve">(2), e1679.</w:t>
      </w:r>
    </w:p>
    <w:p>
      <w:pPr>
        <w:pStyle w:val="BodyJ"/>
        <w:keepNext w:val="false"/>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keepNext w:val="false"/>
      </w:pPr>
      <w:r>
        <w:t xml:space="preserve">Mamede, S., Schmidt, H. G., &amp; Penaforte, J. C. (2008). Effects of reflective practice on the accuracy of medical diagnoses. </w:t>
      </w:r>
      <w:r>
        <w:rPr>
          <w:i/>
          <w:iCs/>
        </w:rPr>
        <w:t xml:space="preserve">Medical Education, 42</w:t>
      </w:r>
      <w:r>
        <w:t xml:space="preserve">(5), 468–475.</w:t>
      </w:r>
    </w:p>
    <w:p>
      <w:pPr>
        <w:pStyle w:val="BodyJ"/>
        <w:keepNext w:val="false"/>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keepNext w:val="false"/>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keepNext w:val="false"/>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keepNext w:val="false"/>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keepNext w:val="false"/>
      </w:pPr>
      <w:r>
        <w:t xml:space="preserve">Maturana, H. (1990). </w:t>
      </w:r>
      <w:r>
        <w:rPr>
          <w:i/>
          <w:iCs/>
        </w:rPr>
        <w:t xml:space="preserve">Emociones y lenguaje en educación y política</w:t>
      </w:r>
      <w:r>
        <w:t xml:space="preserve">. Hachette / CED.</w:t>
      </w:r>
    </w:p>
    <w:p>
      <w:pPr>
        <w:pStyle w:val="BodyJ"/>
        <w:keepNext w:val="false"/>
      </w:pPr>
      <w:r>
        <w:t xml:space="preserve">Maturana, H., &amp; Varela, F. (1984). </w:t>
      </w:r>
      <w:r>
        <w:rPr>
          <w:i/>
          <w:iCs/>
        </w:rPr>
        <w:t xml:space="preserve">El árbol del conocimiento: Las bases biológicas del entendimiento humano</w:t>
      </w:r>
      <w:r>
        <w:t xml:space="preserve">. Editorial Universitaria.</w:t>
      </w:r>
    </w:p>
    <w:p>
      <w:pPr>
        <w:pStyle w:val="BodyJ"/>
        <w:keepNext w:val="false"/>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keepNext w:val="false"/>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keepNext w:val="false"/>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keepNext w:val="false"/>
      </w:pPr>
      <w:r>
        <w:t xml:space="preserve">Monteiro, S., &amp; Norman, G. (2013). Diagnostic reasoning: Where we've been, where we're going. </w:t>
      </w:r>
      <w:r>
        <w:rPr>
          <w:i/>
          <w:iCs/>
        </w:rPr>
        <w:t xml:space="preserve">Teaching and Learning in Medicine, 25</w:t>
      </w:r>
      <w:r>
        <w:t xml:space="preserve">(Suppl 1), S26–S32.</w:t>
      </w:r>
    </w:p>
    <w:p>
      <w:pPr>
        <w:pStyle w:val="BodyJ"/>
        <w:keepNext w:val="false"/>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keepNext w:val="false"/>
      </w:pPr>
      <w:r>
        <w:t xml:space="preserve">Montgomery, K. (2006). </w:t>
      </w:r>
      <w:r>
        <w:rPr>
          <w:i/>
          <w:iCs/>
        </w:rPr>
        <w:t xml:space="preserve">How Doctors Think: Clinical Judgment and the Practice of Medicine</w:t>
      </w:r>
      <w:r>
        <w:t xml:space="preserve">. Oxford University Press.</w:t>
      </w:r>
    </w:p>
    <w:p>
      <w:pPr>
        <w:pStyle w:val="BodyJ"/>
        <w:keepNext w:val="false"/>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keepNext w:val="false"/>
      </w:pPr>
      <w:r>
        <w:t xml:space="preserve">National Academies of Sciences, Engineering, and Medicine. (2015). </w:t>
      </w:r>
      <w:r>
        <w:rPr>
          <w:i/>
          <w:iCs/>
        </w:rPr>
        <w:t xml:space="preserve">Improving Diagnosis in Health Care</w:t>
      </w:r>
      <w:r>
        <w:t xml:space="preserve">. The National Academies Press.</w:t>
      </w:r>
    </w:p>
    <w:p>
      <w:pPr>
        <w:pStyle w:val="BodyJ"/>
        <w:keepNext w:val="false"/>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keepNext w:val="false"/>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keepNext w:val="false"/>
      </w:pPr>
      <w:r>
        <w:t xml:space="preserve">Norman, G. (2005). Research in clinical reasoning: Past history and current trends. </w:t>
      </w:r>
      <w:r>
        <w:rPr>
          <w:i/>
          <w:iCs/>
        </w:rPr>
        <w:t xml:space="preserve">Medical Education, 39</w:t>
      </w:r>
      <w:r>
        <w:t xml:space="preserve">(4), 418–427.</w:t>
      </w:r>
    </w:p>
    <w:p>
      <w:pPr>
        <w:pStyle w:val="BodyJ"/>
        <w:keepNext w:val="false"/>
      </w:pPr>
      <w:r>
        <w:t xml:space="preserve">Norman, G. (2009). Dual processing and diagnostic errors. </w:t>
      </w:r>
      <w:r>
        <w:rPr>
          <w:i/>
          <w:iCs/>
        </w:rPr>
        <w:t xml:space="preserve">Advances in Health Sciences Education, 14</w:t>
      </w:r>
      <w:r>
        <w:t xml:space="preserve">(Suppl 1), 37–49.</w:t>
      </w:r>
    </w:p>
    <w:p>
      <w:pPr>
        <w:pStyle w:val="BodyJ"/>
        <w:keepNext w:val="false"/>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keepNext w:val="false"/>
      </w:pPr>
      <w:r>
        <w:t xml:space="preserve">Novoa Jurado, A. J. (2025). Terapia epistémica del conocimiento clínico. </w:t>
      </w:r>
      <w:r>
        <w:rPr>
          <w:i/>
          <w:iCs/>
        </w:rPr>
        <w:t xml:space="preserve">Revista Clínica de Medicina de Familia, 18</w:t>
      </w:r>
      <w:r>
        <w:t xml:space="preserve">(3), 274–282.</w:t>
      </w:r>
    </w:p>
    <w:p>
      <w:pPr>
        <w:pStyle w:val="BodyJ"/>
        <w:keepNext w:val="false"/>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keepNext w:val="false"/>
      </w:pPr>
      <w:r>
        <w:t xml:space="preserve">Parra, N. (1954). </w:t>
      </w:r>
      <w:r>
        <w:rPr>
          <w:i/>
          <w:iCs/>
        </w:rPr>
        <w:t xml:space="preserve">Poemas y antipoemas</w:t>
      </w:r>
      <w:r>
        <w:t xml:space="preserve">. Nascimento.</w:t>
      </w:r>
    </w:p>
    <w:p>
      <w:pPr>
        <w:pStyle w:val="BodyJ"/>
        <w:keepNext w:val="false"/>
      </w:pPr>
      <w:r>
        <w:t xml:space="preserve">Parra, N. (1969). </w:t>
      </w:r>
      <w:r>
        <w:rPr>
          <w:i/>
          <w:iCs/>
        </w:rPr>
        <w:t xml:space="preserve">Obra gruesa</w:t>
      </w:r>
      <w:r>
        <w:t xml:space="preserve">. Editorial Universitaria.</w:t>
      </w:r>
    </w:p>
    <w:p>
      <w:pPr>
        <w:pStyle w:val="BodyJ"/>
        <w:keepNext w:val="false"/>
      </w:pPr>
      <w:r>
        <w:t xml:space="preserve">Pauker, S. G., &amp; Kassirer, J. P. (1980). The threshold approach to clinical decision making. </w:t>
      </w:r>
      <w:r>
        <w:rPr>
          <w:i/>
          <w:iCs/>
        </w:rPr>
        <w:t xml:space="preserve">New England Journal of Medicine, 302</w:t>
      </w:r>
      <w:r>
        <w:t xml:space="preserve">(20), 1109–1117.</w:t>
      </w:r>
    </w:p>
    <w:p>
      <w:pPr>
        <w:pStyle w:val="BodyJ"/>
        <w:keepNext w:val="false"/>
      </w:pPr>
      <w:r>
        <w:t xml:space="preserve">Pearl, J., &amp; Mackenzie, D. (2018). </w:t>
      </w:r>
      <w:r>
        <w:rPr>
          <w:i/>
          <w:iCs/>
        </w:rPr>
        <w:t xml:space="preserve">The Book of Why: The New Science of Cause and Effect</w:t>
      </w:r>
      <w:r>
        <w:t xml:space="preserve">. Basic Books.</w:t>
      </w:r>
    </w:p>
    <w:p>
      <w:pPr>
        <w:pStyle w:val="BodyJ"/>
        <w:keepNext w:val="false"/>
      </w:pPr>
      <w:r>
        <w:t xml:space="preserve">Peirce, C. S. (1878). Deduction, induction, and hypothesis. </w:t>
      </w:r>
      <w:r>
        <w:rPr>
          <w:i/>
          <w:iCs/>
        </w:rPr>
        <w:t xml:space="preserve">Popular Science Monthly, 13</w:t>
      </w:r>
      <w:r>
        <w:t xml:space="preserve">, 470–482.</w:t>
      </w:r>
    </w:p>
    <w:p>
      <w:pPr>
        <w:pStyle w:val="BodyJ"/>
        <w:keepNext w:val="false"/>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keepNext w:val="false"/>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keepNext w:val="false"/>
      </w:pPr>
      <w:r>
        <w:t xml:space="preserve">Pepys, M. B., &amp; Hirschfield, G. M. (2003). C-reactive protein: A critical update. </w:t>
      </w:r>
      <w:r>
        <w:rPr>
          <w:i/>
          <w:iCs/>
        </w:rPr>
        <w:t xml:space="preserve">Journal of Clinical Investigation, 111</w:t>
      </w:r>
      <w:r>
        <w:t xml:space="preserve">(12), 1805–1812.</w:t>
      </w:r>
    </w:p>
    <w:p>
      <w:pPr>
        <w:pStyle w:val="BodyJ"/>
        <w:keepNext w:val="false"/>
      </w:pPr>
      <w:r>
        <w:t xml:space="preserve">Philibert, I. (2005). Sleep loss and performance in residents and nonphysicians: A meta-analytic examination. </w:t>
      </w:r>
      <w:r>
        <w:rPr>
          <w:i/>
          <w:iCs/>
        </w:rPr>
        <w:t xml:space="preserve">Sleep, 28</w:t>
      </w:r>
      <w:r>
        <w:t xml:space="preserve">(11), 1392–1402.</w:t>
      </w:r>
    </w:p>
    <w:p>
      <w:pPr>
        <w:pStyle w:val="BodyJ"/>
        <w:keepNext w:val="false"/>
      </w:pPr>
      <w:r>
        <w:t xml:space="preserve">Polanyi, M. (1966). </w:t>
      </w:r>
      <w:r>
        <w:rPr>
          <w:i/>
          <w:iCs/>
        </w:rPr>
        <w:t xml:space="preserve">The Tacit Dimension</w:t>
      </w:r>
      <w:r>
        <w:t xml:space="preserve">. University of Chicago Press.</w:t>
      </w:r>
    </w:p>
    <w:p>
      <w:pPr>
        <w:pStyle w:val="BodyJ"/>
        <w:keepNext w:val="false"/>
      </w:pPr>
      <w:r>
        <w:t xml:space="preserve">Popper, K. R. (1959). </w:t>
      </w:r>
      <w:r>
        <w:rPr>
          <w:i/>
          <w:iCs/>
        </w:rPr>
        <w:t xml:space="preserve">The Logic of Scientific Discovery</w:t>
      </w:r>
      <w:r>
        <w:t xml:space="preserve">. Hutchinson.</w:t>
      </w:r>
    </w:p>
    <w:p>
      <w:pPr>
        <w:pStyle w:val="BodyJ"/>
        <w:keepNext w:val="false"/>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keepNext w:val="false"/>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keepNext w:val="false"/>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keepNext w:val="false"/>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keepNext w:val="false"/>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keepNext w:val="false"/>
      </w:pPr>
      <w:r>
        <w:t xml:space="preserve">Rudner, R. (1953). The scientist qua scientist makes value judgments. </w:t>
      </w:r>
      <w:r>
        <w:rPr>
          <w:i/>
          <w:iCs/>
        </w:rPr>
        <w:t xml:space="preserve">Philosophy of Science, 20</w:t>
      </w:r>
      <w:r>
        <w:t xml:space="preserve">(1), 1–6.</w:t>
      </w:r>
    </w:p>
    <w:p>
      <w:pPr>
        <w:pStyle w:val="BodyJ"/>
        <w:keepNext w:val="false"/>
      </w:pPr>
      <w:r>
        <w:t xml:space="preserve">Sackett, D. L., Rosenberg, W. M. C., Gray, J. A. M., Haynes, R. B., &amp; Richardson, W. S. (1996). Evidence based medicine: What it is and what it isn't. </w:t>
      </w:r>
      <w:r>
        <w:rPr>
          <w:i/>
          <w:iCs/>
        </w:rPr>
        <w:t xml:space="preserve">BMJ, 312</w:t>
      </w:r>
      <w:r>
        <w:t xml:space="preserve">, 71–72.</w:t>
      </w:r>
    </w:p>
    <w:p>
      <w:pPr>
        <w:pStyle w:val="BodyJ"/>
        <w:keepNext w:val="false"/>
      </w:pPr>
      <w:r>
        <w:t xml:space="preserve">Salager-Meyer, F. (1994). Hedges and textual communicative function in medical English written discourse. </w:t>
      </w:r>
      <w:r>
        <w:rPr>
          <w:i/>
          <w:iCs/>
        </w:rPr>
        <w:t xml:space="preserve">English for Specific Purposes, 13</w:t>
      </w:r>
      <w:r>
        <w:t xml:space="preserve">(2), 149–170.</w:t>
      </w:r>
    </w:p>
    <w:p>
      <w:pPr>
        <w:pStyle w:val="BodyJ"/>
        <w:keepNext w:val="false"/>
      </w:pPr>
      <w:r>
        <w:t xml:space="preserve">Sandars, J. (2009). The use of reflection in medical education: AMEE Guide No. 44. </w:t>
      </w:r>
      <w:r>
        <w:rPr>
          <w:i/>
          <w:iCs/>
        </w:rPr>
        <w:t xml:space="preserve">Medical Teacher, 31</w:t>
      </w:r>
      <w:r>
        <w:t xml:space="preserve">(8), 685–695.</w:t>
      </w:r>
    </w:p>
    <w:p>
      <w:pPr>
        <w:pStyle w:val="BodyJ"/>
        <w:keepNext w:val="false"/>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keepNext w:val="false"/>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keepNext w:val="false"/>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keepNext w:val="false"/>
      </w:pPr>
      <w:r>
        <w:t xml:space="preserve">Schön, D. A. (1983). </w:t>
      </w:r>
      <w:r>
        <w:rPr>
          <w:i/>
          <w:iCs/>
        </w:rPr>
        <w:t xml:space="preserve">The Reflective Practitioner: How Professionals Think in Action</w:t>
      </w:r>
      <w:r>
        <w:t xml:space="preserve">. Basic Books.</w:t>
      </w:r>
    </w:p>
    <w:p>
      <w:pPr>
        <w:pStyle w:val="BodyJ"/>
        <w:keepNext w:val="false"/>
      </w:pPr>
      <w:r>
        <w:t xml:space="preserve">Simpkin, A. L., &amp; Schwartzstein, R. M. (2016). Tolerating uncertainty — The next medical revolution? </w:t>
      </w:r>
      <w:r>
        <w:rPr>
          <w:i/>
          <w:iCs/>
        </w:rPr>
        <w:t xml:space="preserve">New England Journal of Medicine, 375</w:t>
      </w:r>
      <w:r>
        <w:t xml:space="preserve">, 1713–1715.</w:t>
      </w:r>
    </w:p>
    <w:p>
      <w:pPr>
        <w:pStyle w:val="BodyJ"/>
        <w:keepNext w:val="false"/>
      </w:pPr>
      <w:r>
        <w:t xml:space="preserve">Singhal, K., Azizi, S., Tu, T., Mahdavi, S. S., Wei, J., Chung, H. W., et al. (2023). Large language models encode clinical knowledge. </w:t>
      </w:r>
      <w:r>
        <w:rPr>
          <w:i/>
          <w:iCs/>
        </w:rPr>
        <w:t xml:space="preserve">Nature, 620</w:t>
      </w:r>
      <w:r>
        <w:t xml:space="preserve">, 172–180.</w:t>
      </w:r>
    </w:p>
    <w:p>
      <w:pPr>
        <w:pStyle w:val="BodyJ"/>
        <w:keepNext w:val="false"/>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keepNext w:val="false"/>
      </w:pPr>
      <w:r>
        <w:t xml:space="preserve">Taboada, P. (2000). El derecho a morir con dignidad. </w:t>
      </w:r>
      <w:r>
        <w:rPr>
          <w:i/>
          <w:iCs/>
        </w:rPr>
        <w:t xml:space="preserve">Acta Bioethica, 6</w:t>
      </w:r>
      <w:r>
        <w:t xml:space="preserve">(1), 89–101.</w:t>
      </w:r>
    </w:p>
    <w:p>
      <w:pPr>
        <w:pStyle w:val="BodyJ"/>
        <w:keepNext w:val="false"/>
      </w:pPr>
      <w:r>
        <w:t xml:space="preserve">Tajer, C. (2008). </w:t>
      </w:r>
      <w:r>
        <w:rPr>
          <w:i/>
          <w:iCs/>
        </w:rPr>
        <w:t xml:space="preserve">El corazón enfermo: Puentes entre las emociones y el infarto</w:t>
      </w:r>
      <w:r>
        <w:t xml:space="preserve">. Libros del Zorzal.</w:t>
      </w:r>
    </w:p>
    <w:p>
      <w:pPr>
        <w:pStyle w:val="BodyJ"/>
        <w:keepNext w:val="false"/>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keepNext w:val="false"/>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keepNext w:val="false"/>
      </w:pPr>
      <w:r>
        <w:t xml:space="preserve">Tonelli, M. R. (1998). The philosophical limits of evidence-based medicine. </w:t>
      </w:r>
      <w:r>
        <w:rPr>
          <w:i/>
          <w:iCs/>
        </w:rPr>
        <w:t xml:space="preserve">Academic Medicine, 73</w:t>
      </w:r>
      <w:r>
        <w:t xml:space="preserve">(12), 1234–1240.</w:t>
      </w:r>
    </w:p>
    <w:p>
      <w:pPr>
        <w:pStyle w:val="BodyJ"/>
        <w:keepNext w:val="false"/>
      </w:pPr>
      <w:r>
        <w:t xml:space="preserve">Toulmin, S. (1958). </w:t>
      </w:r>
      <w:r>
        <w:rPr>
          <w:i/>
          <w:iCs/>
        </w:rPr>
        <w:t xml:space="preserve">The Uses of Argument</w:t>
      </w:r>
      <w:r>
        <w:t xml:space="preserve">. Cambridge University Press.</w:t>
      </w:r>
    </w:p>
    <w:p>
      <w:pPr>
        <w:pStyle w:val="BodyJ"/>
        <w:keepNext w:val="false"/>
      </w:pPr>
      <w:r>
        <w:t xml:space="preserve">Tversky, A., &amp; Kahneman, D. (1974). Judgment under uncertainty: Heuristics and biases. </w:t>
      </w:r>
      <w:r>
        <w:rPr>
          <w:i/>
          <w:iCs/>
        </w:rPr>
        <w:t xml:space="preserve">Science, 185</w:t>
      </w:r>
      <w:r>
        <w:t xml:space="preserve">(4157), 1124–1131.</w:t>
      </w:r>
    </w:p>
    <w:p>
      <w:pPr>
        <w:pStyle w:val="BodyJ"/>
        <w:keepNext w:val="false"/>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keepNext w:val="false"/>
      </w:pPr>
      <w:r>
        <w:t xml:space="preserve">Varela, F. J. (1996). </w:t>
      </w:r>
      <w:r>
        <w:rPr>
          <w:i/>
          <w:iCs/>
        </w:rPr>
        <w:t xml:space="preserve">Ética y acción</w:t>
      </w:r>
      <w:r>
        <w:t xml:space="preserve">. Dolmen.</w:t>
      </w:r>
    </w:p>
    <w:p>
      <w:pPr>
        <w:pStyle w:val="BodyJ"/>
        <w:keepNext w:val="false"/>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keepNext w:val="false"/>
      </w:pPr>
      <w:r>
        <w:t xml:space="preserve">Weed, L. L. (1968a). Medical records that guide and teach. </w:t>
      </w:r>
      <w:r>
        <w:rPr>
          <w:i/>
          <w:iCs/>
        </w:rPr>
        <w:t xml:space="preserve">New England Journal of Medicine, 278</w:t>
      </w:r>
      <w:r>
        <w:t xml:space="preserve">(11), 593–600.</w:t>
      </w:r>
    </w:p>
    <w:p>
      <w:pPr>
        <w:pStyle w:val="BodyJ"/>
        <w:keepNext w:val="false"/>
      </w:pPr>
      <w:r>
        <w:t xml:space="preserve">Weed, L. L. (1968b). Medical records that guide and teach. </w:t>
      </w:r>
      <w:r>
        <w:rPr>
          <w:i/>
          <w:iCs/>
        </w:rPr>
        <w:t xml:space="preserve">New England Journal of Medicine, 278</w:t>
      </w:r>
      <w:r>
        <w:t xml:space="preserve">(12), 652–657.</w:t>
      </w:r>
    </w:p>
    <w:p>
      <w:pPr>
        <w:pStyle w:val="BodyJ"/>
        <w:keepNext w:val="false"/>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keepNext w:val="false"/>
      </w:pPr>
      <w:r>
        <w:t xml:space="preserve">Winograd, T., &amp; Flores, F. (1986). </w:t>
      </w:r>
      <w:r>
        <w:rPr>
          <w:i/>
          <w:iCs/>
        </w:rPr>
        <w:t xml:space="preserve">Understanding Computers and Cognition: A New Foundation for Design</w:t>
      </w:r>
      <w:r>
        <w:t xml:space="preserve">. Ablex.</w:t>
      </w:r>
    </w:p>
    <w:p>
      <w:pPr>
        <w:pStyle w:val="BodyJ"/>
        <w:keepNext w:val="false"/>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keepNext w:val="false"/>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keepNext w:val="false"/>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keepNext w:val="false"/>
      </w:pPr>
      <w:r>
        <w:t xml:space="preserve">Wu, A. W. (2000). Medical error: The second victim. The doctor who makes the mistake needs help too. </w:t>
      </w:r>
      <w:r>
        <w:rPr>
          <w:i/>
          <w:iCs/>
        </w:rPr>
        <w:t xml:space="preserve">BMJ, 320</w:t>
      </w:r>
      <w:r>
        <w:t xml:space="preserve">(7237), 726–727.</w:t>
      </w:r>
    </w:p>
    <w:p>
      <w:pPr>
        <w:pStyle w:val="BodyJ"/>
        <w:keepNext w:val="false"/>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keepNext w:val="false"/>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keepNext/>
        <w:keepLines/>
        <w:pageBreakBefore/>
        <w:spacing w:after="320" w:before="720"/>
      </w:pPr>
      <w:r>
        <w:rPr>
          <w:rFonts w:ascii="Georgia" w:cs="Georgia" w:eastAsia="Georgia" w:hAnsi="Georgia"/>
          <w:b/>
          <w:bCs/>
          <w:color w:val="2B2B2B"/>
          <w:sz w:val="34"/>
          <w:szCs w:val="34"/>
        </w:rPr>
        <w:t xml:space="preserve">Tarjeta: HII-D en sesenta segundos</w:t>
      </w:r>
    </w:p>
    <w:p>
      <w:pPr>
        <w:pStyle w:val="BodyJ"/>
        <w:keepNext w:val="false"/>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lang w:val="es-CL"/>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uppressAutoHyphens/>
    </w:pPr>
    <w:rPr>
      <w:color w:val="2E74B5"/>
      <w:sz w:val="32"/>
      <w:szCs w:val="32"/>
    </w:rPr>
  </w:style>
  <w:style w:type="paragraph" w:styleId="Heading2">
    <w:name w:val="Heading 2"/>
    <w:basedOn w:val="Normal"/>
    <w:next w:val="Normal"/>
    <w:qFormat/>
    <w:pPr>
      <w:suppressAutoHyphens/>
    </w:pPr>
    <w:rPr>
      <w:color w:val="2E74B5"/>
      <w:sz w:val="26"/>
      <w:szCs w:val="26"/>
    </w:rPr>
  </w:style>
  <w:style w:type="paragraph" w:styleId="Heading3">
    <w:name w:val="Heading 3"/>
    <w:basedOn w:val="Normal"/>
    <w:next w:val="Normal"/>
    <w:qFormat/>
    <w:pPr>
      <w:suppressAutoHyphens/>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uppressAutoHyphens/>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uppressAutoHyphens/>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uppressAutoHyphens/>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uppressAutoHyphens/>
      <w:spacing w:after="100" w:before="260"/>
    </w:pPr>
    <w:rPr>
      <w:rFonts w:ascii="Georgia" w:cs="Georgia" w:eastAsia="Georgia" w:hAnsi="Georgia"/>
      <w:b/>
      <w:bCs/>
      <w:color w:val="3D5A6C"/>
      <w:sz w:val="22"/>
      <w:szCs w:val="22"/>
    </w:rPr>
  </w:style>
  <w:style w:type="paragraph" w:styleId="TocPart">
    <w:name w:val="TocPart"/>
    <w:basedOn w:val="Normal"/>
    <w:pPr>
      <w:suppressAutoHyphens/>
      <w:spacing w:after="60" w:before="160"/>
      <w:ind w:right="700"/>
    </w:pPr>
    <w:rPr>
      <w:rFonts w:ascii="Georgia" w:cs="Georgia" w:eastAsia="Georgia" w:hAnsi="Georgia"/>
      <w:b/>
      <w:bCs/>
      <w:color w:val="2B2B2B"/>
      <w:sz w:val="22"/>
      <w:szCs w:val="22"/>
    </w:rPr>
  </w:style>
  <w:style w:type="paragraph" w:styleId="TocEntry">
    <w:name w:val="TocEntry"/>
    <w:basedOn w:val="Normal"/>
    <w:pPr>
      <w:suppressAutoHyphens/>
      <w:spacing w:after="50"/>
      <w:ind w:left="280" w:right="70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947ac4b7d5c05f35e78de6d587bb6c1766598157.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2026-10-17T01:38:46.530Z</dcterms:created>
  <dcterms:modified xsi:type="dcterms:W3CDTF">2026-10-17T01:38:46.530Z</dcterms:modified>
</cp:coreProperties>
</file>

<file path=docProps/custom.xml><?xml version="1.0" encoding="utf-8"?>
<Properties xmlns="http://schemas.openxmlformats.org/officeDocument/2006/custom-properties" xmlns:vt="http://schemas.openxmlformats.org/officeDocument/2006/docPropsVTypes"/>
</file>