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21</w:t>
      </w:r>
    </w:p>
    <w:p>
      <w:pPr>
        <w:pStyle w:val="TocEntry"/>
        <w:tabs>
          <w:tab w:val="right" w:pos="9026" w:leader="dot"/>
        </w:tabs>
      </w:pPr>
      <w:r>
        <w:t xml:space="preserve">Capítulo 4. Lenguaje clínico y densidad epistémica</w:t>
      </w:r>
      <w:r>
        <w:tab/>
      </w:r>
      <w:r>
        <w:rPr>
          <w:color w:val="8A8A8A"/>
        </w:rPr>
        <w:t xml:space="preserve">25</w:t>
      </w:r>
    </w:p>
    <w:p>
      <w:pPr>
        <w:pStyle w:val="TocEntry"/>
        <w:tabs>
          <w:tab w:val="right" w:pos="9026" w:leader="dot"/>
        </w:tabs>
      </w:pPr>
      <w:r>
        <w:t xml:space="preserve">Interludio I. La ficha de Carmen</w:t>
      </w:r>
      <w:r>
        <w:tab/>
      </w:r>
      <w:r>
        <w:rPr>
          <w:color w:val="8A8A8A"/>
        </w:rPr>
        <w:t xml:space="preserve">30</w:t>
      </w:r>
    </w:p>
    <w:p>
      <w:pPr>
        <w:pStyle w:val="TocPart"/>
        <w:tabs>
          <w:tab w:val="right" w:pos="9026" w:leader="dot"/>
        </w:tabs>
      </w:pPr>
      <w:r>
        <w:t xml:space="preserve">PARTE II. La mente que se observa</w:t>
      </w:r>
      <w:r>
        <w:tab/>
      </w:r>
      <w:r>
        <w:rPr>
          <w:color w:val="8A8A8A"/>
        </w:rPr>
        <w:t xml:space="preserve">32</w:t>
      </w:r>
    </w:p>
    <w:p>
      <w:pPr>
        <w:pStyle w:val="TocEntry"/>
        <w:tabs>
          <w:tab w:val="right" w:pos="9026" w:leader="dot"/>
        </w:tabs>
      </w:pPr>
      <w:r>
        <w:t xml:space="preserve">Capítulo 5. Metacognición: monitorear y regular el propio juicio</w:t>
      </w:r>
      <w:r>
        <w:tab/>
      </w:r>
      <w:r>
        <w:rPr>
          <w:color w:val="8A8A8A"/>
        </w:rPr>
        <w:t xml:space="preserve">33</w:t>
      </w:r>
    </w:p>
    <w:p>
      <w:pPr>
        <w:pStyle w:val="TocEntry"/>
        <w:tabs>
          <w:tab w:val="right" w:pos="9026" w:leader="dot"/>
        </w:tabs>
      </w:pPr>
      <w:r>
        <w:t xml:space="preserve">Capítulo 6. Pericia, intuición y conocimiento tácito</w:t>
      </w:r>
      <w:r>
        <w:tab/>
      </w:r>
      <w:r>
        <w:rPr>
          <w:color w:val="8A8A8A"/>
        </w:rPr>
        <w:t xml:space="preserve">39</w:t>
      </w:r>
    </w:p>
    <w:p>
      <w:pPr>
        <w:pStyle w:val="TocEntry"/>
        <w:tabs>
          <w:tab w:val="right" w:pos="9026" w:leader="dot"/>
        </w:tabs>
      </w:pPr>
      <w:r>
        <w:t xml:space="preserve">Capítulo 7. Error, sesgo y ecología del diagnóstico</w:t>
      </w:r>
      <w:r>
        <w:tab/>
      </w:r>
      <w:r>
        <w:rPr>
          <w:color w:val="8A8A8A"/>
        </w:rPr>
        <w:t xml:space="preserve">43</w:t>
      </w:r>
    </w:p>
    <w:p>
      <w:pPr>
        <w:pStyle w:val="TocEntry"/>
        <w:tabs>
          <w:tab w:val="right" w:pos="9026" w:leader="dot"/>
        </w:tabs>
      </w:pPr>
      <w:r>
        <w:t xml:space="preserve">Capítulo 8. Desacelerar: cuándo, en qué estado y con qué mente</w:t>
      </w:r>
      <w:r>
        <w:tab/>
      </w:r>
      <w:r>
        <w:rPr>
          <w:color w:val="8A8A8A"/>
        </w:rPr>
        <w:t xml:space="preserve">47</w:t>
      </w:r>
    </w:p>
    <w:p>
      <w:pPr>
        <w:pStyle w:val="TocEntry"/>
        <w:tabs>
          <w:tab w:val="right" w:pos="9026" w:leader="dot"/>
        </w:tabs>
      </w:pPr>
      <w:r>
        <w:t xml:space="preserve">Interludio II. Lo que el equipo pensó</w:t>
      </w:r>
      <w:r>
        <w:tab/>
      </w:r>
      <w:r>
        <w:rPr>
          <w:color w:val="8A8A8A"/>
        </w:rPr>
        <w:t xml:space="preserve">52</w:t>
      </w:r>
    </w:p>
    <w:p>
      <w:pPr>
        <w:pStyle w:val="TocPart"/>
        <w:tabs>
          <w:tab w:val="right" w:pos="9026" w:leader="dot"/>
        </w:tabs>
      </w:pPr>
      <w:r>
        <w:t xml:space="preserve">PARTE III. Decidir en el tiempo y con otros</w:t>
      </w:r>
      <w:r>
        <w:tab/>
      </w:r>
      <w:r>
        <w:rPr>
          <w:color w:val="8A8A8A"/>
        </w:rPr>
        <w:t xml:space="preserve">54</w:t>
      </w:r>
    </w:p>
    <w:p>
      <w:pPr>
        <w:pStyle w:val="TocEntry"/>
        <w:tabs>
          <w:tab w:val="right" w:pos="9026" w:leader="dot"/>
        </w:tabs>
      </w:pPr>
      <w:r>
        <w:t xml:space="preserve">Capítulo 9. La evidencia y el caso singular</w:t>
      </w:r>
      <w:r>
        <w:tab/>
      </w:r>
      <w:r>
        <w:rPr>
          <w:color w:val="8A8A8A"/>
        </w:rPr>
        <w:t xml:space="preserve">55</w:t>
      </w:r>
    </w:p>
    <w:p>
      <w:pPr>
        <w:pStyle w:val="TocEntry"/>
        <w:tabs>
          <w:tab w:val="right" w:pos="9026" w:leader="dot"/>
        </w:tabs>
      </w:pPr>
      <w:r>
        <w:t xml:space="preserve">Capítulo 10. Decidir sin certeza: umbrales, valores y bioética</w:t>
      </w:r>
      <w:r>
        <w:tab/>
      </w:r>
      <w:r>
        <w:rPr>
          <w:color w:val="8A8A8A"/>
        </w:rPr>
        <w:t xml:space="preserve">59</w:t>
      </w:r>
    </w:p>
    <w:p>
      <w:pPr>
        <w:pStyle w:val="TocEntry"/>
        <w:tabs>
          <w:tab w:val="right" w:pos="9026" w:leader="dot"/>
        </w:tabs>
      </w:pPr>
      <w:r>
        <w:t xml:space="preserve">Capítulo 11. Temporalidad, trayectoria y razonamiento contrafactual</w:t>
      </w:r>
      <w:r>
        <w:tab/>
      </w:r>
      <w:r>
        <w:rPr>
          <w:color w:val="8A8A8A"/>
        </w:rPr>
        <w:t xml:space="preserve">65</w:t>
      </w:r>
    </w:p>
    <w:p>
      <w:pPr>
        <w:pStyle w:val="TocEntry"/>
        <w:tabs>
          <w:tab w:val="right" w:pos="9026" w:leader="dot"/>
        </w:tabs>
      </w:pPr>
      <w:r>
        <w:t xml:space="preserve">Capítulo 12. La ficha clínica como instrumento de pensamiento</w:t>
      </w:r>
      <w:r>
        <w:tab/>
      </w:r>
      <w:r>
        <w:rPr>
          <w:color w:val="8A8A8A"/>
        </w:rPr>
        <w:t xml:space="preserve">69</w:t>
      </w:r>
    </w:p>
    <w:p>
      <w:pPr>
        <w:pStyle w:val="TocEntry"/>
        <w:tabs>
          <w:tab w:val="right" w:pos="9026" w:leader="dot"/>
        </w:tabs>
      </w:pPr>
      <w:r>
        <w:t xml:space="preserve">Capítulo 13. Pensar con otros: equipos, desacuerdo y comunicación de la incertidumbre</w:t>
      </w:r>
      <w:r>
        <w:tab/>
      </w:r>
      <w:r>
        <w:rPr>
          <w:color w:val="8A8A8A"/>
        </w:rPr>
        <w:t xml:space="preserve">75</w:t>
      </w:r>
    </w:p>
    <w:p>
      <w:pPr>
        <w:pStyle w:val="TocEntry"/>
        <w:tabs>
          <w:tab w:val="right" w:pos="9026" w:leader="dot"/>
        </w:tabs>
      </w:pPr>
      <w:r>
        <w:t xml:space="preserve">Interludio III. La decisión de Carmen</w:t>
      </w:r>
      <w:r>
        <w:tab/>
      </w:r>
      <w:r>
        <w:rPr>
          <w:color w:val="8A8A8A"/>
        </w:rPr>
        <w:t xml:space="preserve">80</w:t>
      </w:r>
    </w:p>
    <w:p>
      <w:pPr>
        <w:pStyle w:val="TocPart"/>
        <w:tabs>
          <w:tab w:val="right" w:pos="9026" w:leader="dot"/>
        </w:tabs>
      </w:pPr>
      <w:r>
        <w:t xml:space="preserve">PARTE IV. Una epistemología operativa</w:t>
      </w:r>
      <w:r>
        <w:tab/>
      </w:r>
      <w:r>
        <w:rPr>
          <w:color w:val="8A8A8A"/>
        </w:rPr>
        <w:t xml:space="preserve">82</w:t>
      </w:r>
    </w:p>
    <w:p>
      <w:pPr>
        <w:pStyle w:val="TocEntry"/>
        <w:tabs>
          <w:tab w:val="right" w:pos="9026" w:leader="dot"/>
        </w:tabs>
      </w:pPr>
      <w:r>
        <w:t xml:space="preserve">Capítulo 14. Humildad epistémica y responsabilidad clínica</w:t>
      </w:r>
      <w:r>
        <w:tab/>
      </w:r>
      <w:r>
        <w:rPr>
          <w:color w:val="8A8A8A"/>
        </w:rPr>
        <w:t xml:space="preserve">83</w:t>
      </w:r>
    </w:p>
    <w:p>
      <w:pPr>
        <w:pStyle w:val="TocEntry"/>
        <w:tabs>
          <w:tab w:val="right" w:pos="9026" w:leader="dot"/>
        </w:tabs>
      </w:pPr>
      <w:r>
        <w:t xml:space="preserve">Capítulo 15. El método HII-D: una epistemología operativa</w:t>
      </w:r>
      <w:r>
        <w:tab/>
      </w:r>
      <w:r>
        <w:rPr>
          <w:color w:val="8A8A8A"/>
        </w:rPr>
        <w:t xml:space="preserve">89</w:t>
      </w:r>
    </w:p>
    <w:p>
      <w:pPr>
        <w:pStyle w:val="TocEntry"/>
        <w:tabs>
          <w:tab w:val="right" w:pos="9026" w:leader="dot"/>
        </w:tabs>
      </w:pPr>
      <w:r>
        <w:t xml:space="preserve">Cuaderno de casos. Ocho viñetas para una lectura metacognitiva</w:t>
      </w:r>
      <w:r>
        <w:tab/>
      </w:r>
      <w:r>
        <w:rPr>
          <w:color w:val="8A8A8A"/>
        </w:rPr>
        <w:t xml:space="preserve">96</w:t>
      </w:r>
    </w:p>
    <w:p>
      <w:pPr>
        <w:pStyle w:val="TocEntry"/>
        <w:tabs>
          <w:tab w:val="right" w:pos="9026" w:leader="dot"/>
        </w:tabs>
      </w:pPr>
      <w:r>
        <w:t xml:space="preserve">Capítulo 16. Enseñar y organizar la metacognición clínica</w:t>
      </w:r>
      <w:r>
        <w:tab/>
      </w:r>
      <w:r>
        <w:rPr>
          <w:color w:val="8A8A8A"/>
        </w:rPr>
        <w:t xml:space="preserve">105</w:t>
      </w:r>
    </w:p>
    <w:p>
      <w:pPr>
        <w:pStyle w:val="TocEntry"/>
        <w:tabs>
          <w:tab w:val="right" w:pos="9026" w:leader="dot"/>
        </w:tabs>
      </w:pPr>
      <w:r>
        <w:t xml:space="preserve">Capítulo 17. La inteligencia artificial en el proceso clínico: roles, riesgos y defensas</w:t>
      </w:r>
      <w:r>
        <w:tab/>
      </w:r>
      <w:r>
        <w:rPr>
          <w:color w:val="8A8A8A"/>
        </w:rPr>
        <w:t xml:space="preserve">109</w:t>
      </w:r>
    </w:p>
    <w:p>
      <w:pPr>
        <w:pStyle w:val="TocEntry"/>
        <w:tabs>
          <w:tab w:val="right" w:pos="9026" w:leader="dot"/>
        </w:tabs>
      </w:pPr>
      <w:r>
        <w:t xml:space="preserve">Capítulo 18. La palabra exacta: lo que la poesía sabe del juicio clínico</w:t>
      </w:r>
      <w:r>
        <w:tab/>
      </w:r>
      <w:r>
        <w:rPr>
          <w:color w:val="8A8A8A"/>
        </w:rPr>
        <w:t xml:space="preserve">117</w:t>
      </w:r>
    </w:p>
    <w:p>
      <w:pPr>
        <w:pStyle w:val="TocPart"/>
        <w:tabs>
          <w:tab w:val="right" w:pos="9026" w:leader="dot"/>
        </w:tabs>
      </w:pPr>
      <w:r>
        <w:t xml:space="preserve">Conclusión. Una medicina lúcida</w:t>
      </w:r>
      <w:r>
        <w:tab/>
      </w:r>
      <w:r>
        <w:rPr>
          <w:color w:val="8A8A8A"/>
        </w:rPr>
        <w:t xml:space="preserve">120</w:t>
      </w:r>
    </w:p>
    <w:p>
      <w:pPr>
        <w:pStyle w:val="TocPart"/>
        <w:tabs>
          <w:tab w:val="right" w:pos="9026" w:leader="dot"/>
        </w:tabs>
      </w:pPr>
      <w:r>
        <w:t xml:space="preserve">Apéndice A. Hoja HII-D para discusión de casos</w:t>
      </w:r>
      <w:r>
        <w:tab/>
      </w:r>
      <w:r>
        <w:rPr>
          <w:color w:val="8A8A8A"/>
        </w:rPr>
        <w:t xml:space="preserve">122</w:t>
      </w:r>
    </w:p>
    <w:p>
      <w:pPr>
        <w:pStyle w:val="TocPart"/>
        <w:tabs>
          <w:tab w:val="right" w:pos="9026" w:leader="dot"/>
        </w:tabs>
      </w:pPr>
      <w:r>
        <w:t xml:space="preserve">Apéndice B. Léxico de certeza y pausa diagnóstica</w:t>
      </w:r>
      <w:r>
        <w:tab/>
      </w:r>
      <w:r>
        <w:rPr>
          <w:color w:val="8A8A8A"/>
        </w:rPr>
        <w:t xml:space="preserve">124</w:t>
      </w:r>
    </w:p>
    <w:p>
      <w:pPr>
        <w:pStyle w:val="TocPart"/>
        <w:tabs>
          <w:tab w:val="right" w:pos="9026" w:leader="dot"/>
        </w:tabs>
      </w:pPr>
      <w:r>
        <w:t xml:space="preserve">Apéndice C. Guía de implementación en un servicio clínico</w:t>
      </w:r>
      <w:r>
        <w:tab/>
      </w:r>
      <w:r>
        <w:rPr>
          <w:color w:val="8A8A8A"/>
        </w:rPr>
        <w:t xml:space="preserve">126</w:t>
      </w:r>
    </w:p>
    <w:p>
      <w:pPr>
        <w:pStyle w:val="TocPart"/>
        <w:tabs>
          <w:tab w:val="right" w:pos="9026" w:leader="dot"/>
        </w:tabs>
      </w:pPr>
      <w:r>
        <w:t xml:space="preserve">Apéndice D. Talleres</w:t>
      </w:r>
      <w:r>
        <w:tab/>
      </w:r>
      <w:r>
        <w:rPr>
          <w:color w:val="8A8A8A"/>
        </w:rPr>
        <w:t xml:space="preserve">129</w:t>
      </w:r>
    </w:p>
    <w:p>
      <w:pPr>
        <w:pStyle w:val="TocPart"/>
        <w:tabs>
          <w:tab w:val="right" w:pos="9026" w:leader="dot"/>
        </w:tabs>
      </w:pPr>
      <w:r>
        <w:t xml:space="preserve">Apéndice E. Las preguntas para la próxima visita</w:t>
      </w:r>
      <w:r>
        <w:tab/>
      </w:r>
      <w:r>
        <w:rPr>
          <w:color w:val="8A8A8A"/>
        </w:rPr>
        <w:t xml:space="preserve">139</w:t>
      </w:r>
    </w:p>
    <w:p>
      <w:pPr>
        <w:pStyle w:val="TocPart"/>
        <w:tabs>
          <w:tab w:val="right" w:pos="9026" w:leader="dot"/>
        </w:tabs>
      </w:pPr>
      <w:r>
        <w:t xml:space="preserve">Glosario</w:t>
      </w:r>
      <w:r>
        <w:tab/>
      </w:r>
      <w:r>
        <w:rPr>
          <w:color w:val="8A8A8A"/>
        </w:rPr>
        <w:t xml:space="preserve">143</w:t>
      </w:r>
    </w:p>
    <w:p>
      <w:pPr>
        <w:pStyle w:val="TocPart"/>
        <w:tabs>
          <w:tab w:val="right" w:pos="9026" w:leader="dot"/>
        </w:tabs>
      </w:pPr>
      <w:r>
        <w:t xml:space="preserve">Índice analítico</w:t>
      </w:r>
      <w:r>
        <w:tab/>
      </w:r>
      <w:r>
        <w:rPr>
          <w:color w:val="8A8A8A"/>
        </w:rPr>
        <w:t xml:space="preserve">149</w:t>
      </w:r>
    </w:p>
    <w:p>
      <w:pPr>
        <w:pStyle w:val="TocPart"/>
        <w:tabs>
          <w:tab w:val="right" w:pos="9026" w:leader="dot"/>
        </w:tabs>
      </w:pPr>
      <w:r>
        <w:t xml:space="preserve">Lista de figuras</w:t>
      </w:r>
      <w:r>
        <w:tab/>
      </w:r>
      <w:r>
        <w:rPr>
          <w:color w:val="8A8A8A"/>
        </w:rPr>
        <w:t xml:space="preserve">153</w:t>
      </w:r>
    </w:p>
    <w:p>
      <w:pPr>
        <w:pStyle w:val="TocPart"/>
        <w:tabs>
          <w:tab w:val="right" w:pos="9026" w:leader="dot"/>
        </w:tabs>
      </w:pPr>
      <w:r>
        <w:t xml:space="preserve">Nota metodológica y estatuto de las afirmaciones</w:t>
      </w:r>
      <w:r>
        <w:tab/>
      </w:r>
      <w:r>
        <w:rPr>
          <w:color w:val="8A8A8A"/>
        </w:rPr>
        <w:t xml:space="preserve">154</w:t>
      </w:r>
    </w:p>
    <w:p>
      <w:pPr>
        <w:pStyle w:val="TocPart"/>
        <w:tabs>
          <w:tab w:val="right" w:pos="9026" w:leader="dot"/>
        </w:tabs>
      </w:pPr>
      <w:r>
        <w:t xml:space="preserve">Referencias</w:t>
      </w:r>
      <w:r>
        <w:tab/>
      </w:r>
      <w:r>
        <w:rPr>
          <w:color w:val="8A8A8A"/>
        </w:rPr>
        <w:t xml:space="preserve">156</w:t>
      </w:r>
    </w:p>
    <w:p>
      <w:pPr>
        <w:pStyle w:val="TocPart"/>
        <w:tabs>
          <w:tab w:val="right" w:pos="9026" w:leader="dot"/>
        </w:tabs>
      </w:pPr>
      <w:r>
        <w:t xml:space="preserve">Tarjeta: HII-D en sesenta segundos</w:t>
      </w:r>
      <w:r>
        <w:tab/>
      </w:r>
      <w:r>
        <w:rPr>
          <w:color w:val="8A8A8A"/>
        </w:rPr>
        <w:t xml:space="preserve">166</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3"/>
        </w:numPr>
      </w:pPr>
      <w:r>
        <w:t xml:space="preserve">¿Cuál es el dato más decisivo de mi evaluación de hoy y quién lo produjo realmente?</w:t>
      </w:r>
    </w:p>
    <w:p>
      <w:pPr>
        <w:pStyle w:val="BodyJ"/>
        <w:numPr>
          <w:ilvl w:val="0"/>
          <w:numId w:val="3"/>
        </w:numPr>
      </w:pPr>
      <w:r>
        <w:t xml:space="preserve">¿Qué «hallazgo negativo» estoy tratando como evidencia de ausencia sin preguntarme por la sensibilidad de la búsqueda?</w:t>
      </w:r>
    </w:p>
    <w:p>
      <w:pPr>
        <w:pStyle w:val="BodyJ"/>
        <w:numPr>
          <w:ilvl w:val="0"/>
          <w:numId w:val="3"/>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4"/>
        </w:numPr>
      </w:pPr>
      <w:r>
        <w:t xml:space="preserve">¿Cuál es el dato más difícil de explicar con mi hipótesis principal?</w:t>
      </w:r>
    </w:p>
    <w:p>
      <w:pPr>
        <w:pStyle w:val="BodyJ"/>
        <w:numPr>
          <w:ilvl w:val="0"/>
          <w:numId w:val="4"/>
        </w:numPr>
      </w:pPr>
      <w:r>
        <w:t xml:space="preserve">¿Qué explicación rival cambiaría mi conducta hoy, y qué me costaría buscarla?</w:t>
      </w:r>
    </w:p>
    <w:p>
      <w:pPr>
        <w:pStyle w:val="BodyJ"/>
        <w:numPr>
          <w:ilvl w:val="0"/>
          <w:numId w:val="4"/>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5"/>
        </w:numPr>
      </w:pPr>
      <w:r>
        <w:t xml:space="preserve">lo desconocido que puede resolverse con un examen;</w:t>
      </w:r>
    </w:p>
    <w:p>
      <w:pPr>
        <w:pStyle w:val="BodyJ"/>
        <w:numPr>
          <w:ilvl w:val="0"/>
          <w:numId w:val="5"/>
        </w:numPr>
      </w:pPr>
      <w:r>
        <w:t xml:space="preserve">lo que sólo puede aclararse con evolución temporal;</w:t>
      </w:r>
    </w:p>
    <w:p>
      <w:pPr>
        <w:pStyle w:val="BodyJ"/>
        <w:numPr>
          <w:ilvl w:val="0"/>
          <w:numId w:val="5"/>
        </w:numPr>
      </w:pPr>
      <w:r>
        <w:t xml:space="preserve">lo que no cambiaría la conducta inmediata;</w:t>
      </w:r>
    </w:p>
    <w:p>
      <w:pPr>
        <w:pStyle w:val="BodyJ"/>
        <w:numPr>
          <w:ilvl w:val="0"/>
          <w:numId w:val="5"/>
        </w:numPr>
      </w:pPr>
      <w:r>
        <w:t xml:space="preserve">lo que, si estuviera equivocado, produciría daño grave;</w:t>
      </w:r>
    </w:p>
    <w:p>
      <w:pPr>
        <w:pStyle w:val="BodyJ"/>
        <w:numPr>
          <w:ilvl w:val="0"/>
          <w:numId w:val="5"/>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5"/>
        </w:numPr>
      </w:pPr>
      <w:r>
        <w:rPr>
          <w:b/>
          <w:bCs/>
        </w:rPr>
        <w:t xml:space="preserve">Documentado o demostrado</w:t>
      </w:r>
      <w:r>
        <w:t xml:space="preserve">: existe evidencia directa suficiente bajo un método pertinente.</w:t>
      </w:r>
    </w:p>
    <w:p>
      <w:pPr>
        <w:pStyle w:val="BodyJ"/>
        <w:numPr>
          <w:ilvl w:val="0"/>
          <w:numId w:val="5"/>
        </w:numPr>
      </w:pPr>
      <w:r>
        <w:rPr>
          <w:b/>
          <w:bCs/>
        </w:rPr>
        <w:t xml:space="preserve">Altamente probable</w:t>
      </w:r>
      <w:r>
        <w:t xml:space="preserve">: múltiples líneas convergentes, con alternativas importantes poco plausibles.</w:t>
      </w:r>
    </w:p>
    <w:p>
      <w:pPr>
        <w:pStyle w:val="BodyJ"/>
        <w:numPr>
          <w:ilvl w:val="0"/>
          <w:numId w:val="5"/>
        </w:numPr>
      </w:pPr>
      <w:r>
        <w:rPr>
          <w:b/>
          <w:bCs/>
        </w:rPr>
        <w:t xml:space="preserve">Probable o compatible con</w:t>
      </w:r>
      <w:r>
        <w:t xml:space="preserve">: la explicación organiza bien los hechos, pero persisten rivales o faltan elementos.</w:t>
      </w:r>
    </w:p>
    <w:p>
      <w:pPr>
        <w:pStyle w:val="BodyJ"/>
        <w:numPr>
          <w:ilvl w:val="0"/>
          <w:numId w:val="5"/>
        </w:numPr>
      </w:pPr>
      <w:r>
        <w:rPr>
          <w:b/>
          <w:bCs/>
        </w:rPr>
        <w:t xml:space="preserve">Posible</w:t>
      </w:r>
      <w:r>
        <w:t xml:space="preserve">: no contradice los datos y merece consideración, aunque el soporte es limitado.</w:t>
      </w:r>
    </w:p>
    <w:p>
      <w:pPr>
        <w:pStyle w:val="BodyJ"/>
        <w:numPr>
          <w:ilvl w:val="0"/>
          <w:numId w:val="5"/>
        </w:numPr>
      </w:pPr>
      <w:r>
        <w:rPr>
          <w:b/>
          <w:bCs/>
        </w:rPr>
        <w:t xml:space="preserve">No demostrado</w:t>
      </w:r>
      <w:r>
        <w:t xml:space="preserve">: la hipótesis puede ser razonable, pero el caso no aporta evidencia suficiente para afirmarla.</w:t>
      </w:r>
    </w:p>
    <w:p>
      <w:pPr>
        <w:pStyle w:val="BodyJ"/>
        <w:numPr>
          <w:ilvl w:val="0"/>
          <w:numId w:val="5"/>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7"/>
        </w:numPr>
      </w:pPr>
      <w:r>
        <w:t xml:space="preserve">En mi última evolución, ¿qué verbo causal («secundario a», «por», «complicado por») no podría defender si me lo preguntaran?</w:t>
      </w:r>
    </w:p>
    <w:p>
      <w:pPr>
        <w:pStyle w:val="BodyJ"/>
        <w:numPr>
          <w:ilvl w:val="0"/>
          <w:numId w:val="7"/>
        </w:numPr>
      </w:pPr>
      <w:r>
        <w:t xml:space="preserve">¿Escribí «se descarta» donde sólo tenía «sin evidencia actual de»?</w:t>
      </w:r>
    </w:p>
    <w:p>
      <w:pPr>
        <w:pStyle w:val="BodyJ"/>
        <w:numPr>
          <w:ilvl w:val="0"/>
          <w:numId w:val="7"/>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8"/>
        </w:numPr>
      </w:pPr>
      <w:r>
        <w:t xml:space="preserve">En mi diagnóstico más firme de hoy, ¿mi confianza viene de la evidencia o de la fluidez con que reconocí el patrón?</w:t>
      </w:r>
    </w:p>
    <w:p>
      <w:pPr>
        <w:pStyle w:val="BodyJ"/>
        <w:numPr>
          <w:ilvl w:val="0"/>
          <w:numId w:val="8"/>
        </w:numPr>
      </w:pPr>
      <w:r>
        <w:t xml:space="preserve">¿Qué señal afectiva (prisa, irritación, alivio) está influyendo en mi evaluación de este caso?</w:t>
      </w:r>
    </w:p>
    <w:p>
      <w:pPr>
        <w:pStyle w:val="BodyJ"/>
        <w:numPr>
          <w:ilvl w:val="0"/>
          <w:numId w:val="8"/>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9"/>
        </w:numPr>
      </w:pPr>
      <w:r>
        <w:t xml:space="preserve">¿En qué dominio tengo suficiente experiencia con feedback real como para confiar en mi primera impresión?</w:t>
      </w:r>
    </w:p>
    <w:p>
      <w:pPr>
        <w:pStyle w:val="BodyJ"/>
        <w:numPr>
          <w:ilvl w:val="0"/>
          <w:numId w:val="9"/>
        </w:numPr>
      </w:pPr>
      <w:r>
        <w:t xml:space="preserve">La última vez que «vi» un diagnóstico al instante, ¿qué características lo activaron? ¿Puedo nombrarlas?</w:t>
      </w:r>
    </w:p>
    <w:p>
      <w:pPr>
        <w:pStyle w:val="BodyJ"/>
        <w:numPr>
          <w:ilvl w:val="0"/>
          <w:numId w:val="9"/>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5"/>
        </w:numPr>
      </w:pPr>
      <w:r>
        <w:t xml:space="preserve">¿qué dato sostiene desproporcionadamente mi conclusión?;</w:t>
      </w:r>
    </w:p>
    <w:p>
      <w:pPr>
        <w:pStyle w:val="BodyJ"/>
        <w:numPr>
          <w:ilvl w:val="0"/>
          <w:numId w:val="5"/>
        </w:numPr>
      </w:pPr>
      <w:r>
        <w:t xml:space="preserve">¿qué hallazgo estoy reinterpretando para que encaje?;</w:t>
      </w:r>
    </w:p>
    <w:p>
      <w:pPr>
        <w:pStyle w:val="BodyJ"/>
        <w:numPr>
          <w:ilvl w:val="0"/>
          <w:numId w:val="5"/>
        </w:numPr>
      </w:pPr>
      <w:r>
        <w:t xml:space="preserve">¿qué alternativa cambiaría la conducta?;</w:t>
      </w:r>
    </w:p>
    <w:p>
      <w:pPr>
        <w:pStyle w:val="BodyJ"/>
        <w:numPr>
          <w:ilvl w:val="0"/>
          <w:numId w:val="5"/>
        </w:numPr>
      </w:pPr>
      <w:r>
        <w:t xml:space="preserve">¿qué elemento del sistema impide recibir feedback?;</w:t>
      </w:r>
    </w:p>
    <w:p>
      <w:pPr>
        <w:pStyle w:val="BodyJ"/>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0"/>
        </w:numPr>
      </w:pPr>
      <w:r>
        <w:t xml:space="preserve">¿Qué frase heredada estoy tratando como hecho en mi paciente más complejo?</w:t>
      </w:r>
    </w:p>
    <w:p>
      <w:pPr>
        <w:pStyle w:val="BodyJ"/>
        <w:numPr>
          <w:ilvl w:val="0"/>
          <w:numId w:val="10"/>
        </w:numPr>
      </w:pPr>
      <w:r>
        <w:t xml:space="preserve">¿Qué dato «confirmatorio» de hoy confirmaría también la hipótesis rival?</w:t>
      </w:r>
    </w:p>
    <w:p>
      <w:pPr>
        <w:pStyle w:val="BodyJ"/>
        <w:numPr>
          <w:ilvl w:val="0"/>
          <w:numId w:val="10"/>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1"/>
        </w:numPr>
      </w:pPr>
      <w:r>
        <w:t xml:space="preserve">Reformular el caso sin usar el diagnóstico actual.</w:t>
      </w:r>
    </w:p>
    <w:p>
      <w:pPr>
        <w:pStyle w:val="BodyJ"/>
        <w:numPr>
          <w:ilvl w:val="0"/>
          <w:numId w:val="11"/>
        </w:numPr>
      </w:pPr>
      <w:r>
        <w:t xml:space="preserve">Nombrar dos o tres hipótesis que expliquen los hallazgos decisivos.</w:t>
      </w:r>
    </w:p>
    <w:p>
      <w:pPr>
        <w:pStyle w:val="BodyJ"/>
        <w:numPr>
          <w:ilvl w:val="0"/>
          <w:numId w:val="11"/>
        </w:numPr>
      </w:pPr>
      <w:r>
        <w:t xml:space="preserve">Identificar evidencia a favor y en contra de cada una.</w:t>
      </w:r>
    </w:p>
    <w:p>
      <w:pPr>
        <w:pStyle w:val="BodyJ"/>
        <w:numPr>
          <w:ilvl w:val="0"/>
          <w:numId w:val="11"/>
        </w:numPr>
      </w:pPr>
      <w:r>
        <w:t xml:space="preserve">Buscar el dato que más podría cambiar la conducta.</w:t>
      </w:r>
    </w:p>
    <w:p>
      <w:pPr>
        <w:pStyle w:val="BodyJ"/>
        <w:numPr>
          <w:ilvl w:val="0"/>
          <w:numId w:val="11"/>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2"/>
        </w:numPr>
      </w:pPr>
      <w:r>
        <w:t xml:space="preserve">¿Puedo presentar mi caso más complejo sin usar su etiqueta diagnóstica?</w:t>
      </w:r>
    </w:p>
    <w:p>
      <w:pPr>
        <w:pStyle w:val="BodyJ"/>
        <w:numPr>
          <w:ilvl w:val="0"/>
          <w:numId w:val="12"/>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3"/>
        </w:numPr>
      </w:pPr>
      <w:r>
        <w:t xml:space="preserve">Para mi indicación más importante de hoy: ¿qué demostró exactamente el estudio que la respalda, y en qué se parece mi paciente a esa población?</w:t>
      </w:r>
    </w:p>
    <w:p>
      <w:pPr>
        <w:pStyle w:val="BodyJ"/>
        <w:numPr>
          <w:ilvl w:val="0"/>
          <w:numId w:val="13"/>
        </w:numPr>
      </w:pPr>
      <w:r>
        <w:t xml:space="preserve">El último ensayo «negativo» que cité: ¿mostró ausencia de efecto o ausencia de significación — y traté esa diferencia como si no existiera?</w:t>
      </w:r>
    </w:p>
    <w:p>
      <w:pPr>
        <w:pStyle w:val="BodyJ"/>
        <w:numPr>
          <w:ilvl w:val="0"/>
          <w:numId w:val="13"/>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pPr>
      <w:r>
        <w:t xml:space="preserve">Caja de herramientas. Frecuencias naturales al lado de la cama</w:t>
      </w:r>
    </w:p>
    <w:p>
      <w:pPr>
        <w:pStyle w:val="BodyJ"/>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4"/>
        </w:numPr>
      </w:pPr>
      <w:r>
        <w:t xml:space="preserve">¿Cuál es el umbral implícito de mi decisión: qué probabilidad de estar equivocado la haría cambiar?</w:t>
      </w:r>
    </w:p>
    <w:p>
      <w:pPr>
        <w:pStyle w:val="BodyJ"/>
        <w:numPr>
          <w:ilvl w:val="0"/>
          <w:numId w:val="14"/>
        </w:numPr>
      </w:pPr>
      <w:r>
        <w:t xml:space="preserve">¿Estoy exigiendo certeza diagnóstica donde bastaría compromiso práctico, o actuando para no tolerar una duda?</w:t>
      </w:r>
    </w:p>
    <w:p>
      <w:pPr>
        <w:pStyle w:val="BodyJ"/>
        <w:numPr>
          <w:ilvl w:val="0"/>
          <w:numId w:val="14"/>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5"/>
        </w:numPr>
      </w:pPr>
      <w:r>
        <w:t xml:space="preserve">«Está mejor»: ¿mejor que cuándo, en qué variable y a qué velocidad?</w:t>
      </w:r>
    </w:p>
    <w:p>
      <w:pPr>
        <w:pStyle w:val="BodyJ"/>
        <w:numPr>
          <w:ilvl w:val="0"/>
          <w:numId w:val="15"/>
        </w:numPr>
      </w:pPr>
      <w:r>
        <w:t xml:space="preserve">¿Qué predijo mi diagnóstico hace 48 horas, y la evolución lo confirmó o lo desmintió?</w:t>
      </w:r>
    </w:p>
    <w:p>
      <w:pPr>
        <w:pStyle w:val="BodyJ"/>
        <w:numPr>
          <w:ilvl w:val="0"/>
          <w:numId w:val="15"/>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5"/>
        </w:numPr>
      </w:pPr>
      <w:r>
        <w:rPr>
          <w:b/>
          <w:bCs/>
        </w:rPr>
        <w:t xml:space="preserve">H — Hechos</w:t>
      </w:r>
      <w:r>
        <w:t xml:space="preserve">: datos relevantes, fuente, fecha y evolución.</w:t>
      </w:r>
    </w:p>
    <w:p>
      <w:pPr>
        <w:pStyle w:val="BodyJ"/>
        <w:numPr>
          <w:ilvl w:val="0"/>
          <w:numId w:val="5"/>
        </w:numPr>
      </w:pPr>
      <w:r>
        <w:rPr>
          <w:b/>
          <w:bCs/>
        </w:rPr>
        <w:t xml:space="preserve">I — Inferencias</w:t>
      </w:r>
      <w:r>
        <w:t xml:space="preserve">: diagnóstico o mecanismo propuesto, con grado de respaldo.</w:t>
      </w:r>
    </w:p>
    <w:p>
      <w:pPr>
        <w:pStyle w:val="BodyJ"/>
        <w:numPr>
          <w:ilvl w:val="0"/>
          <w:numId w:val="5"/>
        </w:numPr>
      </w:pPr>
      <w:r>
        <w:rPr>
          <w:b/>
          <w:bCs/>
        </w:rPr>
        <w:t xml:space="preserve">I — Incertidumbre</w:t>
      </w:r>
      <w:r>
        <w:t xml:space="preserve">: alternativas, límites de pruebas y preguntas abiertas.</w:t>
      </w:r>
    </w:p>
    <w:p>
      <w:pPr>
        <w:pStyle w:val="BodyJ"/>
        <w:numPr>
          <w:ilvl w:val="0"/>
          <w:numId w:val="5"/>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6"/>
        </w:numPr>
      </w:pPr>
      <w:r>
        <w:t xml:space="preserve">¿Qué párrafo de mi evolución de hoy es copia de ayer, y sigue siendo verdad?</w:t>
      </w:r>
    </w:p>
    <w:p>
      <w:pPr>
        <w:pStyle w:val="BodyJ"/>
        <w:numPr>
          <w:ilvl w:val="0"/>
          <w:numId w:val="16"/>
        </w:numPr>
      </w:pPr>
      <w:r>
        <w:t xml:space="preserve">Si yo no estuviera mañana, ¿el médico que me reemplace sabría por mi nota qué vigilar y qué reabriría el caso?</w:t>
      </w:r>
    </w:p>
    <w:p>
      <w:pPr>
        <w:pStyle w:val="BodyJ"/>
        <w:numPr>
          <w:ilvl w:val="0"/>
          <w:numId w:val="16"/>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7"/>
        </w:numPr>
      </w:pPr>
      <w:r>
        <w:rPr>
          <w:b/>
          <w:bCs/>
        </w:rPr>
        <w:t xml:space="preserve">Qué sabemos</w:t>
      </w:r>
      <w:r>
        <w:t xml:space="preserve">: hallazgos confirmados y su relevancia.</w:t>
      </w:r>
    </w:p>
    <w:p>
      <w:pPr>
        <w:pStyle w:val="BodyJ"/>
        <w:numPr>
          <w:ilvl w:val="0"/>
          <w:numId w:val="17"/>
        </w:numPr>
      </w:pPr>
      <w:r>
        <w:rPr>
          <w:b/>
          <w:bCs/>
        </w:rPr>
        <w:t xml:space="preserve">Qué creemos</w:t>
      </w:r>
      <w:r>
        <w:t xml:space="preserve">: explicación principal y alternativas importantes.</w:t>
      </w:r>
    </w:p>
    <w:p>
      <w:pPr>
        <w:pStyle w:val="BodyJ"/>
        <w:numPr>
          <w:ilvl w:val="0"/>
          <w:numId w:val="17"/>
        </w:numPr>
      </w:pPr>
      <w:r>
        <w:rPr>
          <w:b/>
          <w:bCs/>
        </w:rPr>
        <w:t xml:space="preserve">Qué no sabemos todavía</w:t>
      </w:r>
      <w:r>
        <w:t xml:space="preserve">: límites concretos.</w:t>
      </w:r>
    </w:p>
    <w:p>
      <w:pPr>
        <w:pStyle w:val="BodyJ"/>
        <w:numPr>
          <w:ilvl w:val="0"/>
          <w:numId w:val="17"/>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8"/>
        </w:numPr>
      </w:pPr>
      <w:r>
        <w:t xml:space="preserve">¿Qué observó enfermería en las últimas 24 horas que no pasó por mi evaluación?</w:t>
      </w:r>
    </w:p>
    <w:p>
      <w:pPr>
        <w:pStyle w:val="BodyJ"/>
        <w:numPr>
          <w:ilvl w:val="0"/>
          <w:numId w:val="18"/>
        </w:numPr>
      </w:pPr>
      <w:r>
        <w:t xml:space="preserve">En mi último desacuerdo clínico, ¿discrepábamos en hechos, inferencias, incertidumbre, valores o umbral?</w:t>
      </w:r>
    </w:p>
    <w:p>
      <w:pPr>
        <w:pStyle w:val="BodyJ"/>
        <w:numPr>
          <w:ilvl w:val="0"/>
          <w:numId w:val="18"/>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19"/>
        </w:numPr>
      </w:pPr>
      <w:r>
        <w:t xml:space="preserve">¿A qué paciente le estoy creyendo menos de lo que su testimonio merece, y por qué?</w:t>
      </w:r>
    </w:p>
    <w:p>
      <w:pPr>
        <w:pStyle w:val="BodyJ"/>
        <w:numPr>
          <w:ilvl w:val="0"/>
          <w:numId w:val="19"/>
        </w:numPr>
      </w:pPr>
      <w:r>
        <w:t xml:space="preserve">Mi última recomendación firme: ¿podría explicar qué hechos la sostienen, qué incertidumbres la modificarían y qué valores del paciente pesan?</w:t>
      </w:r>
    </w:p>
    <w:p>
      <w:pPr>
        <w:pStyle w:val="BodyJ"/>
        <w:numPr>
          <w:ilvl w:val="0"/>
          <w:numId w:val="19"/>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0"/>
        </w:numPr>
      </w:pPr>
      <w:r>
        <w:rPr>
          <w:b/>
          <w:bCs/>
        </w:rPr>
        <w:t xml:space="preserve">¿Qué vi y qué me contaron?</w:t>
      </w:r>
      <w:r>
        <w:t xml:space="preserve"> (un hecho decisivo, con su fuente)</w:t>
      </w:r>
    </w:p>
    <w:p>
      <w:pPr>
        <w:pStyle w:val="BodyJ"/>
        <w:numPr>
          <w:ilvl w:val="0"/>
          <w:numId w:val="20"/>
        </w:numPr>
      </w:pPr>
      <w:r>
        <w:rPr>
          <w:b/>
          <w:bCs/>
        </w:rPr>
        <w:t xml:space="preserve">¿Qué creo y cuánto derecho tengo a creerlo?</w:t>
      </w:r>
      <w:r>
        <w:t xml:space="preserve"> (la inferencia principal, con su grado)</w:t>
      </w:r>
    </w:p>
    <w:p>
      <w:pPr>
        <w:pStyle w:val="BodyJ"/>
        <w:numPr>
          <w:ilvl w:val="0"/>
          <w:numId w:val="20"/>
        </w:numPr>
      </w:pPr>
      <w:r>
        <w:rPr>
          <w:b/>
          <w:bCs/>
        </w:rPr>
        <w:t xml:space="preserve">¿Qué daño importante podría producir si estoy equivocado?</w:t>
      </w:r>
      <w:r>
        <w:t xml:space="preserve"> (la incertidumbre peligrosa, no todas)</w:t>
      </w:r>
    </w:p>
    <w:p>
      <w:pPr>
        <w:pStyle w:val="BodyJ"/>
        <w:numPr>
          <w:ilvl w:val="0"/>
          <w:numId w:val="20"/>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1"/>
        </w:numPr>
      </w:pPr>
      <w:r>
        <w:t xml:space="preserve">¿Cuál es la pregunta operativa de mi caso más difícil —la decisión real en juego, no «el diagnóstico»?</w:t>
      </w:r>
    </w:p>
    <w:p>
      <w:pPr>
        <w:pStyle w:val="BodyJ"/>
        <w:numPr>
          <w:ilvl w:val="0"/>
          <w:numId w:val="21"/>
        </w:numPr>
      </w:pPr>
      <w:r>
        <w:t xml:space="preserve">¿Mi nota de hoy permite a otro médico reconstruir mis cuatro capas, o sólo mi conclusión?</w:t>
      </w:r>
    </w:p>
    <w:p>
      <w:pPr>
        <w:pStyle w:val="BodyJ"/>
        <w:numPr>
          <w:ilvl w:val="0"/>
          <w:numId w:val="21"/>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(presión arterial media de 55 mmHg y 112 lpm), hiperlactatemia (3,9 mmol/L), hipoperfusión periférica (llene capilar de 3 a 4 segundos) y bacteriemia por bacilos gramnegativos (2/2 hemocultivos, positivos a las 12 horas). Recibe 2.000 ml de Ringer lactato en tres horas, noradrenalina por vía periférica hasta 0,2 mcg/kg/min, ceftriaxona con metronidazol, reposo digestivo y descompresión por sonda nasogástrica: el llene capilar mejora, la taquicardia cede, el dolor abdominal se resuelve y el lactato de control baja a 2,3 mmol/L. La tomografía de abdomen no muestra perforación, isquemia mesentérica ni estrangulación actual, y el abdomen no tiene signos peritoneales.</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tomografía sin isquemia, el abdomen sin signos peritoneales y la respuesta a la reanimación hacen improbable una estrangulación y no indican cirugía de urgencia; no mitigan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tercer día de antibiótico indicado como pielonefritis;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suspender el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un tratamiento dirigido probablemente exigiría carbapenémicos, de alto impacto ecológico y toxicidad potencial, el umbral clínico para reiniciar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2"/>
        </w:numPr>
      </w:pPr>
      <w:r>
        <w:t xml:space="preserve">La última vez que enseñé un caso, ¿pedí el diagnóstico o pedí primero la representación del problema?</w:t>
      </w:r>
    </w:p>
    <w:p>
      <w:pPr>
        <w:pStyle w:val="BodyJ"/>
        <w:numPr>
          <w:ilvl w:val="0"/>
          <w:numId w:val="22"/>
        </w:numPr>
      </w:pPr>
      <w:r>
        <w:t xml:space="preserve">¿Qué pasó con el último paciente que derivé o di de alta con diagnóstico incierto — y cómo podría enterarme sistemáticamente?</w:t>
      </w:r>
    </w:p>
    <w:p>
      <w:pPr>
        <w:pStyle w:val="BodyJ"/>
        <w:numPr>
          <w:ilvl w:val="0"/>
          <w:numId w:val="22"/>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5"/>
        </w:numPr>
      </w:pPr>
      <w:r>
        <w:t xml:space="preserve">¿qué hechos provienen realmente del caso?;</w:t>
      </w:r>
    </w:p>
    <w:p>
      <w:pPr>
        <w:pStyle w:val="BodyJ"/>
        <w:numPr>
          <w:ilvl w:val="0"/>
          <w:numId w:val="5"/>
        </w:numPr>
      </w:pPr>
      <w:r>
        <w:t xml:space="preserve">¿qué información agregó el modelo?;</w:t>
      </w:r>
    </w:p>
    <w:p>
      <w:pPr>
        <w:pStyle w:val="BodyJ"/>
        <w:numPr>
          <w:ilvl w:val="0"/>
          <w:numId w:val="5"/>
        </w:numPr>
      </w:pPr>
      <w:r>
        <w:t xml:space="preserve">¿qué inferencias formula y con qué respaldo?;</w:t>
      </w:r>
    </w:p>
    <w:p>
      <w:pPr>
        <w:pStyle w:val="BodyJ"/>
        <w:numPr>
          <w:ilvl w:val="0"/>
          <w:numId w:val="5"/>
        </w:numPr>
      </w:pPr>
      <w:r>
        <w:t xml:space="preserve">¿qué incertidumbres omitió?;</w:t>
      </w:r>
    </w:p>
    <w:p>
      <w:pPr>
        <w:pStyle w:val="BodyJ"/>
        <w:numPr>
          <w:ilvl w:val="0"/>
          <w:numId w:val="5"/>
        </w:numPr>
      </w:pPr>
      <w:r>
        <w:t xml:space="preserve">¿qué decisión propone y cuáles serían sus riesgos?;</w:t>
      </w:r>
    </w:p>
    <w:p>
      <w:pPr>
        <w:pStyle w:val="BodyJ"/>
        <w:numPr>
          <w:ilvl w:val="0"/>
          <w:numId w:val="5"/>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3"/>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3"/>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3"/>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3"/>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3"/>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3"/>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5"/>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5"/>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5"/>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4"/>
        </w:numPr>
      </w:pPr>
      <w:r>
        <w:t xml:space="preserve">Si uso IA en este caso, ¿qué dato de su respuesta verifiqué contra una fuente primaria antes de actuar?</w:t>
      </w:r>
    </w:p>
    <w:p>
      <w:pPr>
        <w:pStyle w:val="BodyJ"/>
        <w:numPr>
          <w:ilvl w:val="0"/>
          <w:numId w:val="24"/>
        </w:numPr>
      </w:pPr>
      <w:r>
        <w:t xml:space="preserve">¿Qué agregó el modelo que el caso no contenía?</w:t>
      </w:r>
    </w:p>
    <w:p>
      <w:pPr>
        <w:pStyle w:val="BodyJ"/>
        <w:numPr>
          <w:ilvl w:val="0"/>
          <w:numId w:val="24"/>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5"/>
        </w:numPr>
      </w:pPr>
      <w:r>
        <w:t xml:space="preserve">¿Qué palabra de mi última nota está «haciendo florecer» algo que nadie observó?</w:t>
      </w:r>
    </w:p>
    <w:p>
      <w:pPr>
        <w:pStyle w:val="BodyJ"/>
        <w:numPr>
          <w:ilvl w:val="0"/>
          <w:numId w:val="25"/>
        </w:numPr>
      </w:pPr>
      <w:r>
        <w:t xml:space="preserve">El diagnóstico que más me satisface hoy: ¿me convence por la evidencia o por lo bien que cierra la historia?</w:t>
      </w:r>
    </w:p>
    <w:p>
      <w:pPr>
        <w:pStyle w:val="BodyJ"/>
        <w:numPr>
          <w:ilvl w:val="0"/>
          <w:numId w:val="25"/>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5"/>
        </w:numPr>
      </w:pPr>
      <w:r>
        <w:rPr>
          <w:b/>
          <w:bCs/>
        </w:rPr>
        <w:t xml:space="preserve">Hechos</w:t>
      </w:r>
      <w:r>
        <w:t xml:space="preserve">: observar con procedencia y límites.</w:t>
      </w:r>
    </w:p>
    <w:p>
      <w:pPr>
        <w:pStyle w:val="BodyJ"/>
        <w:numPr>
          <w:ilvl w:val="0"/>
          <w:numId w:val="5"/>
        </w:numPr>
      </w:pPr>
      <w:r>
        <w:rPr>
          <w:b/>
          <w:bCs/>
        </w:rPr>
        <w:t xml:space="preserve">Inferencias</w:t>
      </w:r>
      <w:r>
        <w:t xml:space="preserve">: explicar con fuerza proporcional.</w:t>
      </w:r>
    </w:p>
    <w:p>
      <w:pPr>
        <w:pStyle w:val="BodyJ"/>
        <w:numPr>
          <w:ilvl w:val="0"/>
          <w:numId w:val="5"/>
        </w:numPr>
      </w:pPr>
      <w:r>
        <w:rPr>
          <w:b/>
          <w:bCs/>
        </w:rPr>
        <w:t xml:space="preserve">Incertidumbre</w:t>
      </w:r>
      <w:r>
        <w:t xml:space="preserve">: nombrar lo que puede cambiar el modelo o la conducta.</w:t>
      </w:r>
    </w:p>
    <w:p>
      <w:pPr>
        <w:pStyle w:val="BodyJ"/>
        <w:numPr>
          <w:ilvl w:val="0"/>
          <w:numId w:val="5"/>
        </w:numPr>
      </w:pPr>
      <w:r>
        <w:rPr>
          <w:b/>
          <w:bCs/>
        </w:rPr>
        <w:t xml:space="preserve">Decisión</w:t>
      </w:r>
      <w:r>
        <w:t xml:space="preserve">: actuar por umbrales y consecuencias, no por necesidad de certeza.</w:t>
      </w:r>
    </w:p>
    <w:p>
      <w:pPr>
        <w:pStyle w:val="BodyJ"/>
        <w:numPr>
          <w:ilvl w:val="0"/>
          <w:numId w:val="5"/>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5"/>
        </w:numPr>
      </w:pPr>
      <w:r>
        <w:t xml:space="preserve">Fuente y fecha de cada dato.</w:t>
      </w:r>
    </w:p>
    <w:p>
      <w:pPr>
        <w:pStyle w:val="BodyJ"/>
        <w:numPr>
          <w:ilvl w:val="0"/>
          <w:numId w:val="5"/>
        </w:numPr>
      </w:pPr>
      <w:r>
        <w:t xml:space="preserve">Tendencia temporal.</w:t>
      </w:r>
    </w:p>
    <w:p>
      <w:pPr>
        <w:pStyle w:val="BodyJ"/>
        <w:numPr>
          <w:ilvl w:val="0"/>
          <w:numId w:val="5"/>
        </w:numPr>
      </w:pPr>
      <w:r>
        <w:t xml:space="preserve">Hallazgos positivos y negativos.</w:t>
      </w:r>
    </w:p>
    <w:p>
      <w:pPr>
        <w:pStyle w:val="BodyJ"/>
        <w:numPr>
          <w:ilvl w:val="0"/>
          <w:numId w:val="5"/>
        </w:numPr>
      </w:pPr>
      <w:r>
        <w:t xml:space="preserve">Datos no evaluados o no disponibles.</w:t>
      </w:r>
    </w:p>
    <w:p>
      <w:pPr>
        <w:pStyle w:val="BodyJ"/>
        <w:numPr>
          <w:ilvl w:val="0"/>
          <w:numId w:val="5"/>
        </w:numPr>
      </w:pPr>
      <w:r>
        <w:t xml:space="preserve">Confiabilidad y límites del método.</w:t>
      </w:r>
    </w:p>
    <w:p>
      <w:pPr>
        <w:pStyle w:val="BodyJ"/>
        <w:numPr>
          <w:ilvl w:val="0"/>
          <w:numId w:val="5"/>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5"/>
        </w:numPr>
      </w:pPr>
      <w:r>
        <w:t xml:space="preserve">Representación del problema en una frase.</w:t>
      </w:r>
    </w:p>
    <w:p>
      <w:pPr>
        <w:pStyle w:val="BodyJ"/>
        <w:numPr>
          <w:ilvl w:val="0"/>
          <w:numId w:val="5"/>
        </w:numPr>
      </w:pPr>
      <w:r>
        <w:t xml:space="preserve">Grado de certeza: demostrado / altamente probable / probable / posible / no demostrado.</w:t>
      </w:r>
    </w:p>
    <w:p>
      <w:pPr>
        <w:pStyle w:val="BodyJ"/>
        <w:numPr>
          <w:ilvl w:val="0"/>
          <w:numId w:val="5"/>
        </w:numPr>
      </w:pPr>
      <w:r>
        <w:t xml:space="preserve">Mecanismo causal propuesto y qué parte no fue observada.</w:t>
      </w:r>
    </w:p>
    <w:p>
      <w:pPr>
        <w:pStyle w:val="BodyJ"/>
        <w:numPr>
          <w:ilvl w:val="0"/>
          <w:numId w:val="5"/>
        </w:numPr>
      </w:pPr>
      <w:r>
        <w:t xml:space="preserve">Evidencia convergente y dato discordante.</w:t>
      </w:r>
    </w:p>
    <w:p>
      <w:pPr>
        <w:pStyle w:val="BodyJ"/>
      </w:pPr>
      <w:r>
        <w:rPr>
          <w:b/>
          <w:bCs/>
        </w:rPr>
        <w:t xml:space="preserve">I — Incertidumbre</w:t>
      </w:r>
    </w:p>
    <w:p>
      <w:pPr>
        <w:pStyle w:val="BodyJ"/>
        <w:numPr>
          <w:ilvl w:val="0"/>
          <w:numId w:val="5"/>
        </w:numPr>
      </w:pPr>
      <w:r>
        <w:t xml:space="preserve">Alternativa que cambiaría la conducta.</w:t>
      </w:r>
    </w:p>
    <w:p>
      <w:pPr>
        <w:pStyle w:val="BodyJ"/>
        <w:numPr>
          <w:ilvl w:val="0"/>
          <w:numId w:val="5"/>
        </w:numPr>
      </w:pPr>
      <w:r>
        <w:t xml:space="preserve">Duda reducible con examen.</w:t>
      </w:r>
    </w:p>
    <w:p>
      <w:pPr>
        <w:pStyle w:val="BodyJ"/>
        <w:numPr>
          <w:ilvl w:val="0"/>
          <w:numId w:val="5"/>
        </w:numPr>
      </w:pPr>
      <w:r>
        <w:t xml:space="preserve">Duda dependiente de evolución.</w:t>
      </w:r>
    </w:p>
    <w:p>
      <w:pPr>
        <w:pStyle w:val="BodyJ"/>
        <w:numPr>
          <w:ilvl w:val="0"/>
          <w:numId w:val="5"/>
        </w:numPr>
      </w:pPr>
      <w:r>
        <w:t xml:space="preserve">Duda irreductible o no relevante para la decisión inmediata.</w:t>
      </w:r>
    </w:p>
    <w:p>
      <w:pPr>
        <w:pStyle w:val="BodyJ"/>
        <w:numPr>
          <w:ilvl w:val="0"/>
          <w:numId w:val="5"/>
        </w:numPr>
      </w:pPr>
      <w:r>
        <w:t xml:space="preserve">Error de mayor consecuencia.</w:t>
      </w:r>
    </w:p>
    <w:p>
      <w:pPr>
        <w:pStyle w:val="BodyJ"/>
      </w:pPr>
      <w:r>
        <w:rPr>
          <w:b/>
          <w:bCs/>
        </w:rPr>
        <w:t xml:space="preserve">D — Decisión</w:t>
      </w:r>
    </w:p>
    <w:p>
      <w:pPr>
        <w:pStyle w:val="BodyJ"/>
        <w:numPr>
          <w:ilvl w:val="0"/>
          <w:numId w:val="5"/>
        </w:numPr>
      </w:pPr>
      <w:r>
        <w:t xml:space="preserve">Conducta elegida.</w:t>
      </w:r>
    </w:p>
    <w:p>
      <w:pPr>
        <w:pStyle w:val="BodyJ"/>
        <w:numPr>
          <w:ilvl w:val="0"/>
          <w:numId w:val="5"/>
        </w:numPr>
      </w:pPr>
      <w:r>
        <w:t xml:space="preserve">Por qué el beneficio esperado supera al de las alternativas.</w:t>
      </w:r>
    </w:p>
    <w:p>
      <w:pPr>
        <w:pStyle w:val="BodyJ"/>
        <w:numPr>
          <w:ilvl w:val="0"/>
          <w:numId w:val="5"/>
        </w:numPr>
      </w:pPr>
      <w:r>
        <w:t xml:space="preserve">Urgencia, reversibilidad y capacidad de vigilancia.</w:t>
      </w:r>
    </w:p>
    <w:p>
      <w:pPr>
        <w:pStyle w:val="BodyJ"/>
        <w:numPr>
          <w:ilvl w:val="0"/>
          <w:numId w:val="5"/>
        </w:numPr>
      </w:pPr>
      <w:r>
        <w:t xml:space="preserve">Contexto global: funcionalidad basal, pronóstico de fondo, red de apoyo social y familiar.</w:t>
      </w:r>
    </w:p>
    <w:p>
      <w:pPr>
        <w:pStyle w:val="BodyJ"/>
        <w:numPr>
          <w:ilvl w:val="0"/>
          <w:numId w:val="5"/>
        </w:numPr>
      </w:pPr>
      <w:r>
        <w:t xml:space="preserve">Preferencias del paciente (citadas, no presumidas).</w:t>
      </w:r>
    </w:p>
    <w:p>
      <w:pPr>
        <w:pStyle w:val="BodyJ"/>
        <w:numPr>
          <w:ilvl w:val="0"/>
          <w:numId w:val="5"/>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5"/>
        </w:numPr>
      </w:pPr>
      <w:r>
        <w:t xml:space="preserve">Resultado pendiente.</w:t>
      </w:r>
    </w:p>
    <w:p>
      <w:pPr>
        <w:pStyle w:val="BodyJ"/>
        <w:numPr>
          <w:ilvl w:val="0"/>
          <w:numId w:val="5"/>
        </w:numPr>
      </w:pPr>
      <w:r>
        <w:t xml:space="preserve">Plazo.</w:t>
      </w:r>
    </w:p>
    <w:p>
      <w:pPr>
        <w:pStyle w:val="BodyJ"/>
        <w:numPr>
          <w:ilvl w:val="0"/>
          <w:numId w:val="5"/>
        </w:numPr>
      </w:pPr>
      <w:r>
        <w:t xml:space="preserve">Cambio clínico que obliga a reabrir el caso.</w:t>
      </w:r>
    </w:p>
    <w:p>
      <w:pPr>
        <w:pStyle w:val="BodyJ"/>
        <w:numPr>
          <w:ilvl w:val="0"/>
          <w:numId w:val="5"/>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5"/>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5"/>
        </w:numPr>
      </w:pPr>
      <w:r>
        <w:t xml:space="preserve">Cuando se active, usar las cuatro preguntas de la versión de sesenta segundos en voz alta. Duración objetivo: dos minutos por caso. Quien dirige la visita modela; no interroga.</w:t>
      </w:r>
    </w:p>
    <w:p>
      <w:pPr>
        <w:pStyle w:val="BodyJ"/>
        <w:numPr>
          <w:ilvl w:val="0"/>
          <w:numId w:val="5"/>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5"/>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del Apéndice D usar con quién, en el orden en que rinden más; cada uno se nombra por su capítulo. Salvo los que se sostienen en el tiempo (los de los capítulos 5, 15 y 16), cada uno cabe en una reunión de treinta minutos.</w:t>
      </w:r>
    </w:p>
    <w:p>
      <w:pPr>
        <w:pStyle w:val="BodyJ"/>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(la observación activa, por escrito) y 12 (conjugar los verbos). Enseñan el léxico y las capas antes que el juicio.</w:t>
      </w:r>
    </w:p>
    <w:p>
      <w:pPr>
        <w:pStyle w:val="BodyJ"/>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12 (desfosilizar una evolución), 13 (traducir un desacuerdo) y 15 (su paciente, esta semana). Trabajan sobre el propio razonamiento y sobre pacientes reales.</w:t>
      </w:r>
    </w:p>
    <w:p>
      <w:pPr>
        <w:pStyle w:val="BodyJ"/>
        <w:numPr>
          <w:ilvl w:val="0"/>
          <w:numId w:val="5"/>
        </w:numPr>
      </w:pPr>
      <w:r>
        <w:rPr>
          <w:b/>
          <w:bCs/>
        </w:rPr>
        <w:t xml:space="preserve">Jefe de servicio, docente y comité</w:t>
      </w:r>
      <w:r>
        <w:t xml:space="preserve">: los de los capítulos 10 (las cuatro casillas), 16 (rediseñar la visita de sala) y 17 (la autopsia de una respuesta de IA), y la reunión de morbimortalidad en el formato de la viñeta 6. Cambian el sistema, no sólo al que razona.</w:t>
      </w:r>
    </w:p>
    <w:p>
      <w:pPr>
        <w:pStyle w:val="BodyJ"/>
        <w:numPr>
          <w:ilvl w:val="0"/>
          <w:numId w:val="5"/>
        </w:numPr>
      </w:pPr>
      <w:r>
        <w:rPr>
          <w:b/>
          <w:bCs/>
        </w:rPr>
        <w:t xml:space="preserve">Para todos, al cierre de un ciclo</w:t>
      </w:r>
      <w:r>
        <w:t xml:space="preserve">: los de los capítulos 2 (cinco hipótesis en tres minutos) y 18 (la prueba de Parra), que entrenan la generación y el oído.</w:t>
      </w:r>
    </w:p>
    <w:p>
      <w:pPr>
        <w:pStyle w:val="BodyJ"/>
      </w:pPr>
      <w:r>
        <w:t xml:space="preserve">Secuencia mínima para un servicio que empieza, alineada con las fases de esta guía: el taller del capítulo 4 en las semanas 1–2 (el lenguaje), los de los capítulos 8 y 11 en las semanas 3–4 (la pausa en la visita de sala), los dos del capítulo 12 en el mes 2 (la ficha) y el del capítulo 7 desde el mes 3, junto a la reunión de morbimortalidad; el resto, a demanda. Los «errores típicos» anotados en los talleres de los capítulos 7, 8, 10 (frecuencias naturales) y 12 (conjugar los verbos) son lo que los grupos suelen responder primero; mostrarlos antes de la versión posible enseña por contraste.</w:t>
      </w:r>
    </w:p>
    <w:p>
      <w:pPr>
        <w:pStyle w:val="Heading1"/>
        <w:pageBreakBefore/>
        <w:spacing w:after="320" w:before="720"/>
      </w:pPr>
      <w:r>
        <w:rPr>
          <w:rFonts w:ascii="Georgia" w:cs="Georgia" w:eastAsia="Georgia" w:hAnsi="Georgia"/>
          <w:b/>
          <w:bCs/>
          <w:color w:val="2B2B2B"/>
          <w:sz w:val="34"/>
          <w:szCs w:val="34"/>
        </w:rPr>
        <w:t xml:space="preserve">Apéndice D. Talleres</w:t>
      </w:r>
    </w:p>
    <w:p>
      <w:pPr>
        <w:pStyle w:val="BodyJ"/>
      </w:pPr>
      <w:r>
        <w:t xml:space="preserve">Los ejercicios de este apéndice son para quien quiera practicar. Hay uno por capítulo, salvo en los capítulos 6, 9 y 14, que no tienen, y en los capítulos 2, 10 y 12,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pPr>
      <w:r>
        <w:t xml:space="preserve">Taller del capítulo 1. ¿Qué tan hecho es este hecho?</w:t>
      </w:r>
    </w:p>
    <w:p>
      <w:pPr>
        <w:pStyle w:val="BodyJ"/>
      </w:pPr>
      <w:r>
        <w:t xml:space="preserve">Clasificar cada afirmación según el gradiente de facticidad (medido / observado por profesional / relato / heredado / ausencia inferida) y reescribir la que parezca más frágil:</w:t>
      </w:r>
    </w:p>
    <w:p>
      <w:pPr>
        <w:pStyle w:val="BodyJ"/>
        <w:numPr>
          <w:ilvl w:val="0"/>
          <w:numId w:val="27"/>
        </w:numPr>
      </w:pPr>
      <w:r>
        <w:t xml:space="preserve">«Lactato 3,9 mmol/L (04:15, arterial).»</w:t>
      </w:r>
    </w:p>
    <w:p>
      <w:pPr>
        <w:pStyle w:val="BodyJ"/>
        <w:numPr>
          <w:ilvl w:val="0"/>
          <w:numId w:val="27"/>
        </w:numPr>
      </w:pPr>
      <w:r>
        <w:t xml:space="preserve">«Abdomen sin signos de irritación peritoneal.»</w:t>
      </w:r>
    </w:p>
    <w:p>
      <w:pPr>
        <w:pStyle w:val="BodyJ"/>
        <w:numPr>
          <w:ilvl w:val="0"/>
          <w:numId w:val="27"/>
        </w:numPr>
      </w:pPr>
      <w:r>
        <w:t xml:space="preserve">«Alérgica a penicilina.»</w:t>
      </w:r>
    </w:p>
    <w:p>
      <w:pPr>
        <w:pStyle w:val="BodyJ"/>
        <w:numPr>
          <w:ilvl w:val="0"/>
          <w:numId w:val="27"/>
        </w:numPr>
      </w:pPr>
      <w:r>
        <w:t xml:space="preserve">«Sin episodios previos de sangrado.»</w:t>
      </w:r>
    </w:p>
    <w:p>
      <w:pPr>
        <w:pStyle w:val="BodyJ"/>
        <w:numPr>
          <w:ilvl w:val="0"/>
          <w:numId w:val="27"/>
        </w:numPr>
      </w:pPr>
      <w:r>
        <w:t xml:space="preserve">«La hernia no se dejó acomodar y el dolor era distinto al de otras veces.»</w:t>
      </w:r>
    </w:p>
    <w:p>
      <w:pPr>
        <w:pStyle w:val="BodyJ"/>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pPr>
      <w:r>
        <w:t xml:space="preserve">Taller del capítulo 2. La sentencia del TAC</w:t>
      </w:r>
    </w:p>
    <w:p>
      <w:pPr>
        <w:pStyle w:val="BodyJ"/>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pPr>
      <w:r>
        <w:t xml:space="preserve">Taller del capítulo 2. Cinco hipótesis en tres minutos</w:t>
      </w:r>
    </w:p>
    <w:p>
      <w:pPr>
        <w:pStyle w:val="BodyJ"/>
      </w:pPr>
      <w:r>
        <w:t xml:space="preserve">Un paciente con EPOC conocido consulta por disnea que no ha respondido a dos rondas de broncodilatadores en urgencias. La saturación es 89%,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pPr>
      <w:r>
        <w:rPr>
          <w:i/>
          <w:iCs/>
        </w:rPr>
        <w:t xml:space="preserve">Una versión posible.</w:t>
      </w:r>
      <w:r>
        <w:t xml:space="preserve"> La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pPr>
      <w:r>
        <w:t xml:space="preserve">Taller del capítulo 3. El mapa de lo que no sabemos de Carmen</w:t>
      </w:r>
    </w:p>
    <w:p>
      <w:pPr>
        <w:pStyle w:val="BodyJ"/>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pPr>
      <w:r>
        <w:t xml:space="preserve">Taller del capítulo 4. Cinco frases para reescribir</w:t>
      </w:r>
    </w:p>
    <w:p>
      <w:pPr>
        <w:pStyle w:val="BodyJ"/>
      </w:pPr>
      <w:r>
        <w:t xml:space="preserve">Reescribir cada frase para que la fuerza del lenguaje corresponda a la fuerza de la evidencia disponible (con los mínimos datos verosímiles que haga falta inventar):</w:t>
      </w:r>
    </w:p>
    <w:p>
      <w:pPr>
        <w:pStyle w:val="BodyJ"/>
        <w:numPr>
          <w:ilvl w:val="0"/>
          <w:numId w:val="28"/>
        </w:numPr>
      </w:pPr>
      <w:r>
        <w:t xml:space="preserve">«Se descarta tromboembolismo pulmonar.»</w:t>
      </w:r>
    </w:p>
    <w:p>
      <w:pPr>
        <w:pStyle w:val="BodyJ"/>
        <w:numPr>
          <w:ilvl w:val="0"/>
          <w:numId w:val="28"/>
        </w:numPr>
      </w:pPr>
      <w:r>
        <w:t xml:space="preserve">«Neumonía que respondió a antibióticos.»</w:t>
      </w:r>
    </w:p>
    <w:p>
      <w:pPr>
        <w:pStyle w:val="BodyJ"/>
        <w:numPr>
          <w:ilvl w:val="0"/>
          <w:numId w:val="28"/>
        </w:numPr>
      </w:pPr>
      <w:r>
        <w:t xml:space="preserve">«Paciente poco colaborador.»</w:t>
      </w:r>
    </w:p>
    <w:p>
      <w:pPr>
        <w:pStyle w:val="BodyJ"/>
        <w:numPr>
          <w:ilvl w:val="0"/>
          <w:numId w:val="28"/>
        </w:numPr>
      </w:pPr>
      <w:r>
        <w:t xml:space="preserve">«ITU en tratamiento» (paciente sondado, urocultivo positivo, afebril, sin síntomas nuevos).</w:t>
      </w:r>
    </w:p>
    <w:p>
      <w:pPr>
        <w:pStyle w:val="BodyJ"/>
        <w:numPr>
          <w:ilvl w:val="0"/>
          <w:numId w:val="28"/>
        </w:numPr>
      </w:pPr>
      <w:r>
        <w:t xml:space="preserve">«Fracaso de manejo médico.»</w:t>
      </w:r>
    </w:p>
    <w:p>
      <w:pPr>
        <w:pStyle w:val="BodyJ"/>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pPr>
      <w:r>
        <w:t xml:space="preserve">Taller del capítulo 5. Un experimento de calibración personal</w:t>
      </w:r>
    </w:p>
    <w:p>
      <w:pPr>
        <w:pStyle w:val="BodyJ"/>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pPr>
      <w:r>
        <w:t xml:space="preserve">Taller del capítulo 7. Reconstruir una trayectoria, no asignar un sesgo</w:t>
      </w:r>
    </w:p>
    <w:p>
      <w:pPr>
        <w:pStyle w:val="BodyJ"/>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pPr>
      <w:r>
        <w:t xml:space="preserve">Taller del capítulo 8. Presentar sin la etiqueta</w:t>
      </w:r>
    </w:p>
    <w:p>
      <w:pPr>
        <w:pStyle w:val="BodyJ"/>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12).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pPr>
      <w:r>
        <w:t xml:space="preserve">Taller del capítulo 10. Frecuencias naturales con los números del servicio</w:t>
      </w:r>
    </w:p>
    <w:p>
      <w:pPr>
        <w:pStyle w:val="BodyJ"/>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pPr>
      <w:r>
        <w:t xml:space="preserve">Taller del capítulo 10. Las cuatro casillas en cinco minutos</w:t>
      </w:r>
    </w:p>
    <w:p>
      <w:pPr>
        <w:pStyle w:val="BodyJ"/>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pPr>
      <w:r>
        <w:t xml:space="preserve">Taller del capítulo 11. La observación activa, por escrito</w:t>
      </w:r>
    </w:p>
    <w:p>
      <w:pPr>
        <w:pStyle w:val="BodyJ"/>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pPr>
      <w:r>
        <w:t xml:space="preserve">Taller del capítulo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del capítulo 12. Conjugar los verbos</w:t>
      </w:r>
    </w:p>
    <w:p>
      <w:pPr>
        <w:pStyle w:val="BodyJ"/>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pPr>
      <w:r>
        <w:t xml:space="preserve">Taller del capítulo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pPr>
      <w:r>
        <w:t xml:space="preserve">Taller del capítulo 15. Su paciente, esta semana</w:t>
      </w:r>
    </w:p>
    <w:p>
      <w:pPr>
        <w:pStyle w:val="BodyJ"/>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pPr>
      <w:r>
        <w:t xml:space="preserve">Taller del capítulo 16. Rediseñar la visita de sala</w:t>
      </w:r>
    </w:p>
    <w:p>
      <w:pPr>
        <w:pStyle w:val="BodyJ"/>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TallerHead"/>
      </w:pPr>
      <w:r>
        <w:t xml:space="preserve">Taller del capítulo 17. La autopsia de una respuesta</w:t>
      </w:r>
    </w:p>
    <w:p>
      <w:pPr>
        <w:pStyle w:val="BodyJ"/>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 detalles «típicos», causalidades, datos que nadie le dio; (3) incertidumbre declarada. Después, una segunda pregunta al modelo: «¿qué evidencia haría improbable tu diagnóstico principal?».</w:t>
      </w:r>
    </w:p>
    <w:p>
      <w:pPr>
        <w:pStyle w:val="BodyJ"/>
      </w:pPr>
      <w:r>
        <w:rPr>
          <w:i/>
          <w:iCs/>
        </w:rPr>
        <w:t xml:space="preserve">Comentario.</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conviene compararla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TallerHead"/>
      </w:pPr>
      <w:r>
        <w:t xml:space="preserve">Taller del capítulo 18. La prueba de Parra</w:t>
      </w:r>
    </w:p>
    <w:p>
      <w:pPr>
        <w:pStyle w:val="BodyJ"/>
      </w:pPr>
      <w:r>
        <w:t xml:space="preserve">Dos preguntas para la frase medular del paciente más reciente.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pageBreakBefore/>
        <w:spacing w:after="320" w:before="720"/>
      </w:pPr>
      <w:r>
        <w:rPr>
          <w:rFonts w:ascii="Georgia" w:cs="Georgia" w:eastAsia="Georgia" w:hAnsi="Georgia"/>
          <w:b/>
          <w:bCs/>
          <w:color w:val="2B2B2B"/>
          <w:sz w:val="34"/>
          <w:szCs w:val="34"/>
        </w:rPr>
        <w:t xml:space="preserve">Apéndice E. Las preguntas para la próxima visita</w:t>
      </w:r>
    </w:p>
    <w:p>
      <w:pPr>
        <w:pStyle w:val="BodyJ"/>
      </w:pPr>
      <w:r>
        <w:t xml:space="preserve">Las 57 preguntas con que cierran la Introducción y los dieciocho capítulos, reunidas para la visita de sala, la entrega de turno o el portafolio de calibración del capítulo 5. Tres por capítulo; una por semana basta. Ninguna pide más de dos minutos y todas se responden con un paciente concreto.</w:t>
      </w:r>
    </w:p>
    <w:p>
      <w:pPr>
        <w:pStyle w:val="BodyJ"/>
      </w:pPr>
      <w:r>
        <w:rPr>
          <w:b/>
          <w:bCs/>
        </w:rPr>
        <w:t xml:space="preserve">Introducción</w:t>
      </w:r>
    </w:p>
    <w:p>
      <w:pPr>
        <w:pStyle w:val="BodyJ"/>
        <w:numPr>
          <w:ilvl w:val="0"/>
          <w:numId w:val="5"/>
        </w:numPr>
      </w:pPr>
      <w:r>
        <w:t xml:space="preserve">En la última nota que escribí, ¿qué afirmación era un dato y cuál era mi interpretación del dato?</w:t>
      </w:r>
    </w:p>
    <w:p>
      <w:pPr>
        <w:pStyle w:val="BodyJ"/>
        <w:numPr>
          <w:ilvl w:val="0"/>
          <w:numId w:val="5"/>
        </w:numPr>
      </w:pPr>
      <w:r>
        <w:t xml:space="preserve">¿Qué frase de la ficha de mi paciente actual heredé de otra nota sin verificar su origen?</w:t>
      </w:r>
    </w:p>
    <w:p>
      <w:pPr>
        <w:pStyle w:val="BodyJ"/>
        <w:numPr>
          <w:ilvl w:val="0"/>
          <w:numId w:val="5"/>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5"/>
        </w:numPr>
      </w:pPr>
      <w:r>
        <w:t xml:space="preserve">¿Cuál es el dato más decisivo de mi evaluación de hoy y quién lo produjo realmente?</w:t>
      </w:r>
    </w:p>
    <w:p>
      <w:pPr>
        <w:pStyle w:val="BodyJ"/>
        <w:numPr>
          <w:ilvl w:val="0"/>
          <w:numId w:val="5"/>
        </w:numPr>
      </w:pPr>
      <w:r>
        <w:t xml:space="preserve">¿Qué «hallazgo negativo» estoy tratando como evidencia de ausencia sin preguntarme por la sensibilidad de la búsqueda?</w:t>
      </w:r>
    </w:p>
    <w:p>
      <w:pPr>
        <w:pStyle w:val="BodyJ"/>
        <w:numPr>
          <w:ilvl w:val="0"/>
          <w:numId w:val="5"/>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5"/>
        </w:numPr>
      </w:pPr>
      <w:r>
        <w:t xml:space="preserve">De todo lo que no sé de este paciente, ¿qué duda cambiaría mi conducta si se resolviera?</w:t>
      </w:r>
    </w:p>
    <w:p>
      <w:pPr>
        <w:pStyle w:val="BodyJ"/>
        <w:numPr>
          <w:ilvl w:val="0"/>
          <w:numId w:val="5"/>
        </w:numPr>
      </w:pPr>
      <w:r>
        <w:t xml:space="preserve">¿Cuál es la duda pequeña con consecuencia catastrófica que exige vigilancia explícita?</w:t>
      </w:r>
    </w:p>
    <w:p>
      <w:pPr>
        <w:pStyle w:val="BodyJ"/>
        <w:numPr>
          <w:ilvl w:val="0"/>
          <w:numId w:val="5"/>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5"/>
        </w:numPr>
      </w:pPr>
      <w:r>
        <w:t xml:space="preserve">En mi última evolución, ¿qué verbo causal («secundario a», «por», «complicado por») no podría defender si me lo preguntaran?</w:t>
      </w:r>
    </w:p>
    <w:p>
      <w:pPr>
        <w:pStyle w:val="BodyJ"/>
        <w:numPr>
          <w:ilvl w:val="0"/>
          <w:numId w:val="5"/>
        </w:numPr>
      </w:pPr>
      <w:r>
        <w:t xml:space="preserve">¿Escribí «se descarta» donde sólo tenía «sin evidencia actual de»?</w:t>
      </w:r>
    </w:p>
    <w:p>
      <w:pPr>
        <w:pStyle w:val="BodyJ"/>
        <w:numPr>
          <w:ilvl w:val="0"/>
          <w:numId w:val="5"/>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5"/>
        </w:numPr>
      </w:pPr>
      <w:r>
        <w:t xml:space="preserve">En mi diagnóstico más firme de hoy, ¿mi confianza viene de la evidencia o de la fluidez con que reconocí el patrón?</w:t>
      </w:r>
    </w:p>
    <w:p>
      <w:pPr>
        <w:pStyle w:val="BodyJ"/>
        <w:numPr>
          <w:ilvl w:val="0"/>
          <w:numId w:val="5"/>
        </w:numPr>
      </w:pPr>
      <w:r>
        <w:t xml:space="preserve">¿Qué señal afectiva (prisa, irritación, alivio) está influyendo en mi evaluación de este caso?</w:t>
      </w:r>
    </w:p>
    <w:p>
      <w:pPr>
        <w:pStyle w:val="BodyJ"/>
        <w:numPr>
          <w:ilvl w:val="0"/>
          <w:numId w:val="5"/>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5"/>
        </w:numPr>
      </w:pPr>
      <w:r>
        <w:t xml:space="preserve">¿En qué dominio tengo suficiente experiencia con feedback real como para confiar en mi primera impresión?</w:t>
      </w:r>
    </w:p>
    <w:p>
      <w:pPr>
        <w:pStyle w:val="BodyJ"/>
        <w:numPr>
          <w:ilvl w:val="0"/>
          <w:numId w:val="5"/>
        </w:numPr>
      </w:pPr>
      <w:r>
        <w:t xml:space="preserve">La última vez que «vi» un diagnóstico al instante, ¿qué características lo activaron? ¿Puedo nombrarlas?</w:t>
      </w:r>
    </w:p>
    <w:p>
      <w:pPr>
        <w:pStyle w:val="BodyJ"/>
        <w:numPr>
          <w:ilvl w:val="0"/>
          <w:numId w:val="5"/>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5"/>
        </w:numPr>
      </w:pPr>
      <w:r>
        <w:t xml:space="preserve">¿Qué frase heredada estoy tratando como hecho en mi paciente más complejo?</w:t>
      </w:r>
    </w:p>
    <w:p>
      <w:pPr>
        <w:pStyle w:val="BodyJ"/>
        <w:numPr>
          <w:ilvl w:val="0"/>
          <w:numId w:val="5"/>
        </w:numPr>
      </w:pPr>
      <w:r>
        <w:t xml:space="preserve">¿Qué dato «confirmatorio» de hoy confirmaría también la hipótesis rival?</w:t>
      </w:r>
    </w:p>
    <w:p>
      <w:pPr>
        <w:pStyle w:val="BodyJ"/>
        <w:numPr>
          <w:ilvl w:val="0"/>
          <w:numId w:val="5"/>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5"/>
        </w:numPr>
      </w:pPr>
      <w:r>
        <w:t xml:space="preserve">¿Puedo presentar mi caso más complejo sin usar su etiqueta diagnóstica?</w:t>
      </w:r>
    </w:p>
    <w:p>
      <w:pPr>
        <w:pStyle w:val="BodyJ"/>
        <w:numPr>
          <w:ilvl w:val="0"/>
          <w:numId w:val="5"/>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5"/>
        </w:numPr>
      </w:pPr>
      <w:r>
        <w:t xml:space="preserve">Para mi indicación más importante de hoy: ¿qué demostró exactamente el estudio que la respalda, y en qué se parece mi paciente a esa población?</w:t>
      </w:r>
    </w:p>
    <w:p>
      <w:pPr>
        <w:pStyle w:val="BodyJ"/>
        <w:numPr>
          <w:ilvl w:val="0"/>
          <w:numId w:val="5"/>
        </w:numPr>
      </w:pPr>
      <w:r>
        <w:t xml:space="preserve">El último ensayo «negativo» que cité: ¿mostró ausencia de efecto o ausencia de significación — y traté esa diferencia como si no existiera?</w:t>
      </w:r>
    </w:p>
    <w:p>
      <w:pPr>
        <w:pStyle w:val="BodyJ"/>
        <w:numPr>
          <w:ilvl w:val="0"/>
          <w:numId w:val="5"/>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5"/>
        </w:numPr>
      </w:pPr>
      <w:r>
        <w:t xml:space="preserve">¿Cuál es el umbral implícito de mi decisión: qué probabilidad de estar equivocado la haría cambiar?</w:t>
      </w:r>
    </w:p>
    <w:p>
      <w:pPr>
        <w:pStyle w:val="BodyJ"/>
        <w:numPr>
          <w:ilvl w:val="0"/>
          <w:numId w:val="5"/>
        </w:numPr>
      </w:pPr>
      <w:r>
        <w:t xml:space="preserve">¿Estoy exigiendo certeza diagnóstica donde bastaría compromiso práctico, o actuando para no tolerar una duda?</w:t>
      </w:r>
    </w:p>
    <w:p>
      <w:pPr>
        <w:pStyle w:val="BodyJ"/>
        <w:numPr>
          <w:ilvl w:val="0"/>
          <w:numId w:val="5"/>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5"/>
        </w:numPr>
      </w:pPr>
      <w:r>
        <w:t xml:space="preserve">«Está mejor»: ¿mejor que cuándo, en qué variable y a qué velocidad?</w:t>
      </w:r>
    </w:p>
    <w:p>
      <w:pPr>
        <w:pStyle w:val="BodyJ"/>
        <w:numPr>
          <w:ilvl w:val="0"/>
          <w:numId w:val="5"/>
        </w:numPr>
      </w:pPr>
      <w:r>
        <w:t xml:space="preserve">¿Qué predijo mi diagnóstico hace 48 horas, y la evolución lo confirmó o lo desmintió?</w:t>
      </w:r>
    </w:p>
    <w:p>
      <w:pPr>
        <w:pStyle w:val="BodyJ"/>
        <w:numPr>
          <w:ilvl w:val="0"/>
          <w:numId w:val="5"/>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5"/>
        </w:numPr>
      </w:pPr>
      <w:r>
        <w:t xml:space="preserve">¿Qué párrafo de mi evolución de hoy es copia de ayer, y sigue siendo verdad?</w:t>
      </w:r>
    </w:p>
    <w:p>
      <w:pPr>
        <w:pStyle w:val="BodyJ"/>
        <w:numPr>
          <w:ilvl w:val="0"/>
          <w:numId w:val="5"/>
        </w:numPr>
      </w:pPr>
      <w:r>
        <w:t xml:space="preserve">Si yo no estuviera mañana, ¿el médico que me reemplace sabría por mi nota qué vigilar y qué reabriría el caso?</w:t>
      </w:r>
    </w:p>
    <w:p>
      <w:pPr>
        <w:pStyle w:val="BodyJ"/>
        <w:numPr>
          <w:ilvl w:val="0"/>
          <w:numId w:val="5"/>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5"/>
        </w:numPr>
      </w:pPr>
      <w:r>
        <w:t xml:space="preserve">¿Qué observó enfermería en las últimas 24 horas que no pasó por mi evaluación?</w:t>
      </w:r>
    </w:p>
    <w:p>
      <w:pPr>
        <w:pStyle w:val="BodyJ"/>
        <w:numPr>
          <w:ilvl w:val="0"/>
          <w:numId w:val="5"/>
        </w:numPr>
      </w:pPr>
      <w:r>
        <w:t xml:space="preserve">En mi último desacuerdo clínico, ¿discrepábamos en hechos, inferencias, incertidumbre, valores o umbral?</w:t>
      </w:r>
    </w:p>
    <w:p>
      <w:pPr>
        <w:pStyle w:val="BodyJ"/>
        <w:numPr>
          <w:ilvl w:val="0"/>
          <w:numId w:val="5"/>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5"/>
        </w:numPr>
      </w:pPr>
      <w:r>
        <w:t xml:space="preserve">¿A qué paciente le estoy creyendo menos de lo que su testimonio merece, y por qué?</w:t>
      </w:r>
    </w:p>
    <w:p>
      <w:pPr>
        <w:pStyle w:val="BodyJ"/>
        <w:numPr>
          <w:ilvl w:val="0"/>
          <w:numId w:val="5"/>
        </w:numPr>
      </w:pPr>
      <w:r>
        <w:t xml:space="preserve">Mi última recomendación firme: ¿podría explicar qué hechos la sostienen, qué incertidumbres la modificarían y qué valores del paciente pesan?</w:t>
      </w:r>
    </w:p>
    <w:p>
      <w:pPr>
        <w:pStyle w:val="BodyJ"/>
        <w:numPr>
          <w:ilvl w:val="0"/>
          <w:numId w:val="5"/>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5"/>
        </w:numPr>
      </w:pPr>
      <w:r>
        <w:t xml:space="preserve">¿Cuál es la pregunta operativa de mi caso más difícil —la decisión real en juego, no «el diagnóstico»?</w:t>
      </w:r>
    </w:p>
    <w:p>
      <w:pPr>
        <w:pStyle w:val="BodyJ"/>
        <w:numPr>
          <w:ilvl w:val="0"/>
          <w:numId w:val="5"/>
        </w:numPr>
      </w:pPr>
      <w:r>
        <w:t xml:space="preserve">¿Mi nota de hoy permite a otro médico reconstruir mis cuatro capas, o sólo mi conclusión?</w:t>
      </w:r>
    </w:p>
    <w:p>
      <w:pPr>
        <w:pStyle w:val="BodyJ"/>
        <w:numPr>
          <w:ilvl w:val="0"/>
          <w:numId w:val="5"/>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5"/>
        </w:numPr>
      </w:pPr>
      <w:r>
        <w:t xml:space="preserve">La última vez que enseñé un caso, ¿pedí el diagnóstico o pedí primero la representación del problema?</w:t>
      </w:r>
    </w:p>
    <w:p>
      <w:pPr>
        <w:pStyle w:val="BodyJ"/>
        <w:numPr>
          <w:ilvl w:val="0"/>
          <w:numId w:val="5"/>
        </w:numPr>
      </w:pPr>
      <w:r>
        <w:t xml:space="preserve">¿Qué pasó con el último paciente que derivé o di de alta con diagnóstico incierto — y cómo podría enterarme sistemáticamente?</w:t>
      </w:r>
    </w:p>
    <w:p>
      <w:pPr>
        <w:pStyle w:val="BodyJ"/>
        <w:numPr>
          <w:ilvl w:val="0"/>
          <w:numId w:val="5"/>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5"/>
        </w:numPr>
      </w:pPr>
      <w:r>
        <w:t xml:space="preserve">Si uso IA en este caso, ¿qué dato de su respuesta verifiqué contra una fuente primaria antes de actuar?</w:t>
      </w:r>
    </w:p>
    <w:p>
      <w:pPr>
        <w:pStyle w:val="BodyJ"/>
        <w:numPr>
          <w:ilvl w:val="0"/>
          <w:numId w:val="5"/>
        </w:numPr>
      </w:pPr>
      <w:r>
        <w:t xml:space="preserve">¿Qué agregó el modelo que el caso no contenía?</w:t>
      </w:r>
    </w:p>
    <w:p>
      <w:pPr>
        <w:pStyle w:val="BodyJ"/>
        <w:numPr>
          <w:ilvl w:val="0"/>
          <w:numId w:val="5"/>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5"/>
        </w:numPr>
      </w:pPr>
      <w:r>
        <w:t xml:space="preserve">¿Qué palabra de mi última nota está «haciendo florecer» algo que nadie observó?</w:t>
      </w:r>
    </w:p>
    <w:p>
      <w:pPr>
        <w:pStyle w:val="BodyJ"/>
        <w:numPr>
          <w:ilvl w:val="0"/>
          <w:numId w:val="5"/>
        </w:numPr>
      </w:pPr>
      <w:r>
        <w:t xml:space="preserve">El diagnóstico que más me satisface hoy: ¿me convence por la evidencia o por lo bien que cierra la historia?</w:t>
      </w:r>
    </w:p>
    <w:p>
      <w:pPr>
        <w:pStyle w:val="BodyJ"/>
        <w:numPr>
          <w:ilvl w:val="0"/>
          <w:numId w:val="5"/>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5"/>
        </w:numPr>
      </w:pPr>
      <w:r>
        <w:t xml:space="preserve">Abducción — 2; vigilada por la metacognición — 5; mantenida abierta por la humildad — 14</w:t>
      </w:r>
    </w:p>
    <w:p>
      <w:pPr>
        <w:pStyle w:val="BodyJ"/>
        <w:numPr>
          <w:ilvl w:val="0"/>
          <w:numId w:val="5"/>
        </w:numPr>
      </w:pPr>
      <w:r>
        <w:t xml:space="preserve">Actos de habla en la ficha (Austin) — 4</w:t>
      </w:r>
    </w:p>
    <w:p>
      <w:pPr>
        <w:pStyle w:val="BodyJ"/>
        <w:numPr>
          <w:ilvl w:val="0"/>
          <w:numId w:val="5"/>
        </w:numPr>
      </w:pPr>
      <w:r>
        <w:t xml:space="preserve">Anclaje — 7, 11, CC (viñeta 6)</w:t>
      </w:r>
    </w:p>
    <w:p>
      <w:pPr>
        <w:pStyle w:val="BodyJ"/>
        <w:numPr>
          <w:ilvl w:val="0"/>
          <w:numId w:val="5"/>
        </w:numPr>
      </w:pPr>
      <w:r>
        <w:t xml:space="preserve">Antipoesía como léxico de certeza (Parra) — 18</w:t>
      </w:r>
    </w:p>
    <w:p>
      <w:pPr>
        <w:pStyle w:val="BodyJ"/>
        <w:numPr>
          <w:ilvl w:val="0"/>
          <w:numId w:val="5"/>
        </w:numPr>
      </w:pPr>
      <w:r>
        <w:t xml:space="preserve">Atrofia de la pericia por asistencia de IA (deskilling) — 17</w:t>
      </w:r>
    </w:p>
    <w:p>
      <w:pPr>
        <w:pStyle w:val="BodyJ"/>
        <w:numPr>
          <w:ilvl w:val="0"/>
          <w:numId w:val="5"/>
        </w:numPr>
      </w:pPr>
      <w:r>
        <w:t xml:space="preserve">Ausencia de evidencia / evidencia de ausencia — 1, 4, Ap B</w:t>
      </w:r>
    </w:p>
    <w:p>
      <w:pPr>
        <w:pStyle w:val="BodyJ"/>
        <w:numPr>
          <w:ilvl w:val="0"/>
          <w:numId w:val="5"/>
        </w:numPr>
      </w:pPr>
      <w:r>
        <w:t xml:space="preserve">Autoridad revisable — 7, 13, 14</w:t>
      </w:r>
    </w:p>
    <w:p>
      <w:pPr>
        <w:pStyle w:val="BodyJ"/>
        <w:numPr>
          <w:ilvl w:val="0"/>
          <w:numId w:val="5"/>
        </w:numPr>
      </w:pPr>
      <w:r>
        <w:t xml:space="preserve">Bioética y razonamiento clínico (cuatro tópicos, proporcionalidad, deliberación) — 10, 15, CC (viñeta 5), Ap A</w:t>
      </w:r>
    </w:p>
    <w:p>
      <w:pPr>
        <w:pStyle w:val="BodyJ"/>
        <w:numPr>
          <w:ilvl w:val="0"/>
          <w:numId w:val="5"/>
        </w:numPr>
      </w:pPr>
      <w:r>
        <w:t xml:space="preserve">Calibración — 5, 15, 16, Ap C</w:t>
      </w:r>
    </w:p>
    <w:p>
      <w:pPr>
        <w:pStyle w:val="BodyJ"/>
        <w:numPr>
          <w:ilvl w:val="0"/>
          <w:numId w:val="5"/>
        </w:numPr>
      </w:pPr>
      <w:r>
        <w:t xml:space="preserve">Captura cognitiva por IA (la respuesta antes que el caso) — 17</w:t>
      </w:r>
    </w:p>
    <w:p>
      <w:pPr>
        <w:pStyle w:val="BodyJ"/>
        <w:numPr>
          <w:ilvl w:val="0"/>
          <w:numId w:val="5"/>
        </w:numPr>
      </w:pPr>
      <w:r>
        <w:t xml:space="preserve">Carga teórica de la observación — 1</w:t>
      </w:r>
    </w:p>
    <w:p>
      <w:pPr>
        <w:pStyle w:val="BodyJ"/>
        <w:numPr>
          <w:ilvl w:val="0"/>
          <w:numId w:val="5"/>
        </w:numPr>
      </w:pPr>
      <w:r>
        <w:t xml:space="preserve">Cierre prematuro — 2, 7, CC (viñeta 6)</w:t>
      </w:r>
    </w:p>
    <w:p>
      <w:pPr>
        <w:pStyle w:val="BodyJ"/>
        <w:numPr>
          <w:ilvl w:val="0"/>
          <w:numId w:val="5"/>
        </w:numPr>
      </w:pPr>
      <w:r>
        <w:t xml:space="preserve">Cognición distribuida — 13</w:t>
      </w:r>
    </w:p>
    <w:p>
      <w:pPr>
        <w:pStyle w:val="BodyJ"/>
        <w:numPr>
          <w:ilvl w:val="0"/>
          <w:numId w:val="5"/>
        </w:numPr>
      </w:pPr>
      <w:r>
        <w:t xml:space="preserve">Comparación de HII-D con otros modelos (SOAP, scripts, reflexión deliberada) — 15</w:t>
      </w:r>
    </w:p>
    <w:p>
      <w:pPr>
        <w:pStyle w:val="BodyJ"/>
        <w:numPr>
          <w:ilvl w:val="0"/>
          <w:numId w:val="5"/>
        </w:numPr>
      </w:pPr>
      <w:r>
        <w:t xml:space="preserve">Comunicación de incertidumbre — 13, 14, CC (viñeta 5)</w:t>
      </w:r>
    </w:p>
    <w:p>
      <w:pPr>
        <w:pStyle w:val="BodyJ"/>
        <w:numPr>
          <w:ilvl w:val="0"/>
          <w:numId w:val="5"/>
        </w:numPr>
      </w:pPr>
      <w:r>
        <w:t xml:space="preserve">Conocimiento tácito — 6; saber hacer y quiebre (Varela) — 6</w:t>
      </w:r>
    </w:p>
    <w:p>
      <w:pPr>
        <w:pStyle w:val="BodyJ"/>
        <w:numPr>
          <w:ilvl w:val="0"/>
          <w:numId w:val="5"/>
        </w:numPr>
      </w:pPr>
      <w:r>
        <w:t xml:space="preserve">Contexto global del paciente (funcionalidad, pronóstico de fondo, red de apoyo) — 10, 15, Ap A</w:t>
      </w:r>
    </w:p>
    <w:p>
      <w:pPr>
        <w:pStyle w:val="BodyJ"/>
        <w:numPr>
          <w:ilvl w:val="0"/>
          <w:numId w:val="5"/>
        </w:numPr>
      </w:pPr>
      <w:r>
        <w:t xml:space="preserve">Contrafactuales — 11</w:t>
      </w:r>
    </w:p>
    <w:p>
      <w:pPr>
        <w:pStyle w:val="BodyJ"/>
        <w:numPr>
          <w:ilvl w:val="0"/>
          <w:numId w:val="5"/>
        </w:numPr>
      </w:pPr>
      <w:r>
        <w:t xml:space="preserve">Conversaciones para la acción (Flores y Winograd) — 13</w:t>
      </w:r>
    </w:p>
    <w:p>
      <w:pPr>
        <w:pStyle w:val="BodyJ"/>
        <w:numPr>
          <w:ilvl w:val="0"/>
          <w:numId w:val="5"/>
        </w:numPr>
      </w:pPr>
      <w:r>
        <w:t xml:space="preserve">Copiado de notas (fósil narrativo; magnitud medida) — 12, Ap C</w:t>
      </w:r>
    </w:p>
    <w:p>
      <w:pPr>
        <w:pStyle w:val="BodyJ"/>
        <w:numPr>
          <w:ilvl w:val="0"/>
          <w:numId w:val="5"/>
        </w:numPr>
      </w:pPr>
      <w:r>
        <w:t xml:space="preserve">Creatividad en el juicio clínico (abducción, problem setting, tercera opción) — 2, 18</w:t>
      </w:r>
    </w:p>
    <w:p>
      <w:pPr>
        <w:pStyle w:val="BodyJ"/>
        <w:numPr>
          <w:ilvl w:val="0"/>
          <w:numId w:val="5"/>
        </w:numPr>
      </w:pPr>
      <w:r>
        <w:t xml:space="preserve">Criterio de reapertura — 8, 12, 15, Interludio III, CC (viñeta 6), Ap A, Ap C</w:t>
      </w:r>
    </w:p>
    <w:p>
      <w:pPr>
        <w:pStyle w:val="BodyJ"/>
        <w:numPr>
          <w:ilvl w:val="0"/>
          <w:numId w:val="5"/>
        </w:numPr>
      </w:pPr>
      <w:r>
        <w:t xml:space="preserve">Cuatro tópicos (Jonsen, Siegler y Winslade) — 10, Ap A</w:t>
      </w:r>
    </w:p>
    <w:p>
      <w:pPr>
        <w:pStyle w:val="BodyJ"/>
        <w:numPr>
          <w:ilvl w:val="0"/>
          <w:numId w:val="5"/>
        </w:numPr>
      </w:pPr>
      <w:r>
        <w:t xml:space="preserve">Debate sobre la enseñanza del razonamiento (Croskerry vs. Norman/Monteiro) — 16</w:t>
      </w:r>
    </w:p>
    <w:p>
      <w:pPr>
        <w:pStyle w:val="BodyJ"/>
        <w:numPr>
          <w:ilvl w:val="0"/>
          <w:numId w:val="5"/>
        </w:numPr>
      </w:pPr>
      <w:r>
        <w:t xml:space="preserve">Decisión compartida — 14, Interludio III</w:t>
      </w:r>
    </w:p>
    <w:p>
      <w:pPr>
        <w:pStyle w:val="BodyJ"/>
        <w:numPr>
          <w:ilvl w:val="0"/>
          <w:numId w:val="5"/>
        </w:numPr>
      </w:pPr>
      <w:r>
        <w:t xml:space="preserve">Deliberación moral (Gracia) — 10</w:t>
      </w:r>
    </w:p>
    <w:p>
      <w:pPr>
        <w:pStyle w:val="BodyJ"/>
        <w:numPr>
          <w:ilvl w:val="0"/>
          <w:numId w:val="5"/>
        </w:numPr>
      </w:pPr>
      <w:r>
        <w:t xml:space="preserve">Densidad epistémica — 4; seis dimensiones de auditoría — 4, Ap B</w:t>
      </w:r>
    </w:p>
    <w:p>
      <w:pPr>
        <w:pStyle w:val="BodyJ"/>
        <w:numPr>
          <w:ilvl w:val="0"/>
          <w:numId w:val="5"/>
        </w:numPr>
      </w:pPr>
      <w:r>
        <w:t xml:space="preserve">Desaceleración selectiva — 8, Interludio II; disparadores, incluido el estado del razonador — 8</w:t>
      </w:r>
    </w:p>
    <w:p>
      <w:pPr>
        <w:pStyle w:val="BodyJ"/>
        <w:numPr>
          <w:ilvl w:val="0"/>
          <w:numId w:val="5"/>
        </w:numPr>
      </w:pPr>
      <w:r>
        <w:t xml:space="preserve">Desacuerdo clínico — 13, Interludio III</w:t>
      </w:r>
    </w:p>
    <w:p>
      <w:pPr>
        <w:pStyle w:val="BodyJ"/>
        <w:numPr>
          <w:ilvl w:val="0"/>
          <w:numId w:val="5"/>
        </w:numPr>
      </w:pPr>
      <w:r>
        <w:t xml:space="preserve">Doble proceso — 6</w:t>
      </w:r>
    </w:p>
    <w:p>
      <w:pPr>
        <w:pStyle w:val="BodyJ"/>
        <w:numPr>
          <w:ilvl w:val="0"/>
          <w:numId w:val="5"/>
        </w:numPr>
      </w:pPr>
      <w:r>
        <w:t xml:space="preserve">Documentación defensiva — 14</w:t>
      </w:r>
    </w:p>
    <w:p>
      <w:pPr>
        <w:pStyle w:val="BodyJ"/>
        <w:numPr>
          <w:ilvl w:val="0"/>
          <w:numId w:val="5"/>
        </w:numPr>
      </w:pPr>
      <w:r>
        <w:t xml:space="preserve">Ensombrecimiento diagnóstico — CC (viñeta 8)</w:t>
      </w:r>
    </w:p>
    <w:p>
      <w:pPr>
        <w:pStyle w:val="BodyJ"/>
        <w:numPr>
          <w:ilvl w:val="0"/>
          <w:numId w:val="5"/>
        </w:numPr>
      </w:pPr>
      <w:r>
        <w:t xml:space="preserve">Errores asimétricos — 10, CC (viñeta 3)</w:t>
      </w:r>
    </w:p>
    <w:p>
      <w:pPr>
        <w:pStyle w:val="BodyJ"/>
        <w:numPr>
          <w:ilvl w:val="0"/>
          <w:numId w:val="5"/>
        </w:numPr>
      </w:pPr>
      <w:r>
        <w:t xml:space="preserve">Errores típicos en los talleres — Ap D</w:t>
      </w:r>
    </w:p>
    <w:p>
      <w:pPr>
        <w:pStyle w:val="BodyJ"/>
        <w:numPr>
          <w:ilvl w:val="0"/>
          <w:numId w:val="5"/>
        </w:numPr>
      </w:pPr>
      <w:r>
        <w:t xml:space="preserve">Escribas ambientales (regla «la capa H sí, la capa D no») — 17</w:t>
      </w:r>
    </w:p>
    <w:p>
      <w:pPr>
        <w:pStyle w:val="BodyJ"/>
        <w:numPr>
          <w:ilvl w:val="0"/>
          <w:numId w:val="5"/>
        </w:numPr>
      </w:pPr>
      <w:r>
        <w:t xml:space="preserve">Estado de verificación de un diagnóstico en la ficha electrónica — 12</w:t>
      </w:r>
    </w:p>
    <w:p>
      <w:pPr>
        <w:pStyle w:val="BodyJ"/>
        <w:numPr>
          <w:ilvl w:val="0"/>
          <w:numId w:val="5"/>
        </w:numPr>
      </w:pPr>
      <w:r>
        <w:t xml:space="preserve">Estado del razonador (esfuerzo, sueño, ánimo; turnos como condición epistémica) — 8, 16, Ap A</w:t>
      </w:r>
    </w:p>
    <w:p>
      <w:pPr>
        <w:pStyle w:val="BodyJ"/>
        <w:numPr>
          <w:ilvl w:val="0"/>
          <w:numId w:val="5"/>
        </w:numPr>
      </w:pPr>
      <w:r>
        <w:t xml:space="preserve">Ética de la creencia (Clifford); pensar bien como deber primordial — 14, C</w:t>
      </w:r>
    </w:p>
    <w:p>
      <w:pPr>
        <w:pStyle w:val="BodyJ"/>
        <w:numPr>
          <w:ilvl w:val="0"/>
          <w:numId w:val="5"/>
        </w:numPr>
      </w:pPr>
      <w:r>
        <w:t xml:space="preserve">Evidencia poblacional y particularización — 9</w:t>
      </w:r>
    </w:p>
    <w:p>
      <w:pPr>
        <w:pStyle w:val="BodyJ"/>
        <w:numPr>
          <w:ilvl w:val="0"/>
          <w:numId w:val="5"/>
        </w:numPr>
      </w:pPr>
      <w:r>
        <w:t xml:space="preserve">Falsabilidad del método HII-D — 15</w:t>
      </w:r>
    </w:p>
    <w:p>
      <w:pPr>
        <w:pStyle w:val="BodyJ"/>
        <w:numPr>
          <w:ilvl w:val="0"/>
          <w:numId w:val="5"/>
        </w:numPr>
      </w:pPr>
      <w:r>
        <w:t xml:space="preserve">Feedback diagnóstico — 5, 16, Ap C</w:t>
      </w:r>
    </w:p>
    <w:p>
      <w:pPr>
        <w:pStyle w:val="BodyJ"/>
        <w:numPr>
          <w:ilvl w:val="0"/>
          <w:numId w:val="5"/>
        </w:numPr>
      </w:pPr>
      <w:r>
        <w:t xml:space="preserve">Ficha como dispositivo que produce lo visible (Foucault) — 12</w:t>
      </w:r>
    </w:p>
    <w:p>
      <w:pPr>
        <w:pStyle w:val="BodyJ"/>
        <w:numPr>
          <w:ilvl w:val="0"/>
          <w:numId w:val="5"/>
        </w:numPr>
      </w:pPr>
      <w:r>
        <w:t xml:space="preserve">Ficha de proceso vs. ficha de resultados (los verbos del razonamiento) — 12, Ap D</w:t>
      </w:r>
    </w:p>
    <w:p>
      <w:pPr>
        <w:pStyle w:val="BodyJ"/>
        <w:numPr>
          <w:ilvl w:val="0"/>
          <w:numId w:val="5"/>
        </w:numPr>
      </w:pPr>
      <w:r>
        <w:t xml:space="preserve">Fichas clínicas y plantillas — 12, 16, Ap C; ficha electrónica pensada desde HII-D — 12</w:t>
      </w:r>
    </w:p>
    <w:p>
      <w:pPr>
        <w:pStyle w:val="BodyJ"/>
        <w:numPr>
          <w:ilvl w:val="0"/>
          <w:numId w:val="5"/>
        </w:numPr>
      </w:pPr>
      <w:r>
        <w:t xml:space="preserve">Formación clínica en la era de la IA (deskilling, never-skilling, mis-skilling) — 17</w:t>
      </w:r>
    </w:p>
    <w:p>
      <w:pPr>
        <w:pStyle w:val="BodyJ"/>
        <w:numPr>
          <w:ilvl w:val="0"/>
          <w:numId w:val="5"/>
        </w:numPr>
      </w:pPr>
      <w:r>
        <w:t xml:space="preserve">Fragilidad y funcionalidad como hechos clínicos — 10, 15, Ap A</w:t>
      </w:r>
    </w:p>
    <w:p>
      <w:pPr>
        <w:pStyle w:val="BodyJ"/>
        <w:numPr>
          <w:ilvl w:val="0"/>
          <w:numId w:val="5"/>
        </w:numPr>
      </w:pPr>
      <w:r>
        <w:t xml:space="preserve">Frase medular — 4, 12, C, CC (todas las viñetas); como argumento de Toulmin — 4</w:t>
      </w:r>
    </w:p>
    <w:p>
      <w:pPr>
        <w:pStyle w:val="BodyJ"/>
        <w:numPr>
          <w:ilvl w:val="0"/>
          <w:numId w:val="5"/>
        </w:numPr>
      </w:pPr>
      <w:r>
        <w:t xml:space="preserve">Frecuencias naturales — 2, 10</w:t>
      </w:r>
    </w:p>
    <w:p>
      <w:pPr>
        <w:pStyle w:val="BodyJ"/>
        <w:numPr>
          <w:ilvl w:val="0"/>
          <w:numId w:val="5"/>
        </w:numPr>
      </w:pPr>
      <w:r>
        <w:t xml:space="preserve">Fuentes del hecho clínico (matriz de procedencia) — 1</w:t>
      </w:r>
    </w:p>
    <w:p>
      <w:pPr>
        <w:pStyle w:val="BodyJ"/>
        <w:numPr>
          <w:ilvl w:val="0"/>
          <w:numId w:val="5"/>
        </w:numPr>
      </w:pPr>
      <w:r>
        <w:t xml:space="preserve">Grados de facticidad — 1</w:t>
      </w:r>
    </w:p>
    <w:p>
      <w:pPr>
        <w:pStyle w:val="BodyJ"/>
        <w:numPr>
          <w:ilvl w:val="0"/>
          <w:numId w:val="5"/>
        </w:numPr>
      </w:pPr>
      <w:r>
        <w:t xml:space="preserve">Hecho como estatus provisional (frontera hecho/inferencia) — 1</w:t>
      </w:r>
    </w:p>
    <w:p>
      <w:pPr>
        <w:pStyle w:val="BodyJ"/>
        <w:numPr>
          <w:ilvl w:val="0"/>
          <w:numId w:val="5"/>
        </w:numPr>
      </w:pPr>
      <w:r>
        <w:t xml:space="preserve">HII-D (método) — 12, 15, Ap A; auditoría de IA con — 17</w:t>
      </w:r>
    </w:p>
    <w:p>
      <w:pPr>
        <w:pStyle w:val="BodyJ"/>
        <w:numPr>
          <w:ilvl w:val="0"/>
          <w:numId w:val="5"/>
        </w:numPr>
      </w:pPr>
      <w:r>
        <w:t xml:space="preserve">Hindsight bias — 8, 11, 16, CC (viñeta 6)</w:t>
      </w:r>
    </w:p>
    <w:p>
      <w:pPr>
        <w:pStyle w:val="BodyJ"/>
        <w:numPr>
          <w:ilvl w:val="0"/>
          <w:numId w:val="5"/>
        </w:numPr>
      </w:pPr>
      <w:r>
        <w:t xml:space="preserve">Hoja de ruta para el docente (talleres por nivel) — Ap C</w:t>
      </w:r>
    </w:p>
    <w:p>
      <w:pPr>
        <w:pStyle w:val="BodyJ"/>
        <w:numPr>
          <w:ilvl w:val="0"/>
          <w:numId w:val="5"/>
        </w:numPr>
      </w:pPr>
      <w:r>
        <w:t xml:space="preserve">Humildad epistémica como motor (explorar, aprender, reenfocar) — 14</w:t>
      </w:r>
    </w:p>
    <w:p>
      <w:pPr>
        <w:pStyle w:val="BodyJ"/>
        <w:numPr>
          <w:ilvl w:val="0"/>
          <w:numId w:val="5"/>
        </w:numPr>
      </w:pPr>
      <w:r>
        <w:t xml:space="preserve">Illness scripts — 2, 6, 16</w:t>
      </w:r>
    </w:p>
    <w:p>
      <w:pPr>
        <w:pStyle w:val="BodyJ"/>
        <w:numPr>
          <w:ilvl w:val="0"/>
          <w:numId w:val="5"/>
        </w:numPr>
      </w:pPr>
      <w:r>
        <w:t xml:space="preserve">Improvisación y saber hacer (jazz; Limb y Braun) — 6</w:t>
      </w:r>
    </w:p>
    <w:p>
      <w:pPr>
        <w:pStyle w:val="BodyJ"/>
        <w:numPr>
          <w:ilvl w:val="0"/>
          <w:numId w:val="5"/>
        </w:numPr>
      </w:pPr>
      <w:r>
        <w:t xml:space="preserve">Incertidumbre: taxonomía y cartografía — 3; epistémica y aleatoria — 3; knightiana — 3</w:t>
      </w:r>
    </w:p>
    <w:p>
      <w:pPr>
        <w:pStyle w:val="BodyJ"/>
        <w:numPr>
          <w:ilvl w:val="0"/>
          <w:numId w:val="5"/>
        </w:numPr>
      </w:pPr>
      <w:r>
        <w:t xml:space="preserve">Injusticia epistémica — 14, CC (viñetas 6 y 8)</w:t>
      </w:r>
    </w:p>
    <w:p>
      <w:pPr>
        <w:pStyle w:val="BodyJ"/>
        <w:numPr>
          <w:ilvl w:val="0"/>
          <w:numId w:val="5"/>
        </w:numPr>
      </w:pPr>
      <w:r>
        <w:t xml:space="preserve">Inteligencia artificial: rol diagnóstico y terapéutico, catálogo de riesgos, defensas — 17</w:t>
      </w:r>
    </w:p>
    <w:p>
      <w:pPr>
        <w:pStyle w:val="BodyJ"/>
        <w:numPr>
          <w:ilvl w:val="0"/>
          <w:numId w:val="5"/>
        </w:numPr>
      </w:pPr>
      <w:r>
        <w:t xml:space="preserve">Intuición experta — 5, 6, Interludio II</w:t>
      </w:r>
    </w:p>
    <w:p>
      <w:pPr>
        <w:pStyle w:val="BodyJ"/>
        <w:numPr>
          <w:ilvl w:val="0"/>
          <w:numId w:val="5"/>
        </w:numPr>
      </w:pPr>
      <w:r>
        <w:t xml:space="preserve">Lectura de ensayos clínicos (significación, reanálisis bayesiano, saga ANDROMEDA) — 9</w:t>
      </w:r>
    </w:p>
    <w:p>
      <w:pPr>
        <w:pStyle w:val="BodyJ"/>
        <w:numPr>
          <w:ilvl w:val="0"/>
          <w:numId w:val="5"/>
        </w:numPr>
      </w:pPr>
      <w:r>
        <w:t xml:space="preserve">Léxico de certeza — 4, Ap B</w:t>
      </w:r>
    </w:p>
    <w:p>
      <w:pPr>
        <w:pStyle w:val="BodyJ"/>
        <w:numPr>
          <w:ilvl w:val="0"/>
          <w:numId w:val="5"/>
        </w:numPr>
      </w:pPr>
      <w:r>
        <w:t xml:space="preserve">Marcador y enfermedad (lactato, perfusión, ANDROMEDA-SHOCK) — 1, 9</w:t>
      </w:r>
    </w:p>
    <w:p>
      <w:pPr>
        <w:pStyle w:val="BodyJ"/>
        <w:numPr>
          <w:ilvl w:val="0"/>
          <w:numId w:val="5"/>
        </w:numPr>
      </w:pPr>
      <w:r>
        <w:t xml:space="preserve">Medicina basada en evidencia — 9</w:t>
      </w:r>
    </w:p>
    <w:p>
      <w:pPr>
        <w:pStyle w:val="BodyJ"/>
        <w:numPr>
          <w:ilvl w:val="0"/>
          <w:numId w:val="5"/>
        </w:numPr>
      </w:pPr>
      <w:r>
        <w:t xml:space="preserve">Mente del principiante (Zen, shoshin) — 8</w:t>
      </w:r>
    </w:p>
    <w:p>
      <w:pPr>
        <w:pStyle w:val="BodyJ"/>
        <w:numPr>
          <w:ilvl w:val="0"/>
          <w:numId w:val="5"/>
        </w:numPr>
      </w:pPr>
      <w:r>
        <w:t xml:space="preserve">Meta-d′ y medición de la metacognición — 5</w:t>
      </w:r>
    </w:p>
    <w:p>
      <w:pPr>
        <w:pStyle w:val="BodyJ"/>
        <w:numPr>
          <w:ilvl w:val="0"/>
          <w:numId w:val="5"/>
        </w:numPr>
      </w:pPr>
      <w:r>
        <w:t xml:space="preserve">Metacognición: definición y niveles — Int, 5; monitoreo y control — 5; social (señales del equipo y del paciente) — 5, 13; sensibilidad vs. sesgo — Int, 5; auditoría de salidas de IA — 17</w:t>
      </w:r>
    </w:p>
    <w:p>
      <w:pPr>
        <w:pStyle w:val="BodyJ"/>
        <w:numPr>
          <w:ilvl w:val="0"/>
          <w:numId w:val="5"/>
        </w:numPr>
      </w:pPr>
      <w:r>
        <w:t xml:space="preserve">Miedo y decisión (documentación defensiva, sobreestudio) — 3, 14</w:t>
      </w:r>
    </w:p>
    <w:p>
      <w:pPr>
        <w:pStyle w:val="BodyJ"/>
        <w:numPr>
          <w:ilvl w:val="0"/>
          <w:numId w:val="5"/>
        </w:numPr>
      </w:pPr>
      <w:r>
        <w:t xml:space="preserve">Modelo de Toulmin (dato, garantía, calificador, refutación) — 4</w:t>
      </w:r>
    </w:p>
    <w:p>
      <w:pPr>
        <w:pStyle w:val="BodyJ"/>
        <w:numPr>
          <w:ilvl w:val="0"/>
          <w:numId w:val="5"/>
        </w:numPr>
      </w:pPr>
      <w:r>
        <w:t xml:space="preserve">Nota clínica generada por IA (degradación del registro) — 17</w:t>
      </w:r>
    </w:p>
    <w:p>
      <w:pPr>
        <w:pStyle w:val="BodyJ"/>
        <w:numPr>
          <w:ilvl w:val="0"/>
          <w:numId w:val="5"/>
        </w:numPr>
      </w:pPr>
      <w:r>
        <w:t xml:space="preserve">Nota de enfermería como hecho clínico — 13</w:t>
      </w:r>
    </w:p>
    <w:p>
      <w:pPr>
        <w:pStyle w:val="BodyJ"/>
        <w:numPr>
          <w:ilvl w:val="0"/>
          <w:numId w:val="5"/>
        </w:numPr>
      </w:pPr>
      <w:r>
        <w:t xml:space="preserve">Objetividad entre paréntesis y observador (Maturana) — 1; emociones como dominio de acción — 8</w:t>
      </w:r>
    </w:p>
    <w:p>
      <w:pPr>
        <w:pStyle w:val="BodyJ"/>
        <w:numPr>
          <w:ilvl w:val="0"/>
          <w:numId w:val="5"/>
        </w:numPr>
      </w:pPr>
      <w:r>
        <w:t xml:space="preserve">Observación activa — 11, Ap D</w:t>
      </w:r>
    </w:p>
    <w:p>
      <w:pPr>
        <w:pStyle w:val="BodyJ"/>
        <w:numPr>
          <w:ilvl w:val="0"/>
          <w:numId w:val="5"/>
        </w:numPr>
      </w:pPr>
      <w:r>
        <w:t xml:space="preserve">Paradoja de la automatización — 17</w:t>
      </w:r>
    </w:p>
    <w:p>
      <w:pPr>
        <w:pStyle w:val="BodyJ"/>
        <w:numPr>
          <w:ilvl w:val="0"/>
          <w:numId w:val="5"/>
        </w:numPr>
      </w:pPr>
      <w:r>
        <w:t xml:space="preserve">Pausa diagnóstica — 8, 16, Ap B, Ap C</w:t>
      </w:r>
    </w:p>
    <w:p>
      <w:pPr>
        <w:pStyle w:val="BodyJ"/>
        <w:numPr>
          <w:ilvl w:val="0"/>
          <w:numId w:val="5"/>
        </w:numPr>
      </w:pPr>
      <w:r>
        <w:t xml:space="preserve">Pericia y práctica deliberada — 6</w:t>
      </w:r>
    </w:p>
    <w:p>
      <w:pPr>
        <w:pStyle w:val="BodyJ"/>
        <w:numPr>
          <w:ilvl w:val="0"/>
          <w:numId w:val="5"/>
        </w:numPr>
      </w:pPr>
      <w:r>
        <w:t xml:space="preserve">Phronesis — 6, 14</w:t>
      </w:r>
    </w:p>
    <w:p>
      <w:pPr>
        <w:pStyle w:val="BodyJ"/>
        <w:numPr>
          <w:ilvl w:val="0"/>
          <w:numId w:val="5"/>
        </w:numPr>
      </w:pPr>
      <w:r>
        <w:t xml:space="preserve">Poesía y juicio clínico (Huidobro, Parra; belleza como señal y trampa) — 18</w:t>
      </w:r>
    </w:p>
    <w:p>
      <w:pPr>
        <w:pStyle w:val="BodyJ"/>
        <w:numPr>
          <w:ilvl w:val="0"/>
          <w:numId w:val="5"/>
        </w:numPr>
      </w:pPr>
      <w:r>
        <w:t xml:space="preserve">Portafolio de calibración — 5, 8, 14, 16, Ap C, Ap D</w:t>
      </w:r>
    </w:p>
    <w:p>
      <w:pPr>
        <w:pStyle w:val="BodyJ"/>
        <w:numPr>
          <w:ilvl w:val="0"/>
          <w:numId w:val="5"/>
        </w:numPr>
      </w:pPr>
      <w:r>
        <w:t xml:space="preserve">Preguntas para la próxima visita (reunidas) — Ap E</w:t>
      </w:r>
    </w:p>
    <w:p>
      <w:pPr>
        <w:pStyle w:val="BodyJ"/>
        <w:numPr>
          <w:ilvl w:val="0"/>
          <w:numId w:val="5"/>
        </w:numPr>
      </w:pPr>
      <w:r>
        <w:t xml:space="preserve">Pronóstico e incertidumbre de plazo — CC (viñeta 5)</w:t>
      </w:r>
    </w:p>
    <w:p>
      <w:pPr>
        <w:pStyle w:val="BodyJ"/>
        <w:numPr>
          <w:ilvl w:val="0"/>
          <w:numId w:val="5"/>
        </w:numPr>
      </w:pPr>
      <w:r>
        <w:t xml:space="preserve">Proporcionalidad terapéutica (Taboada) — 10, 15, CC (viñeta 5)</w:t>
      </w:r>
    </w:p>
    <w:p>
      <w:pPr>
        <w:pStyle w:val="BodyJ"/>
        <w:numPr>
          <w:ilvl w:val="0"/>
          <w:numId w:val="5"/>
        </w:numPr>
      </w:pPr>
      <w:r>
        <w:t xml:space="preserve">Proteína C reactiva: cinética y lectura temporal — 11, 12</w:t>
      </w:r>
    </w:p>
    <w:p>
      <w:pPr>
        <w:pStyle w:val="BodyJ"/>
        <w:numPr>
          <w:ilvl w:val="0"/>
          <w:numId w:val="5"/>
        </w:numPr>
      </w:pPr>
      <w:r>
        <w:t xml:space="preserve">Prueba de Parra (taller del capítulo 18) — Ap D</w:t>
      </w:r>
    </w:p>
    <w:p>
      <w:pPr>
        <w:pStyle w:val="BodyJ"/>
        <w:numPr>
          <w:ilvl w:val="0"/>
          <w:numId w:val="5"/>
        </w:numPr>
      </w:pPr>
      <w:r>
        <w:t xml:space="preserve">Pruebas severas (Popper) — 2</w:t>
      </w:r>
    </w:p>
    <w:p>
      <w:pPr>
        <w:pStyle w:val="BodyJ"/>
        <w:numPr>
          <w:ilvl w:val="0"/>
          <w:numId w:val="5"/>
        </w:numPr>
      </w:pPr>
      <w:r>
        <w:t xml:space="preserve">Puntos de inflexión — 11, Interludio III</w:t>
      </w:r>
    </w:p>
    <w:p>
      <w:pPr>
        <w:pStyle w:val="BodyJ"/>
        <w:numPr>
          <w:ilvl w:val="0"/>
          <w:numId w:val="5"/>
        </w:numPr>
      </w:pPr>
      <w:r>
        <w:t xml:space="preserve">Red de seguridad (safety-netting) — 11, CC (viñetas 3, 4 y 7)</w:t>
      </w:r>
    </w:p>
    <w:p>
      <w:pPr>
        <w:pStyle w:val="BodyJ"/>
        <w:numPr>
          <w:ilvl w:val="0"/>
          <w:numId w:val="5"/>
        </w:numPr>
      </w:pPr>
      <w:r>
        <w:t xml:space="preserve">Reglas de decisión clínica (PERC) y umbral — CC (viñeta 6)</w:t>
      </w:r>
    </w:p>
    <w:p>
      <w:pPr>
        <w:pStyle w:val="BodyJ"/>
        <w:numPr>
          <w:ilvl w:val="0"/>
          <w:numId w:val="5"/>
        </w:numPr>
      </w:pPr>
      <w:r>
        <w:t xml:space="preserve">Representación del problema — Int, 2, 8, 16</w:t>
      </w:r>
    </w:p>
    <w:p>
      <w:pPr>
        <w:pStyle w:val="BodyJ"/>
        <w:numPr>
          <w:ilvl w:val="0"/>
          <w:numId w:val="5"/>
        </w:numPr>
      </w:pPr>
      <w:r>
        <w:t xml:space="preserve">Riesgo inductivo (Rudner, Douglas) — 10</w:t>
      </w:r>
    </w:p>
    <w:p>
      <w:pPr>
        <w:pStyle w:val="BodyJ"/>
        <w:numPr>
          <w:ilvl w:val="0"/>
          <w:numId w:val="5"/>
        </w:numPr>
      </w:pPr>
      <w:r>
        <w:t xml:space="preserve">Segunda víctima — 14</w:t>
      </w:r>
    </w:p>
    <w:p>
      <w:pPr>
        <w:pStyle w:val="BodyJ"/>
        <w:numPr>
          <w:ilvl w:val="0"/>
          <w:numId w:val="5"/>
        </w:numPr>
      </w:pPr>
      <w:r>
        <w:t xml:space="preserve">Segundo lector — 5, 8, 17</w:t>
      </w:r>
    </w:p>
    <w:p>
      <w:pPr>
        <w:pStyle w:val="BodyJ"/>
        <w:numPr>
          <w:ilvl w:val="0"/>
          <w:numId w:val="5"/>
        </w:numPr>
      </w:pPr>
      <w:r>
        <w:t xml:space="preserve">Sesgo algorítmico (Obermeyer) — 17</w:t>
      </w:r>
    </w:p>
    <w:p>
      <w:pPr>
        <w:pStyle w:val="BodyJ"/>
        <w:numPr>
          <w:ilvl w:val="0"/>
          <w:numId w:val="5"/>
        </w:numPr>
      </w:pPr>
      <w:r>
        <w:t xml:space="preserve">Sesgo de automatización (Goddard) — 17</w:t>
      </w:r>
    </w:p>
    <w:p>
      <w:pPr>
        <w:pStyle w:val="BodyJ"/>
        <w:numPr>
          <w:ilvl w:val="0"/>
          <w:numId w:val="5"/>
        </w:numPr>
      </w:pPr>
      <w:r>
        <w:t xml:space="preserve">Sesgos cognitivos: alcance y límites del vocabulario — 7</w:t>
      </w:r>
    </w:p>
    <w:p>
      <w:pPr>
        <w:pStyle w:val="BodyJ"/>
        <w:numPr>
          <w:ilvl w:val="0"/>
          <w:numId w:val="5"/>
        </w:numPr>
      </w:pPr>
      <w:r>
        <w:t xml:space="preserve">Sobreconfianza — 5, 7</w:t>
      </w:r>
    </w:p>
    <w:p>
      <w:pPr>
        <w:pStyle w:val="BodyJ"/>
        <w:numPr>
          <w:ilvl w:val="0"/>
          <w:numId w:val="5"/>
        </w:numPr>
      </w:pPr>
      <w:r>
        <w:t xml:space="preserve">Sobreestudio e intervenciones innecesarias — 3</w:t>
      </w:r>
    </w:p>
    <w:p>
      <w:pPr>
        <w:pStyle w:val="BodyJ"/>
        <w:numPr>
          <w:ilvl w:val="0"/>
          <w:numId w:val="5"/>
        </w:numPr>
      </w:pPr>
      <w:r>
        <w:t xml:space="preserve">Talleres (ejercicios por capítulo) — Ap D</w:t>
      </w:r>
    </w:p>
    <w:p>
      <w:pPr>
        <w:pStyle w:val="BodyJ"/>
        <w:numPr>
          <w:ilvl w:val="0"/>
          <w:numId w:val="5"/>
        </w:numPr>
      </w:pPr>
      <w:r>
        <w:t xml:space="preserve">Tarjeta HII-D en sesenta segundos — última página</w:t>
      </w:r>
    </w:p>
    <w:p>
      <w:pPr>
        <w:pStyle w:val="BodyJ"/>
        <w:numPr>
          <w:ilvl w:val="0"/>
          <w:numId w:val="5"/>
        </w:numPr>
      </w:pPr>
      <w:r>
        <w:t xml:space="preserve">Testimonio del paciente — 1, 14; epistemología del testimonio (Coady, Lackey) — 14; testimonio de terceros y cuidadores — CC (viñeta 7)</w:t>
      </w:r>
    </w:p>
    <w:p>
      <w:pPr>
        <w:pStyle w:val="BodyJ"/>
        <w:numPr>
          <w:ilvl w:val="0"/>
          <w:numId w:val="5"/>
        </w:numPr>
      </w:pPr>
      <w:r>
        <w:t xml:space="preserve">Trayectoria del error (estaciones y barreras) — 7</w:t>
      </w:r>
    </w:p>
    <w:p>
      <w:pPr>
        <w:pStyle w:val="BodyJ"/>
        <w:numPr>
          <w:ilvl w:val="0"/>
          <w:numId w:val="5"/>
        </w:numPr>
      </w:pPr>
      <w:r>
        <w:t xml:space="preserve">Trayectoria y temporalidad — 11, Interludio I</w:t>
      </w:r>
    </w:p>
    <w:p>
      <w:pPr>
        <w:pStyle w:val="BodyJ"/>
        <w:numPr>
          <w:ilvl w:val="0"/>
          <w:numId w:val="5"/>
        </w:numPr>
      </w:pPr>
      <w:r>
        <w:t xml:space="preserve">Umbral y geografía (hospital insular, evacuación aeromédica) — 11</w:t>
      </w:r>
    </w:p>
    <w:p>
      <w:pPr>
        <w:pStyle w:val="BodyJ"/>
        <w:numPr>
          <w:ilvl w:val="0"/>
          <w:numId w:val="5"/>
        </w:numPr>
      </w:pPr>
      <w:r>
        <w:t xml:space="preserve">Umbrales de decisión — 10, Interludio III, CC (viñeta 3)</w:t>
      </w:r>
    </w:p>
    <w:p>
      <w:pPr>
        <w:pStyle w:val="BodyJ"/>
        <w:numPr>
          <w:ilvl w:val="0"/>
          <w:numId w:val="5"/>
        </w:numPr>
      </w:pPr>
      <w:r>
        <w:t xml:space="preserve">Validación local y monitoreo de herramientas de IA — 17</w:t>
      </w:r>
    </w:p>
    <w:p>
      <w:pPr>
        <w:pStyle w:val="BodyJ"/>
        <w:numPr>
          <w:ilvl w:val="0"/>
          <w:numId w:val="5"/>
        </w:numPr>
      </w:pPr>
      <w:r>
        <w:t xml:space="preserve">Validez del entorno e intuición (Kahneman y Klein) — 6</w:t>
      </w:r>
    </w:p>
    <w:p>
      <w:pPr>
        <w:pStyle w:val="BodyJ"/>
        <w:numPr>
          <w:ilvl w:val="0"/>
          <w:numId w:val="5"/>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5"/>
        </w:numPr>
      </w:pPr>
      <w:r>
        <w:t xml:space="preserve">Figura 1. Mapa del libro (Cómo leer este libro).</w:t>
      </w:r>
    </w:p>
    <w:p>
      <w:pPr>
        <w:pStyle w:val="BodyJ"/>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5"/>
        </w:numPr>
      </w:pPr>
      <w:r>
        <w:t xml:space="preserve">Figura 3. Fuentes del hecho clínico (Capítulo 1).</w:t>
      </w:r>
    </w:p>
    <w:p>
      <w:pPr>
        <w:pStyle w:val="BodyJ"/>
        <w:numPr>
          <w:ilvl w:val="0"/>
          <w:numId w:val="5"/>
        </w:numPr>
      </w:pPr>
      <w:r>
        <w:t xml:space="preserve">Figura 4. Un mapa de la incertidumbre clínica (adaptado de la taxonomía de Han et al.) (Capítulo 3).</w:t>
      </w:r>
    </w:p>
    <w:p>
      <w:pPr>
        <w:pStyle w:val="BodyJ"/>
        <w:numPr>
          <w:ilvl w:val="0"/>
          <w:numId w:val="5"/>
        </w:numPr>
      </w:pPr>
      <w:r>
        <w:t xml:space="preserve">Figura 5. La frase medular como argumento de Toulmin (Capítulo 4).</w:t>
      </w:r>
    </w:p>
    <w:p>
      <w:pPr>
        <w:pStyle w:val="BodyJ"/>
        <w:numPr>
          <w:ilvl w:val="0"/>
          <w:numId w:val="5"/>
        </w:numPr>
      </w:pPr>
      <w:r>
        <w:t xml:space="preserve">Figura 6. El modelo de dos niveles de Nelson y Narens (Capítulo 5).</w:t>
      </w:r>
    </w:p>
    <w:p>
      <w:pPr>
        <w:pStyle w:val="BodyJ"/>
        <w:numPr>
          <w:ilvl w:val="0"/>
          <w:numId w:val="5"/>
        </w:numPr>
      </w:pPr>
      <w:r>
        <w:t xml:space="preserve">Figura 7. Curva de calibración, esquemática (Capítulo 5).</w:t>
      </w:r>
    </w:p>
    <w:p>
      <w:pPr>
        <w:pStyle w:val="BodyJ"/>
        <w:numPr>
          <w:ilvl w:val="0"/>
          <w:numId w:val="5"/>
        </w:numPr>
      </w:pPr>
      <w:r>
        <w:t xml:space="preserve">Figura 8. El error como trayectoria (Capítulo 7).</w:t>
      </w:r>
    </w:p>
    <w:p>
      <w:pPr>
        <w:pStyle w:val="BodyJ"/>
        <w:numPr>
          <w:ilvl w:val="0"/>
          <w:numId w:val="5"/>
        </w:numPr>
      </w:pPr>
      <w:r>
        <w:t xml:space="preserve">Figura 9. Una década sobre un mismo dato (Capítulo 9).</w:t>
      </w:r>
    </w:p>
    <w:p>
      <w:pPr>
        <w:pStyle w:val="BodyJ"/>
        <w:numPr>
          <w:ilvl w:val="0"/>
          <w:numId w:val="5"/>
        </w:numPr>
      </w:pPr>
      <w:r>
        <w:t xml:space="preserve">Figura 10. El enfoque de umbrales de Pauker y Kassirer (Capítulo 10).</w:t>
      </w:r>
    </w:p>
    <w:p>
      <w:pPr>
        <w:pStyle w:val="BodyJ"/>
        <w:numPr>
          <w:ilvl w:val="0"/>
          <w:numId w:val="5"/>
        </w:numPr>
      </w:pPr>
      <w:r>
        <w:t xml:space="preserve">Figura 11. La línea de tiempo de Carmen y el umbral que se mueve (Capítulo 10).</w:t>
      </w:r>
    </w:p>
    <w:p>
      <w:pPr>
        <w:pStyle w:val="BodyJ"/>
        <w:numPr>
          <w:ilvl w:val="0"/>
          <w:numId w:val="5"/>
        </w:numPr>
      </w:pPr>
      <w:r>
        <w:t xml:space="preserve">Figura 12. El cálculo en frecuencias naturales (Capítulo 10).</w:t>
      </w:r>
    </w:p>
    <w:p>
      <w:pPr>
        <w:pStyle w:val="BodyJ"/>
        <w:numPr>
          <w:ilvl w:val="0"/>
          <w:numId w:val="5"/>
        </w:numPr>
      </w:pPr>
      <w:r>
        <w:t xml:space="preserve">Figura 13. El viaje de una frase (Capítulo 12).</w:t>
      </w:r>
    </w:p>
    <w:p>
      <w:pPr>
        <w:pStyle w:val="BodyJ"/>
        <w:numPr>
          <w:ilvl w:val="0"/>
          <w:numId w:val="5"/>
        </w:numPr>
      </w:pPr>
      <w:r>
        <w:t xml:space="preserve">Figura 14. El método HII-D en una página (Capítulo 15).</w:t>
      </w:r>
    </w:p>
    <w:p>
      <w:pPr>
        <w:pStyle w:val="BodyJ"/>
        <w:numPr>
          <w:ilvl w:val="0"/>
          <w:numId w:val="5"/>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0a061480972a44386bb30c6576b30e20f2fc107c.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2026-10-17T01:09:33.015Z</dcterms:created>
  <dcterms:modified xsi:type="dcterms:W3CDTF">2026-10-17T01:09:33.015Z</dcterms:modified>
</cp:coreProperties>
</file>

<file path=docProps/custom.xml><?xml version="1.0" encoding="utf-8"?>
<Properties xmlns="http://schemas.openxmlformats.org/officeDocument/2006/custom-properties" xmlns:vt="http://schemas.openxmlformats.org/officeDocument/2006/docPropsVTypes"/>
</file>