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52" w:lineRule="auto"/>
        <w:jc w:val="right"/>
      </w:pPr>
      <w:r>
        <w:rPr>
          <w:rFonts w:ascii="Arial" w:hAnsi="Arial"/>
          <w:b w:val="0"/>
          <w:color w:val="000000"/>
          <w:sz w:val="22"/>
        </w:rPr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6000" cy="405704"/>
            <wp:wrapNone/>
            <wp:docPr id="1" name="Picture 1" descr="Emblema del Hospital Hanga Roa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_HH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40570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0000"/>
          <w:sz w:val="23"/>
        </w:rPr>
        <w:t>HOSPITAL HANGA ROA</w:t>
      </w:r>
    </w:p>
    <w:p>
      <w:pPr>
        <w:keepNext w:val="0"/>
        <w:spacing w:before="0" w:after="200" w:line="252" w:lineRule="auto"/>
        <w:jc w:val="right"/>
      </w:pPr>
      <w:r>
        <w:rPr>
          <w:rFonts w:ascii="Arial" w:hAnsi="Arial"/>
          <w:b w:val="0"/>
          <w:color w:val="000000"/>
          <w:sz w:val="20"/>
        </w:rPr>
        <w:t>Servicio de Hospitalizados</w:t>
      </w:r>
    </w:p>
    <w:p>
      <w:pPr>
        <w:pStyle w:val="Title"/>
        <w:keepNext/>
        <w:spacing w:before="140" w:after="160" w:line="252" w:lineRule="auto"/>
      </w:pPr>
      <w:r>
        <w:rPr>
          <w:rFonts w:ascii="Arial" w:hAnsi="Arial"/>
          <w:b/>
          <w:color w:val="000000"/>
          <w:sz w:val="32"/>
        </w:rPr>
        <w:t>Acta de entrega de fármacos e insumos eliminados</w:t>
      </w:r>
    </w:p>
    <w:p>
      <w:pPr>
        <w:keepNext w:val="0"/>
        <w:tabs>
          <w:tab w:pos="4706" w:val="left"/>
        </w:tabs>
        <w:spacing w:before="0" w:after="120" w:line="252" w:lineRule="auto"/>
      </w:pPr>
      <w:r>
        <w:rPr>
          <w:rFonts w:ascii="Arial" w:hAnsi="Arial"/>
          <w:b w:val="0"/>
          <w:color w:val="000000"/>
          <w:sz w:val="21"/>
        </w:rPr>
        <w:t>Acta N° __________ / __________</w:t>
        <w:tab/>
        <w:t>Isla de Pascua, fecha: ______ / ______ / __________</w:t>
      </w:r>
    </w:p>
    <w:p>
      <w:pPr>
        <w:keepNext w:val="0"/>
        <w:spacing w:before="0" w:after="120" w:line="252" w:lineRule="auto"/>
      </w:pPr>
      <w:r>
        <w:rPr>
          <w:rFonts w:ascii="Arial" w:hAnsi="Arial"/>
          <w:b w:val="0"/>
          <w:color w:val="000000"/>
          <w:sz w:val="21"/>
        </w:rPr>
        <w:t>De: ______________________________________________________________________________</w:t>
      </w:r>
    </w:p>
    <w:p>
      <w:pPr>
        <w:keepNext w:val="0"/>
        <w:spacing w:before="0" w:after="120" w:line="252" w:lineRule="auto"/>
      </w:pPr>
      <w:r>
        <w:rPr>
          <w:rFonts w:ascii="Arial" w:hAnsi="Arial"/>
          <w:b w:val="0"/>
          <w:color w:val="000000"/>
          <w:sz w:val="21"/>
        </w:rPr>
        <w:t>A: Bodega de Fármacos HHR</w:t>
      </w:r>
    </w:p>
    <w:p>
      <w:pPr>
        <w:keepNext w:val="0"/>
        <w:spacing w:before="0" w:after="180" w:line="252" w:lineRule="auto"/>
      </w:pPr>
      <w:r>
        <w:rPr>
          <w:rFonts w:ascii="Arial" w:hAnsi="Arial"/>
          <w:b w:val="0"/>
          <w:color w:val="000000"/>
          <w:sz w:val="21"/>
        </w:rPr>
        <w:t>Se informa el estado de los fármacos e insumos eliminados que se detallan a continuación y se entregan a Bodega de Fármacos para su resguardo y posterior destrucción.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91"/>
        <w:gridCol w:w="1247"/>
        <w:gridCol w:w="1757"/>
        <w:gridCol w:w="1701"/>
        <w:gridCol w:w="1020"/>
        <w:gridCol w:w="1701"/>
      </w:tblGrid>
      <w:tr>
        <w:trPr>
          <w:trHeight w:hRule="atLeast" w:val="312"/>
          <w:tblHeader w:val="true"/>
          <w:cantSplit/>
        </w:trPr>
        <w:tc>
          <w:tcPr>
            <w:tcW w:type="dxa" w:w="2891"/>
            <w:vAlign w:val="center"/>
            <w:vMerge w:val="restart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Medicamento o insumo</w:t>
            </w:r>
          </w:p>
        </w:tc>
        <w:tc>
          <w:tcPr>
            <w:tcW w:type="dxa" w:w="1247"/>
            <w:vAlign w:val="center"/>
            <w:vMerge w:val="restart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Cantidad</w:t>
            </w:r>
          </w:p>
        </w:tc>
        <w:tc>
          <w:tcPr>
            <w:tcW w:type="dxa" w:w="1757"/>
            <w:vAlign w:val="center"/>
            <w:vMerge w:val="restart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Presentación</w:t>
            </w:r>
          </w:p>
        </w:tc>
        <w:tc>
          <w:tcPr>
            <w:tcW w:type="dxa" w:w="4422"/>
            <w:vAlign w:val="center"/>
            <w:gridSpan w:val="3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  <w:shd w:fill="EFEFEF"/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Causa de eliminación</w:t>
            </w:r>
          </w:p>
        </w:tc>
      </w:tr>
      <w:tr>
        <w:trPr>
          <w:trHeight w:hRule="atLeast" w:val="454"/>
          <w:tblHeader w:val="true"/>
          <w:cantSplit/>
        </w:trPr>
        <w:tc>
          <w:tcPr>
            <w:tcW w:type="dxa" w:w="2891"/>
            <w:vAlign w:val="center"/>
            <w:vMerge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vMerge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vMerge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Expirado</w:t>
              <w:br/>
              <w:t>Indique fecha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Mal</w:t>
              <w:br/>
              <w:t>estado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FEFEF"/>
          </w:tcPr>
          <w:p>
            <w:pPr>
              <w:widowControl w:val="0"/>
              <w:spacing w:after="0" w:before="0" w:line="250" w:lineRule="exact"/>
              <w:snapToGrid w:val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Sin rotulación</w:t>
              <w:br/>
              <w:t>adecuada</w:t>
            </w: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  <w:tr>
        <w:trPr>
          <w:trHeight w:hRule="atLeast" w:val="425"/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widowControl w:val="0"/>
              <w:spacing w:after="0" w:before="0" w:line="250" w:lineRule="exact"/>
              <w:snapToGrid w:val="0"/>
            </w:pPr>
          </w:p>
        </w:tc>
      </w:tr>
    </w:tbl>
    <w:p>
      <w:pPr>
        <w:keepNext w:val="0"/>
        <w:spacing w:before="80" w:after="180" w:line="252" w:lineRule="auto"/>
      </w:pPr>
      <w:r>
        <w:rPr>
          <w:rFonts w:ascii="Arial" w:hAnsi="Arial"/>
          <w:b w:val="0"/>
          <w:color w:val="000000"/>
          <w:sz w:val="18"/>
        </w:rPr>
        <w:t>Marque la causa de eliminación y registre la fecha de vencimiento en los productos expirados.</w:t>
      </w:r>
    </w:p>
    <w:p>
      <w:pPr>
        <w:keepNext w:val="0"/>
        <w:tabs>
          <w:tab w:pos="5386" w:val="left"/>
        </w:tabs>
        <w:spacing w:before="0" w:after="300" w:line="252" w:lineRule="auto"/>
      </w:pPr>
      <w:r>
        <w:rPr>
          <w:rFonts w:ascii="Arial" w:hAnsi="Arial"/>
          <w:b/>
          <w:color w:val="000000"/>
          <w:sz w:val="21"/>
        </w:rPr>
        <w:t>Entrega Servicio de Hospitalizados</w:t>
        <w:tab/>
        <w:t>Recibe conforme Bodega de Fármacos HHR</w:t>
      </w:r>
    </w:p>
    <w:p>
      <w:pPr>
        <w:keepNext w:val="0"/>
        <w:tabs>
          <w:tab w:pos="5386" w:val="left"/>
        </w:tabs>
        <w:spacing w:before="0" w:after="60" w:line="252" w:lineRule="auto"/>
      </w:pPr>
      <w:r>
        <w:rPr>
          <w:rFonts w:ascii="Arial" w:hAnsi="Arial"/>
          <w:b w:val="0"/>
          <w:color w:val="000000"/>
          <w:sz w:val="21"/>
        </w:rPr>
        <w:t>_______________________________________</w:t>
        <w:tab/>
        <w:t>_______________________________________</w:t>
      </w:r>
    </w:p>
    <w:p>
      <w:pPr>
        <w:keepNext w:val="0"/>
        <w:tabs>
          <w:tab w:pos="5386" w:val="left"/>
        </w:tabs>
        <w:spacing w:before="0" w:after="100" w:line="252" w:lineRule="auto"/>
      </w:pPr>
      <w:r>
        <w:rPr>
          <w:rFonts w:ascii="Arial" w:hAnsi="Arial"/>
          <w:b w:val="0"/>
          <w:color w:val="000000"/>
          <w:sz w:val="20"/>
        </w:rPr>
        <w:t>Nombre y firma de quien entrega</w:t>
        <w:tab/>
        <w:t>Nombre y firma de quien recibe</w:t>
      </w:r>
    </w:p>
    <w:p>
      <w:pPr>
        <w:keepNext w:val="0"/>
        <w:tabs>
          <w:tab w:pos="5386" w:val="left"/>
        </w:tabs>
        <w:spacing w:before="0" w:after="0" w:line="252" w:lineRule="auto"/>
      </w:pPr>
      <w:r>
        <w:rPr>
          <w:rFonts w:ascii="Arial" w:hAnsi="Arial"/>
          <w:b w:val="0"/>
          <w:color w:val="000000"/>
          <w:sz w:val="20"/>
        </w:rPr>
        <w:t>RUT: __________________________________</w:t>
        <w:tab/>
        <w:t>RUT: __________________________________</w:t>
      </w:r>
    </w:p>
    <w:sectPr w:rsidR="00FC693F" w:rsidRPr="0006063C" w:rsidSect="00034616">
      <w:pgSz w:w="11906" w:h="16838"/>
      <w:pgMar w:top="737" w:right="794" w:bottom="73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Arial" w:hAnsi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52" w:lineRule="auto"/>
    </w:pPr>
    <w:rPr>
      <w:rFonts w:ascii="Arial" w:hAnsi="Arial"/>
      <w:sz w:val="22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52" w:lineRule="auto"/>
    </w:pPr>
    <w:rPr>
      <w:rFonts w:ascii="Arial" w:hAnsi="Arial"/>
      <w:sz w:val="22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sz w:val="22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sz w:val="2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22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2" w:lineRule="auto" w:after="120"/>
    </w:pPr>
    <w:rPr>
      <w:rFonts w:asciiTheme="majorHAnsi" w:eastAsiaTheme="majorEastAsia" w:hAnsiTheme="majorHAnsi" w:cstheme="majorBidi" w:ascii="Arial" w:hAnsi="Arial"/>
      <w:i/>
      <w:iCs/>
      <w:spacing w:val="15"/>
      <w:sz w:val="22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de fármacos e insumos eliminados</dc:title>
  <dc:subject>Servicio de Hospitalizados Hospital Hanga Roa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