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62</w:t>
      </w:r>
    </w:p>
    <w:p>
      <w:pPr>
        <w:pStyle w:val="TocEntry"/>
        <w:tabs>
          <w:tab w:val="right" w:pos="9026" w:leader="dot"/>
        </w:tabs>
      </w:pPr>
      <w:r>
        <w:t xml:space="preserve">Capítulo 11. Temporalidad, trayectoria y razonamiento contrafactual</w:t>
      </w:r>
      <w:r>
        <w:tab/>
      </w:r>
      <w:r>
        <w:rPr>
          <w:color w:val="8A8A8A"/>
        </w:rPr>
        <w:t xml:space="preserve">69</w:t>
      </w:r>
    </w:p>
    <w:p>
      <w:pPr>
        <w:pStyle w:val="TocEntry"/>
        <w:tabs>
          <w:tab w:val="right" w:pos="9026" w:leader="dot"/>
        </w:tabs>
      </w:pPr>
      <w:r>
        <w:t xml:space="preserve">Capítulo 12. La ficha clínica como instrumento de pensamiento</w:t>
      </w:r>
      <w:r>
        <w:tab/>
      </w:r>
      <w:r>
        <w:rPr>
          <w:color w:val="8A8A8A"/>
        </w:rPr>
        <w:t xml:space="preserve">73</w:t>
      </w:r>
    </w:p>
    <w:p>
      <w:pPr>
        <w:pStyle w:val="TocEntry"/>
        <w:tabs>
          <w:tab w:val="right" w:pos="9026" w:leader="dot"/>
        </w:tabs>
      </w:pPr>
      <w:r>
        <w:t xml:space="preserve">Capítulo 13. Pensar con otros: equipos, desacuerdo y comunicación de la incertidumbre</w:t>
      </w:r>
      <w:r>
        <w:tab/>
      </w:r>
      <w:r>
        <w:rPr>
          <w:color w:val="8A8A8A"/>
        </w:rPr>
        <w:t xml:space="preserve">80</w:t>
      </w:r>
    </w:p>
    <w:p>
      <w:pPr>
        <w:pStyle w:val="TocEntry"/>
        <w:tabs>
          <w:tab w:val="right" w:pos="9026" w:leader="dot"/>
        </w:tabs>
      </w:pPr>
      <w:r>
        <w:t xml:space="preserve">Interludio III. La decisión de Carmen</w:t>
      </w:r>
      <w:r>
        <w:tab/>
      </w:r>
      <w:r>
        <w:rPr>
          <w:color w:val="8A8A8A"/>
        </w:rPr>
        <w:t xml:space="preserve">85</w:t>
      </w:r>
    </w:p>
    <w:p>
      <w:pPr>
        <w:pStyle w:val="TocPart"/>
        <w:tabs>
          <w:tab w:val="right" w:pos="9026" w:leader="dot"/>
        </w:tabs>
      </w:pPr>
      <w:r>
        <w:t xml:space="preserve">PARTE IV. Una epistemología operativa</w:t>
      </w:r>
      <w:r>
        <w:tab/>
      </w:r>
      <w:r>
        <w:rPr>
          <w:color w:val="8A8A8A"/>
        </w:rPr>
        <w:t xml:space="preserve">87</w:t>
      </w:r>
    </w:p>
    <w:p>
      <w:pPr>
        <w:pStyle w:val="TocEntry"/>
        <w:tabs>
          <w:tab w:val="right" w:pos="9026" w:leader="dot"/>
        </w:tabs>
      </w:pPr>
      <w:r>
        <w:t xml:space="preserve">Capítulo 14. Humildad epistémica y responsabilidad clínica</w:t>
      </w:r>
      <w:r>
        <w:tab/>
      </w:r>
      <w:r>
        <w:rPr>
          <w:color w:val="8A8A8A"/>
        </w:rPr>
        <w:t xml:space="preserve">88</w:t>
      </w:r>
    </w:p>
    <w:p>
      <w:pPr>
        <w:pStyle w:val="TocEntry"/>
        <w:tabs>
          <w:tab w:val="right" w:pos="9026" w:leader="dot"/>
        </w:tabs>
      </w:pPr>
      <w:r>
        <w:t xml:space="preserve">Capítulo 15. El método HII-D: una epistemología operativa</w:t>
      </w:r>
      <w:r>
        <w:tab/>
      </w:r>
      <w:r>
        <w:rPr>
          <w:color w:val="8A8A8A"/>
        </w:rPr>
        <w:t xml:space="preserve">94</w:t>
      </w:r>
    </w:p>
    <w:p>
      <w:pPr>
        <w:pStyle w:val="TocEntry"/>
        <w:tabs>
          <w:tab w:val="right" w:pos="9026" w:leader="dot"/>
        </w:tabs>
      </w:pPr>
      <w:r>
        <w:t xml:space="preserve">Cuaderno de casos. Ocho viñetas para una lectura metacognitiva</w:t>
      </w:r>
      <w:r>
        <w:tab/>
      </w:r>
      <w:r>
        <w:rPr>
          <w:color w:val="8A8A8A"/>
        </w:rPr>
        <w:t xml:space="preserve">101</w:t>
      </w:r>
    </w:p>
    <w:p>
      <w:pPr>
        <w:pStyle w:val="TocEntry"/>
        <w:tabs>
          <w:tab w:val="right" w:pos="9026" w:leader="dot"/>
        </w:tabs>
      </w:pPr>
      <w:r>
        <w:t xml:space="preserve">Capítulo 16. Enseñar y organizar la metacognición clínica</w:t>
      </w:r>
      <w:r>
        <w:tab/>
      </w:r>
      <w:r>
        <w:rPr>
          <w:color w:val="8A8A8A"/>
        </w:rPr>
        <w:t xml:space="preserve">110</w:t>
      </w:r>
    </w:p>
    <w:p>
      <w:pPr>
        <w:pStyle w:val="TocEntry"/>
        <w:tabs>
          <w:tab w:val="right" w:pos="9026" w:leader="dot"/>
        </w:tabs>
      </w:pPr>
      <w:r>
        <w:t xml:space="preserve">Capítulo 17. La inteligencia artificial en el proceso clínico: roles, riesgos y defensas</w:t>
      </w:r>
      <w:r>
        <w:tab/>
      </w:r>
      <w:r>
        <w:rPr>
          <w:color w:val="8A8A8A"/>
        </w:rPr>
        <w:t xml:space="preserve">114</w:t>
      </w:r>
    </w:p>
    <w:p>
      <w:pPr>
        <w:pStyle w:val="TocEntry"/>
        <w:tabs>
          <w:tab w:val="right" w:pos="9026" w:leader="dot"/>
        </w:tabs>
      </w:pPr>
      <w:r>
        <w:t xml:space="preserve">Capítulo 18. La palabra exacta: lo que la poesía sabe del juicio clínico</w:t>
      </w:r>
      <w:r>
        <w:tab/>
      </w:r>
      <w:r>
        <w:rPr>
          <w:color w:val="8A8A8A"/>
        </w:rPr>
        <w:t xml:space="preserve">122</w:t>
      </w:r>
    </w:p>
    <w:p>
      <w:pPr>
        <w:pStyle w:val="TocPart"/>
        <w:tabs>
          <w:tab w:val="right" w:pos="9026" w:leader="dot"/>
        </w:tabs>
      </w:pPr>
      <w:r>
        <w:t xml:space="preserve">Conclusión. Una medicina lúcida</w:t>
      </w:r>
      <w:r>
        <w:tab/>
      </w:r>
      <w:r>
        <w:rPr>
          <w:color w:val="8A8A8A"/>
        </w:rPr>
        <w:t xml:space="preserve">126</w:t>
      </w:r>
    </w:p>
    <w:p>
      <w:pPr>
        <w:pStyle w:val="TocPart"/>
        <w:tabs>
          <w:tab w:val="right" w:pos="9026" w:leader="dot"/>
        </w:tabs>
      </w:pPr>
      <w:r>
        <w:t xml:space="preserve">Apéndice A. Hoja HII-D para discusión de casos</w:t>
      </w:r>
      <w:r>
        <w:tab/>
      </w:r>
      <w:r>
        <w:rPr>
          <w:color w:val="8A8A8A"/>
        </w:rPr>
        <w:t xml:space="preserve">128</w:t>
      </w:r>
    </w:p>
    <w:p>
      <w:pPr>
        <w:pStyle w:val="TocPart"/>
        <w:tabs>
          <w:tab w:val="right" w:pos="9026" w:leader="dot"/>
        </w:tabs>
      </w:pPr>
      <w:r>
        <w:t xml:space="preserve">Apéndice B. Léxico de certeza y pausa diagnóstica</w:t>
      </w:r>
      <w:r>
        <w:tab/>
      </w:r>
      <w:r>
        <w:rPr>
          <w:color w:val="8A8A8A"/>
        </w:rPr>
        <w:t xml:space="preserve">130</w:t>
      </w:r>
    </w:p>
    <w:p>
      <w:pPr>
        <w:pStyle w:val="TocPart"/>
        <w:tabs>
          <w:tab w:val="right" w:pos="9026" w:leader="dot"/>
        </w:tabs>
      </w:pPr>
      <w:r>
        <w:t xml:space="preserve">Apéndice C. Guía de implementación en un servicio clínico</w:t>
      </w:r>
      <w:r>
        <w:tab/>
      </w:r>
      <w:r>
        <w:rPr>
          <w:color w:val="8A8A8A"/>
        </w:rPr>
        <w:t xml:space="preserve">132</w:t>
      </w:r>
    </w:p>
    <w:p>
      <w:pPr>
        <w:pStyle w:val="TocPart"/>
        <w:tabs>
          <w:tab w:val="right" w:pos="9026" w:leader="dot"/>
        </w:tabs>
      </w:pPr>
      <w:r>
        <w:t xml:space="preserve">Apéndice D. Las preguntas para la próxima visita</w:t>
      </w:r>
      <w:r>
        <w:tab/>
      </w:r>
      <w:r>
        <w:rPr>
          <w:color w:val="8A8A8A"/>
        </w:rPr>
        <w:t xml:space="preserve">135</w:t>
      </w:r>
    </w:p>
    <w:p>
      <w:pPr>
        <w:pStyle w:val="TocPart"/>
        <w:tabs>
          <w:tab w:val="right" w:pos="9026" w:leader="dot"/>
        </w:tabs>
      </w:pPr>
      <w:r>
        <w:t xml:space="preserve">Glosario</w:t>
      </w:r>
      <w:r>
        <w:tab/>
      </w:r>
      <w:r>
        <w:rPr>
          <w:color w:val="8A8A8A"/>
        </w:rPr>
        <w:t xml:space="preserve">139</w:t>
      </w:r>
    </w:p>
    <w:p>
      <w:pPr>
        <w:pStyle w:val="TocPart"/>
        <w:tabs>
          <w:tab w:val="right" w:pos="9026" w:leader="dot"/>
        </w:tabs>
      </w:pPr>
      <w:r>
        <w:t xml:space="preserve">Índice analítico</w:t>
      </w:r>
      <w:r>
        <w:tab/>
      </w:r>
      <w:r>
        <w:rPr>
          <w:color w:val="8A8A8A"/>
        </w:rPr>
        <w:t xml:space="preserve">145</w:t>
      </w:r>
    </w:p>
    <w:p>
      <w:pPr>
        <w:pStyle w:val="TocPart"/>
        <w:tabs>
          <w:tab w:val="right" w:pos="9026" w:leader="dot"/>
        </w:tabs>
      </w:pPr>
      <w:r>
        <w:t xml:space="preserve">Lista de figuras</w:t>
      </w:r>
      <w:r>
        <w:tab/>
      </w:r>
      <w:r>
        <w:rPr>
          <w:color w:val="8A8A8A"/>
        </w:rPr>
        <w:t xml:space="preserve">149</w:t>
      </w:r>
    </w:p>
    <w:p>
      <w:pPr>
        <w:pStyle w:val="TocPart"/>
        <w:tabs>
          <w:tab w:val="right" w:pos="9026" w:leader="dot"/>
        </w:tabs>
      </w:pPr>
      <w:r>
        <w:t xml:space="preserve">Nota metodológica y estatuto de las afirmaciones</w:t>
      </w:r>
      <w:r>
        <w:tab/>
      </w:r>
      <w:r>
        <w:rPr>
          <w:color w:val="8A8A8A"/>
        </w:rPr>
        <w:t xml:space="preserve">150</w:t>
      </w:r>
    </w:p>
    <w:p>
      <w:pPr>
        <w:pStyle w:val="TocPart"/>
        <w:tabs>
          <w:tab w:val="right" w:pos="9026" w:leader="dot"/>
        </w:tabs>
      </w:pPr>
      <w:r>
        <w:t xml:space="preserve">Referencias</w:t>
      </w:r>
      <w:r>
        <w:tab/>
      </w:r>
      <w:r>
        <w:rPr>
          <w:color w:val="8A8A8A"/>
        </w:rPr>
        <w:t xml:space="preserve">152</w:t>
      </w:r>
    </w:p>
    <w:p>
      <w:pPr>
        <w:pStyle w:val="TocPart"/>
        <w:tabs>
          <w:tab w:val="right" w:pos="9026" w:leader="dot"/>
        </w:tabs>
      </w:pPr>
      <w:r>
        <w:t xml:space="preserve">Tarjeta: HII-D en sesenta segundos</w:t>
      </w:r>
      <w:r>
        <w:tab/>
      </w:r>
      <w:r>
        <w:rPr>
          <w:color w:val="8A8A8A"/>
        </w:rPr>
        <w:t xml:space="preserve">162</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Las preguntas de cierre de cada capítulo están reunidas en el Apéndice D,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71750"/>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De ahí que varias de las herramientas que siguen, y que parecen puramente disciplinarias, sean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El diagnóstico diferencial debe organizarse, entonces,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actual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aquí se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y el respaldo de esa garantía. A eso agregó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 frases que operan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BodyJ"/>
      </w:pPr>
      <w:r>
        <w:t xml:space="preserve">Lo contrario del verbo que oculta es la frase que opera. 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solución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 la phronesis</w:t>
      </w:r>
    </w:p>
    <w:p>
      <w:pPr>
        <w:pStyle w:val="BodyJ"/>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BodyJ"/>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Heading3"/>
        <w:spacing w:after="120" w:before="280"/>
      </w:pPr>
      <w:r>
        <w:rPr>
          <w:rFonts w:ascii="Georgia" w:cs="Georgia" w:eastAsia="Georgia" w:hAnsi="Georgia"/>
          <w:b/>
          <w:bCs/>
          <w:color w:val="2B2B2B"/>
          <w:sz w:val="25"/>
          <w:szCs w:val="25"/>
        </w:rPr>
        <w:t xml:space="preserve">El saber hacer y el quiebre</w:t>
      </w:r>
    </w:p>
    <w:p>
      <w:pPr>
        <w:pStyle w:val="BodyJ"/>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Del nombre del sesgo a la trayectoria del error</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 «Cuadro habitual, manejo habitual», la frase con que ingresó Carmen, es anclaje de manual, y nombrarlo así no explica lo que importa: por qué una frase que había sido verdadera tres veces pudo viajar intacta hasta la madrugada en que dejó de serlo.</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confianza</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BodyJ"/>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el punto de este capítulo.</w:t>
      </w:r>
    </w:p>
    <w:p>
      <w:pPr>
        <w:pStyle w:val="Heading3"/>
        <w:spacing w:after="120" w:before="280"/>
      </w:pPr>
      <w:r>
        <w:rPr>
          <w:rFonts w:ascii="Georgia" w:cs="Georgia" w:eastAsia="Georgia" w:hAnsi="Georgia"/>
          <w:b/>
          <w:bCs/>
          <w:color w:val="2B2B2B"/>
          <w:sz w:val="25"/>
          <w:szCs w:val="25"/>
        </w:rPr>
        <w:t xml:space="preserve">Reflexionar no es rumiar: cuándo desacelerar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horas, los turnos largos produjeron un 36% más de errores graves.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debe figurar entre los hechos.</w:t>
      </w:r>
    </w:p>
    <w:p>
      <w:pPr>
        <w:pStyle w:val="Heading3"/>
        <w:spacing w:after="120" w:before="280"/>
      </w:pPr>
      <w:r>
        <w:rPr>
          <w:rFonts w:ascii="Georgia" w:cs="Georgia" w:eastAsia="Georgia" w:hAnsi="Georgia"/>
          <w:b/>
          <w:bCs/>
          <w:color w:val="2B2B2B"/>
          <w:sz w:val="25"/>
          <w:szCs w:val="25"/>
        </w:rPr>
        <w:t xml:space="preserve">Qué hacer con el estado del que piensa</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La lista de disparadores de la sección anterior tiene, por lo mismo,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Es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ficha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cinco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 la trayectoria completa que vale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con la paciente en shock pero con una tomografía sin necrosis ni perforación libre, entrar a pabellón en plena inestabilidad hemodinámica conllevaba una mortalidad perioperatoria altísima. Como el cuadro cedió rápido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Heather Douglas llamó a esto riesgo inductivo (inductive risk) y sostuvo que atraviesa toda la ciencia con consecuencias prácticas. Cuánta evidencia se exige antes de afirmar que un compuesto es tóxico depende de qué error —afirmar de más o afirmar de menos— produce más daño (Douglas, 2000, pp. 565-577).</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Heading3"/>
        <w:spacing w:after="120" w:before="280"/>
      </w:pPr>
      <w:r>
        <w:rPr>
          <w:rFonts w:ascii="Georgia" w:cs="Georgia" w:eastAsia="Georgia" w:hAnsi="Georgia"/>
          <w:b/>
          <w:bCs/>
          <w:color w:val="2B2B2B"/>
          <w:sz w:val="25"/>
          <w:szCs w:val="25"/>
        </w:rPr>
        <w:t xml:space="preserve">Cuatro tópicos, proporcionalidad y deliberación</w:t>
      </w:r>
    </w:p>
    <w:p>
      <w:pPr>
        <w:pStyle w:val="BodyJ"/>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Error típico.</w:t>
      </w:r>
      <w:r>
        <w:t xml:space="preserve"> En ejercicios docentes, la respuesta intuitiva se concentra entre 80% y 90%: se lee la sensibilidad de la prueba como si fuera la probabilidad de la enfermedad, y la prevalencia de 10% desaparece del cálculo. El segundo error es el inverso y más discreto: quien ya conoce la trampa responde «muy baja» sin calcular, y pasa de la sobreconfianza a la desconfianza sin pasar por el número. Las frecuencias naturales existen para que la respuesta sea 33% y no una actitud.</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Una predicción útil lleva, entonces,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11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cuarto episodio de Carmen es el ejemplo de este libro: no fue uno más de la serie, sino el que cambió de categoría, y la trayectoria —intervalos cada vez más cortos, primer shock— pesó más que cualquier dato aislado. El punto de inflexión no es sólo otro dato: redefine el riesgo de estrategias futuras. La frase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 la ficha produce lo visible</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BodyJ"/>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La segunda frase es de Carmen (capítulo 1), y el ejemplo no es hipotético: la plantilla decide si una frase así llega al siguiente turno.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 y la frase medular</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reapertura.</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BodyJ"/>
      </w:pPr>
      <w:r>
        <w:t xml:space="preserve">Después de ordenar el caso, el paso siguiente es formular una frase medular. No reemplaza la evolución completa; ofrece una representación operativa. Debe incluir la naturaleza del evento, la inferencia con su grado, la incertidumbre crítica —el límite principal de certeza, que suele ser el elemento que cambia el riesgo— y el efecto sobre la conducta.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Heading3"/>
        <w:spacing w:after="120" w:before="280"/>
      </w:pPr>
      <w:r>
        <w:rPr>
          <w:rFonts w:ascii="Georgia" w:cs="Georgia" w:eastAsia="Georgia" w:hAnsi="Georgia"/>
          <w:b/>
          <w:bCs/>
          <w:color w:val="2B2B2B"/>
          <w:sz w:val="25"/>
          <w:szCs w:val="25"/>
        </w:rPr>
        <w:t xml:space="preserve">La neumonía escrita como proceso</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(Metlay et al., 2019). La actualización de 2024 de la Society of Critical Care Medicine, ya con ese ensayo sobre la mesa, los recomienda en la neumonía bacteriana grave hospitalizada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 y el diseño para la corrección</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BodyJ"/>
      </w:pPr>
      <w:r>
        <w:t xml:space="preserve">Ese lenguaje común necesita un sistema que lo sostenga. 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invocada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sólo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lactato de 6,0 mmol/L a las 04:15; llene capilar de cinco segundos medido por Marcela; hemocultivos positivos a las 14 horas; tomografía sin isquemia; y la frase textual «esta vez la hernia no se dejó acomodar».</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resultado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pPr>
      <w:r>
        <w:t xml:space="preserve">Caja de herramientas. HII-D en sesenta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 calibración y auditoría</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por escrito la plantilla condensada del Apéndice A.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podría producir si estoy equivocado?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y qué me haría cambiar antes del próximo control?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en consecuencia,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Tres palancas: la visita, la revisión de errores y la ficha</w:t>
      </w:r>
    </w:p>
    <w:p>
      <w:pPr>
        <w:pStyle w:val="BodyJ"/>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BodyJ"/>
      </w:pPr>
      <w:r>
        <w:t xml:space="preserve">La segunda palanca es la revisión de errores, y tiene una forma pública y otra privada. 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BodyJ"/>
      </w:pPr>
      <w:r>
        <w:t xml:space="preserve">La forma privada es el feedback diagnóstico: 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Taller 5 es su versión mínima. El portafolio como instrumento docente tiene además desarrollo propio en la educación médica latinoamericana, incluida la validación en español de instrumentos para evaluar su uso (Riquelme et al., 2011).</w:t>
      </w:r>
    </w:p>
    <w:p>
      <w:pPr>
        <w:pStyle w:val="BodyJ"/>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15. Parentescos: cada riesgo de la IA clínica junto al sesgo ya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De ahí que la automatización completa de la escritura clínica no ahorre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(automation paradox) — cuanto más competente es el sistema, menos ejercita el humano las habilidades necesarias para detectar cuándo falla, que es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dicha en el vocabulario de las capas. Un escriba ambiental (ambient scribe)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demostrado.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la inferencia con su grado, la incertidumbre crítica y el efecto sobre la conducta.</w:t>
      </w:r>
    </w:p>
    <w:p>
      <w:pPr>
        <w:pStyle w:val="BodyJ"/>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8"/>
        </w:numPr>
      </w:pPr>
      <w:r>
        <w:t xml:space="preserve">¿Puedo describir el caso sin usar el diagnóstico actual?</w:t>
      </w:r>
    </w:p>
    <w:p>
      <w:pPr>
        <w:pStyle w:val="BodyJ"/>
        <w:numPr>
          <w:ilvl w:val="0"/>
          <w:numId w:val="28"/>
        </w:numPr>
      </w:pPr>
      <w:r>
        <w:t xml:space="preserve">¿Qué dato sostiene más mi conclusión?</w:t>
      </w:r>
    </w:p>
    <w:p>
      <w:pPr>
        <w:pStyle w:val="BodyJ"/>
        <w:numPr>
          <w:ilvl w:val="0"/>
          <w:numId w:val="28"/>
        </w:numPr>
      </w:pPr>
      <w:r>
        <w:t xml:space="preserve">¿Ese dato es específico o sólo compatible?</w:t>
      </w:r>
    </w:p>
    <w:p>
      <w:pPr>
        <w:pStyle w:val="BodyJ"/>
        <w:numPr>
          <w:ilvl w:val="0"/>
          <w:numId w:val="28"/>
        </w:numPr>
      </w:pPr>
      <w:r>
        <w:t xml:space="preserve">¿Qué hallazgo no encaja?</w:t>
      </w:r>
    </w:p>
    <w:p>
      <w:pPr>
        <w:pStyle w:val="BodyJ"/>
        <w:numPr>
          <w:ilvl w:val="0"/>
          <w:numId w:val="28"/>
        </w:numPr>
      </w:pPr>
      <w:r>
        <w:t xml:space="preserve">¿Qué información estoy suponiendo que fue verificada?</w:t>
      </w:r>
    </w:p>
    <w:p>
      <w:pPr>
        <w:pStyle w:val="BodyJ"/>
        <w:numPr>
          <w:ilvl w:val="0"/>
          <w:numId w:val="28"/>
        </w:numPr>
      </w:pPr>
      <w:r>
        <w:t xml:space="preserve">¿Qué alternativa cambiaría la conducta inmediata?</w:t>
      </w:r>
    </w:p>
    <w:p>
      <w:pPr>
        <w:pStyle w:val="BodyJ"/>
        <w:numPr>
          <w:ilvl w:val="0"/>
          <w:numId w:val="28"/>
        </w:numPr>
      </w:pPr>
      <w:r>
        <w:t xml:space="preserve">¿Estoy usando la respuesta al tratamiento como prueba causal demasiado fuerte?</w:t>
      </w:r>
    </w:p>
    <w:p>
      <w:pPr>
        <w:pStyle w:val="BodyJ"/>
        <w:numPr>
          <w:ilvl w:val="0"/>
          <w:numId w:val="28"/>
        </w:numPr>
      </w:pPr>
      <w:r>
        <w:t xml:space="preserve">¿La gravedad es coherente con mi explicación?</w:t>
      </w:r>
    </w:p>
    <w:p>
      <w:pPr>
        <w:pStyle w:val="BodyJ"/>
        <w:numPr>
          <w:ilvl w:val="0"/>
          <w:numId w:val="28"/>
        </w:numPr>
      </w:pPr>
      <w:r>
        <w:t xml:space="preserve">¿Existe reconsulta, recurrencia o evolución inesperada?</w:t>
      </w:r>
    </w:p>
    <w:p>
      <w:pPr>
        <w:pStyle w:val="BodyJ"/>
        <w:numPr>
          <w:ilvl w:val="0"/>
          <w:numId w:val="28"/>
        </w:numPr>
      </w:pPr>
      <w:r>
        <w:t xml:space="preserve">¿Mi confianza proviene de evidencia o de familiaridad y fluidez?</w:t>
      </w:r>
    </w:p>
    <w:p>
      <w:pPr>
        <w:pStyle w:val="BodyJ"/>
        <w:numPr>
          <w:ilvl w:val="0"/>
          <w:numId w:val="28"/>
        </w:numPr>
      </w:pPr>
      <w:r>
        <w:t xml:space="preserve">¿Cuál es el costo de esperar y cuál el costo de actuar?</w:t>
      </w:r>
    </w:p>
    <w:p>
      <w:pPr>
        <w:pStyle w:val="BodyJ"/>
        <w:numPr>
          <w:ilvl w:val="0"/>
          <w:numId w:val="28"/>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sesenta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reapertura».</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spacing w:after="120" w:before="280"/>
      </w:pPr>
      <w:r>
        <w:rPr>
          <w:rFonts w:ascii="Georgia" w:cs="Georgia" w:eastAsia="Georgia" w:hAnsi="Georgia"/>
          <w:b/>
          <w:bCs/>
          <w:color w:val="2B2B2B"/>
          <w:sz w:val="25"/>
          <w:szCs w:val="25"/>
        </w:rPr>
        <w:t xml:space="preserve">Hoja de ruta para el docente</w:t>
      </w:r>
    </w:p>
    <w:p>
      <w:pPr>
        <w:pStyle w:val="BodyJ"/>
      </w:pPr>
      <w:r>
        <w:t xml:space="preserve">Qué talleres usar con quién, en el orden en que rinden más. Cada uno cabe en una reunión de treinta minutos.</w:t>
      </w:r>
    </w:p>
    <w:p>
      <w:pPr>
        <w:pStyle w:val="BodyJ"/>
        <w:numPr>
          <w:ilvl w:val="0"/>
          <w:numId w:val="6"/>
        </w:numPr>
      </w:pPr>
      <w:r>
        <w:rPr>
          <w:b/>
          <w:bCs/>
        </w:rPr>
        <w:t xml:space="preserve">Interno y residente de primer año</w:t>
      </w:r>
      <w:r>
        <w:t xml:space="preserve">: Taller 1 (qué tan hecho es este hecho), Taller 2 (la sentencia del TAC), Taller 4 (cinco frases para reescribir), Taller 10 (frecuencias naturales), Taller 11 (la observación activa, por escrito) y Taller 12B (conjugue los verbos). Enseñan el léxico y las capas antes que el juicio.</w:t>
      </w:r>
    </w:p>
    <w:p>
      <w:pPr>
        <w:pStyle w:val="BodyJ"/>
        <w:numPr>
          <w:ilvl w:val="0"/>
          <w:numId w:val="6"/>
        </w:numPr>
      </w:pPr>
      <w:r>
        <w:rPr>
          <w:b/>
          <w:bCs/>
        </w:rPr>
        <w:t xml:space="preserve">Residente de segundo año en adelante</w:t>
      </w:r>
      <w:r>
        <w:t xml:space="preserve">: Taller 3 (el mapa de lo que no sabemos), Taller 5 (calibración personal, sostenido tres meses), Taller 7 (reconstruir una trayectoria), Taller 8 (presentar sin la etiqueta), Taller 12 (desfosilizar una evolución), Taller 13 (traducir un desacuerdo) y Taller 15 (su paciente, esta semana). Trabajan sobre el propio razonamiento y sobre pacientes reales.</w:t>
      </w:r>
    </w:p>
    <w:p>
      <w:pPr>
        <w:pStyle w:val="BodyJ"/>
        <w:numPr>
          <w:ilvl w:val="0"/>
          <w:numId w:val="6"/>
        </w:numPr>
      </w:pPr>
      <w:r>
        <w:rPr>
          <w:b/>
          <w:bCs/>
        </w:rPr>
        <w:t xml:space="preserve">Jefe de servicio, docente y comité</w:t>
      </w:r>
      <w:r>
        <w:t xml:space="preserve">: Taller 10B (las cuatro casillas), Taller 16 (rediseñar la visita de sala), Taller 17 (la autopsia de una respuesta de IA) y la reunión de morbimortalidad en el formato de la viñeta 6. Cambian el sistema, no sólo al que razona.</w:t>
      </w:r>
    </w:p>
    <w:p>
      <w:pPr>
        <w:pStyle w:val="BodyJ"/>
        <w:numPr>
          <w:ilvl w:val="0"/>
          <w:numId w:val="6"/>
        </w:numPr>
      </w:pPr>
      <w:r>
        <w:rPr>
          <w:b/>
          <w:bCs/>
        </w:rPr>
        <w:t xml:space="preserve">Para todos, al cierre de un ciclo</w:t>
      </w:r>
      <w:r>
        <w:t xml:space="preserve">: Taller 2B (cinco hipótesis en tres minutos) y Taller 18 (la prueba de Parra), que entrenan la generación y el oído.</w:t>
      </w:r>
    </w:p>
    <w:p>
      <w:pPr>
        <w:pStyle w:val="BodyJ"/>
      </w:pPr>
      <w:r>
        <w:t xml:space="preserve">Secuencia mínima para un servicio que empieza, alineada con las fases de esta guía: Taller 4 en la semana 1, Taller 11 en la semana 3, Taller 8 en la visita de sala del mes 2 y Taller 12 en el mes 3; el resto, a demanda. Los «errores típicos» anotados en los Talleres 7, 8, 10 y 12B son lo que los grupos suelen responder primero; mostrarlos antes de la solución enseña por contraste.</w:t>
      </w:r>
    </w:p>
    <w:p>
      <w:pPr>
        <w:pStyle w:val="Heading1"/>
        <w:pageBreakBefore/>
        <w:spacing w:after="320" w:before="720"/>
      </w:pPr>
      <w:r>
        <w:rPr>
          <w:rFonts w:ascii="Georgia" w:cs="Georgia" w:eastAsia="Georgia" w:hAnsi="Georgia"/>
          <w:b/>
          <w:bCs/>
          <w:color w:val="2B2B2B"/>
          <w:sz w:val="34"/>
          <w:szCs w:val="34"/>
        </w:rPr>
        <w:t xml:space="preserve">Apéndice D. Las preguntas para la próxima visita</w:t>
      </w:r>
    </w:p>
    <w:p>
      <w:pPr>
        <w:pStyle w:val="BodyJ"/>
      </w:pPr>
      <w:r>
        <w:t xml:space="preserve">Las 57 preguntas con que cierran la Introducción y los dieciocho capítulos, reunidas para la visita de sala, la entrega de turno o el portafolio de calibración del Taller 5. Tres por capítulo; una por semana basta. Ninguna pide más de dos minutos y todas se responden con un paciente concreto.</w:t>
      </w:r>
    </w:p>
    <w:p>
      <w:pPr>
        <w:pStyle w:val="BodyJ"/>
      </w:pPr>
      <w:r>
        <w:rPr>
          <w:b/>
          <w:bCs/>
        </w:rPr>
        <w:t xml:space="preserve">Introducción</w:t>
      </w:r>
    </w:p>
    <w:p>
      <w:pPr>
        <w:pStyle w:val="BodyJ"/>
        <w:numPr>
          <w:ilvl w:val="0"/>
          <w:numId w:val="6"/>
        </w:numPr>
      </w:pPr>
      <w:r>
        <w:t xml:space="preserve">En la última nota que escribí, ¿qué afirmación era un dato y cuál era mi interpretación del dato?</w:t>
      </w:r>
    </w:p>
    <w:p>
      <w:pPr>
        <w:pStyle w:val="BodyJ"/>
        <w:numPr>
          <w:ilvl w:val="0"/>
          <w:numId w:val="6"/>
        </w:numPr>
      </w:pPr>
      <w:r>
        <w:t xml:space="preserve">¿Qué frase de la ficha de mi paciente actual heredé de otra nota sin verificar su origen?</w:t>
      </w:r>
    </w:p>
    <w:p>
      <w:pPr>
        <w:pStyle w:val="BodyJ"/>
        <w:numPr>
          <w:ilvl w:val="0"/>
          <w:numId w:val="6"/>
        </w:numPr>
      </w:pPr>
      <w:r>
        <w:t xml:space="preserve">¿Cuál es la decisión concreta que este caso me exige hoy, y qué me haría cambiarla?</w:t>
      </w:r>
    </w:p>
    <w:p>
      <w:pPr>
        <w:pStyle w:val="BodyJ"/>
      </w:pPr>
      <w:r>
        <w:rPr>
          <w:b/>
          <w:bCs/>
        </w:rPr>
        <w:t xml:space="preserve">Capítulo 1. El hecho clínico: observación, medición y procedencia</w:t>
      </w:r>
    </w:p>
    <w:p>
      <w:pPr>
        <w:pStyle w:val="BodyJ"/>
        <w:numPr>
          <w:ilvl w:val="0"/>
          <w:numId w:val="6"/>
        </w:numPr>
      </w:pPr>
      <w:r>
        <w:t xml:space="preserve">¿Cuál es el dato más decisivo de mi evaluación de hoy y quién lo produjo realmente?</w:t>
      </w:r>
    </w:p>
    <w:p>
      <w:pPr>
        <w:pStyle w:val="BodyJ"/>
        <w:numPr>
          <w:ilvl w:val="0"/>
          <w:numId w:val="6"/>
        </w:numPr>
      </w:pPr>
      <w:r>
        <w:t xml:space="preserve">¿Qué «hallazgo negativo» estoy tratando como evidencia de ausencia sin preguntarme por la sensibilidad de la búsqueda?</w:t>
      </w:r>
    </w:p>
    <w:p>
      <w:pPr>
        <w:pStyle w:val="BodyJ"/>
        <w:numPr>
          <w:ilvl w:val="0"/>
          <w:numId w:val="6"/>
        </w:numPr>
      </w:pPr>
      <w:r>
        <w:t xml:space="preserve">¿Qué dijo mi paciente con sus propias palabras que yo ya traduje a jerga?</w:t>
      </w:r>
    </w:p>
    <w:p>
      <w:pPr>
        <w:pStyle w:val="BodyJ"/>
      </w:pPr>
      <w:r>
        <w:rPr>
          <w:b/>
          <w:bCs/>
        </w:rPr>
        <w:t xml:space="preserve">Capítulo 2. Inferir: del signo a la explicación</w:t>
      </w:r>
    </w:p>
    <w:p>
      <w:pPr>
        <w:pStyle w:val="BodyJ"/>
        <w:numPr>
          <w:ilvl w:val="0"/>
          <w:numId w:val="6"/>
        </w:numPr>
      </w:pPr>
      <w:r>
        <w:t xml:space="preserve">¿Cuál es el dato más difícil de explicar con mi hipótesis principal?</w:t>
      </w:r>
    </w:p>
    <w:p>
      <w:pPr>
        <w:pStyle w:val="BodyJ"/>
        <w:numPr>
          <w:ilvl w:val="0"/>
          <w:numId w:val="6"/>
        </w:numPr>
      </w:pPr>
      <w:r>
        <w:t xml:space="preserve">¿Qué explicación rival cambiaría mi conducta hoy, y qué me costaría buscarla?</w:t>
      </w:r>
    </w:p>
    <w:p>
      <w:pPr>
        <w:pStyle w:val="BodyJ"/>
        <w:numPr>
          <w:ilvl w:val="0"/>
          <w:numId w:val="6"/>
        </w:numPr>
      </w:pPr>
      <w:r>
        <w:t xml:space="preserve">¿Qué predicción concreta hace mi diagnóstico para las próximas 24 horas?</w:t>
      </w:r>
    </w:p>
    <w:p>
      <w:pPr>
        <w:pStyle w:val="BodyJ"/>
      </w:pPr>
      <w:r>
        <w:rPr>
          <w:b/>
          <w:bCs/>
        </w:rPr>
        <w:t xml:space="preserve">Capítulo 3. Incertidumbre: una condición estructural</w:t>
      </w:r>
    </w:p>
    <w:p>
      <w:pPr>
        <w:pStyle w:val="BodyJ"/>
        <w:numPr>
          <w:ilvl w:val="0"/>
          <w:numId w:val="6"/>
        </w:numPr>
      </w:pPr>
      <w:r>
        <w:t xml:space="preserve">De todo lo que no sé de este paciente, ¿qué duda cambiaría mi conducta si se resolviera?</w:t>
      </w:r>
    </w:p>
    <w:p>
      <w:pPr>
        <w:pStyle w:val="BodyJ"/>
        <w:numPr>
          <w:ilvl w:val="0"/>
          <w:numId w:val="6"/>
        </w:numPr>
      </w:pPr>
      <w:r>
        <w:t xml:space="preserve">¿Cuál es la duda pequeña con consecuencia catastrófica que exige vigilancia explícita?</w:t>
      </w:r>
    </w:p>
    <w:p>
      <w:pPr>
        <w:pStyle w:val="BodyJ"/>
        <w:numPr>
          <w:ilvl w:val="0"/>
          <w:numId w:val="6"/>
        </w:numPr>
      </w:pPr>
      <w:r>
        <w:t xml:space="preserve">¿Qué parte de mi plan depende de valores del paciente que aún no he preguntado?</w:t>
      </w:r>
    </w:p>
    <w:p>
      <w:pPr>
        <w:pStyle w:val="BodyJ"/>
      </w:pPr>
      <w:r>
        <w:rPr>
          <w:b/>
          <w:bCs/>
        </w:rPr>
        <w:t xml:space="preserve">Capítulo 4. Lenguaje clínico y densidad epistémica</w:t>
      </w:r>
    </w:p>
    <w:p>
      <w:pPr>
        <w:pStyle w:val="BodyJ"/>
        <w:numPr>
          <w:ilvl w:val="0"/>
          <w:numId w:val="6"/>
        </w:numPr>
      </w:pPr>
      <w:r>
        <w:t xml:space="preserve">En mi última evolución, ¿qué verbo causal («secundario a», «por», «complicado por») no podría defender si me lo preguntaran?</w:t>
      </w:r>
    </w:p>
    <w:p>
      <w:pPr>
        <w:pStyle w:val="BodyJ"/>
        <w:numPr>
          <w:ilvl w:val="0"/>
          <w:numId w:val="6"/>
        </w:numPr>
      </w:pPr>
      <w:r>
        <w:t xml:space="preserve">¿Escribí «se descarta» donde sólo tenía «sin evidencia actual de»?</w:t>
      </w:r>
    </w:p>
    <w:p>
      <w:pPr>
        <w:pStyle w:val="BodyJ"/>
        <w:numPr>
          <w:ilvl w:val="0"/>
          <w:numId w:val="6"/>
        </w:numPr>
      </w:pPr>
      <w:r>
        <w:t xml:space="preserve">Si otro médico leyera sólo mi frase final, ¿sabría qué vigilar y qué me haría cambiar?</w:t>
      </w:r>
    </w:p>
    <w:p>
      <w:pPr>
        <w:pStyle w:val="BodyJ"/>
      </w:pPr>
      <w:r>
        <w:rPr>
          <w:b/>
          <w:bCs/>
        </w:rPr>
        <w:t xml:space="preserve">Capítulo 5. Metacognición: monitorear y regular el propio juicio</w:t>
      </w:r>
    </w:p>
    <w:p>
      <w:pPr>
        <w:pStyle w:val="BodyJ"/>
        <w:numPr>
          <w:ilvl w:val="0"/>
          <w:numId w:val="6"/>
        </w:numPr>
      </w:pPr>
      <w:r>
        <w:t xml:space="preserve">En mi diagnóstico más firme de hoy, ¿mi confianza viene de la evidencia o de la fluidez con que reconocí el patrón?</w:t>
      </w:r>
    </w:p>
    <w:p>
      <w:pPr>
        <w:pStyle w:val="BodyJ"/>
        <w:numPr>
          <w:ilvl w:val="0"/>
          <w:numId w:val="6"/>
        </w:numPr>
      </w:pPr>
      <w:r>
        <w:t xml:space="preserve">¿Qué señal afectiva (prisa, irritación, alivio) está influyendo en mi evaluación de este caso?</w:t>
      </w:r>
    </w:p>
    <w:p>
      <w:pPr>
        <w:pStyle w:val="BodyJ"/>
        <w:numPr>
          <w:ilvl w:val="0"/>
          <w:numId w:val="6"/>
        </w:numPr>
      </w:pPr>
      <w:r>
        <w:t xml:space="preserve">¿Cuál fue mi última predicción concreta —un cultivo, una imagen, una evolución— y la contrasté con el resultado cuando llegó, o sólo recuerdo las que acerté?</w:t>
      </w:r>
    </w:p>
    <w:p>
      <w:pPr>
        <w:pStyle w:val="BodyJ"/>
      </w:pPr>
      <w:r>
        <w:rPr>
          <w:b/>
          <w:bCs/>
        </w:rPr>
        <w:t xml:space="preserve">Capítulo 6. Pericia, intuición y conocimiento tácito</w:t>
      </w:r>
    </w:p>
    <w:p>
      <w:pPr>
        <w:pStyle w:val="BodyJ"/>
        <w:numPr>
          <w:ilvl w:val="0"/>
          <w:numId w:val="6"/>
        </w:numPr>
      </w:pPr>
      <w:r>
        <w:t xml:space="preserve">¿En qué dominio tengo suficiente experiencia con feedback real como para confiar en mi primera impresión?</w:t>
      </w:r>
    </w:p>
    <w:p>
      <w:pPr>
        <w:pStyle w:val="BodyJ"/>
        <w:numPr>
          <w:ilvl w:val="0"/>
          <w:numId w:val="6"/>
        </w:numPr>
      </w:pPr>
      <w:r>
        <w:t xml:space="preserve">La última vez que «vi» un diagnóstico al instante, ¿qué características lo activaron? ¿Puedo nombrarlas?</w:t>
      </w:r>
    </w:p>
    <w:p>
      <w:pPr>
        <w:pStyle w:val="BodyJ"/>
        <w:numPr>
          <w:ilvl w:val="0"/>
          <w:numId w:val="6"/>
        </w:numPr>
      </w:pPr>
      <w:r>
        <w:t xml:space="preserve">¿Qué caso reciente forcé a encajar en un patrón conocido cuando algo no calzaba?</w:t>
      </w:r>
    </w:p>
    <w:p>
      <w:pPr>
        <w:pStyle w:val="BodyJ"/>
      </w:pPr>
      <w:r>
        <w:rPr>
          <w:b/>
          <w:bCs/>
        </w:rPr>
        <w:t xml:space="preserve">Capítulo 7. Error, sesgo y ecología del diagnóstico</w:t>
      </w:r>
    </w:p>
    <w:p>
      <w:pPr>
        <w:pStyle w:val="BodyJ"/>
        <w:numPr>
          <w:ilvl w:val="0"/>
          <w:numId w:val="6"/>
        </w:numPr>
      </w:pPr>
      <w:r>
        <w:t xml:space="preserve">¿Qué frase heredada estoy tratando como hecho en mi paciente más complejo?</w:t>
      </w:r>
    </w:p>
    <w:p>
      <w:pPr>
        <w:pStyle w:val="BodyJ"/>
        <w:numPr>
          <w:ilvl w:val="0"/>
          <w:numId w:val="6"/>
        </w:numPr>
      </w:pPr>
      <w:r>
        <w:t xml:space="preserve">¿Qué dato «confirmatorio» de hoy confirmaría también la hipótesis rival?</w:t>
      </w:r>
    </w:p>
    <w:p>
      <w:pPr>
        <w:pStyle w:val="BodyJ"/>
        <w:numPr>
          <w:ilvl w:val="0"/>
          <w:numId w:val="6"/>
        </w:numPr>
      </w:pPr>
      <w:r>
        <w:t xml:space="preserve">¿Qué evolución atípica estoy reinterpretando para no reabrir el caso?</w:t>
      </w:r>
    </w:p>
    <w:p>
      <w:pPr>
        <w:pStyle w:val="BodyJ"/>
      </w:pPr>
      <w:r>
        <w:rPr>
          <w:b/>
          <w:bCs/>
        </w:rPr>
        <w:t xml:space="preserve">Capítulo 8. Desacelerar: cuándo, en qué estado y con qué mente</w:t>
      </w:r>
    </w:p>
    <w:p>
      <w:pPr>
        <w:pStyle w:val="BodyJ"/>
        <w:numPr>
          <w:ilvl w:val="0"/>
          <w:numId w:val="6"/>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6"/>
        </w:numPr>
      </w:pPr>
      <w:r>
        <w:t xml:space="preserve">¿Puedo presentar mi caso más complejo sin usar su etiqueta diagnóstica?</w:t>
      </w:r>
    </w:p>
    <w:p>
      <w:pPr>
        <w:pStyle w:val="BodyJ"/>
        <w:numPr>
          <w:ilvl w:val="0"/>
          <w:numId w:val="6"/>
        </w:numPr>
      </w:pPr>
      <w:r>
        <w:t xml:space="preserve">En mi última alta con diagnóstico incierto, ¿dejé escrito qué debería motivar reconsulta?</w:t>
      </w:r>
    </w:p>
    <w:p>
      <w:pPr>
        <w:pStyle w:val="BodyJ"/>
      </w:pPr>
      <w:r>
        <w:rPr>
          <w:b/>
          <w:bCs/>
        </w:rPr>
        <w:t xml:space="preserve">Capítulo 9. La evidencia y el caso singular</w:t>
      </w:r>
    </w:p>
    <w:p>
      <w:pPr>
        <w:pStyle w:val="BodyJ"/>
        <w:numPr>
          <w:ilvl w:val="0"/>
          <w:numId w:val="6"/>
        </w:numPr>
      </w:pPr>
      <w:r>
        <w:t xml:space="preserve">Para mi indicación más importante de hoy: ¿qué demostró exactamente el estudio que la respalda, y en qué se parece mi paciente a esa población?</w:t>
      </w:r>
    </w:p>
    <w:p>
      <w:pPr>
        <w:pStyle w:val="BodyJ"/>
        <w:numPr>
          <w:ilvl w:val="0"/>
          <w:numId w:val="6"/>
        </w:numPr>
      </w:pPr>
      <w:r>
        <w:t xml:space="preserve">El último ensayo «negativo» que cité: ¿mostró ausencia de efecto o ausencia de significación — y traté esa diferencia como si no existiera?</w:t>
      </w:r>
    </w:p>
    <w:p>
      <w:pPr>
        <w:pStyle w:val="BodyJ"/>
        <w:numPr>
          <w:ilvl w:val="0"/>
          <w:numId w:val="6"/>
        </w:numPr>
      </w:pPr>
      <w:r>
        <w:t xml:space="preserve">¿Qué conocimiento local (resistencias, tiempos, capacidad de seguimiento) está modificando mi decisión sin estar declarado en ninguna parte?</w:t>
      </w:r>
    </w:p>
    <w:p>
      <w:pPr>
        <w:pStyle w:val="BodyJ"/>
      </w:pPr>
      <w:r>
        <w:rPr>
          <w:b/>
          <w:bCs/>
        </w:rPr>
        <w:t xml:space="preserve">Capítulo 10. Decidir sin certeza: umbrales, valores y bioética</w:t>
      </w:r>
    </w:p>
    <w:p>
      <w:pPr>
        <w:pStyle w:val="BodyJ"/>
        <w:numPr>
          <w:ilvl w:val="0"/>
          <w:numId w:val="6"/>
        </w:numPr>
      </w:pPr>
      <w:r>
        <w:t xml:space="preserve">¿Cuál es el umbral implícito de mi decisión: qué probabilidad de estar equivocado la haría cambiar?</w:t>
      </w:r>
    </w:p>
    <w:p>
      <w:pPr>
        <w:pStyle w:val="BodyJ"/>
        <w:numPr>
          <w:ilvl w:val="0"/>
          <w:numId w:val="6"/>
        </w:numPr>
      </w:pPr>
      <w:r>
        <w:t xml:space="preserve">¿Estoy exigiendo certeza diagnóstica donde bastaría compromiso práctico, o actuando para no tolerar una duda?</w:t>
      </w:r>
    </w:p>
    <w:p>
      <w:pPr>
        <w:pStyle w:val="BodyJ"/>
        <w:numPr>
          <w:ilvl w:val="0"/>
          <w:numId w:val="6"/>
        </w:numPr>
      </w:pPr>
      <w:r>
        <w:t xml:space="preserve">De mi paciente más grave de hoy: ¿sé cómo funcionaba antes de enfermar, con quién vive y qué espera del tratamiento — y está escrito en alguna parte?</w:t>
      </w:r>
    </w:p>
    <w:p>
      <w:pPr>
        <w:pStyle w:val="BodyJ"/>
      </w:pPr>
      <w:r>
        <w:rPr>
          <w:b/>
          <w:bCs/>
        </w:rPr>
        <w:t xml:space="preserve">Capítulo 11. Temporalidad, trayectoria y razonamiento contrafactual</w:t>
      </w:r>
    </w:p>
    <w:p>
      <w:pPr>
        <w:pStyle w:val="BodyJ"/>
        <w:numPr>
          <w:ilvl w:val="0"/>
          <w:numId w:val="6"/>
        </w:numPr>
      </w:pPr>
      <w:r>
        <w:t xml:space="preserve">«Está mejor»: ¿mejor que cuándo, en qué variable y a qué velocidad?</w:t>
      </w:r>
    </w:p>
    <w:p>
      <w:pPr>
        <w:pStyle w:val="BodyJ"/>
        <w:numPr>
          <w:ilvl w:val="0"/>
          <w:numId w:val="6"/>
        </w:numPr>
      </w:pPr>
      <w:r>
        <w:t xml:space="preserve">¿Qué predijo mi diagnóstico hace 48 horas, y la evolución lo confirmó o lo desmintió?</w:t>
      </w:r>
    </w:p>
    <w:p>
      <w:pPr>
        <w:pStyle w:val="BodyJ"/>
        <w:numPr>
          <w:ilvl w:val="0"/>
          <w:numId w:val="6"/>
        </w:numPr>
      </w:pPr>
      <w:r>
        <w:t xml:space="preserve">Mi «observación» de hoy, ¿tiene plazo, variables y criterio de salida, o es una espera sin diseño?</w:t>
      </w:r>
    </w:p>
    <w:p>
      <w:pPr>
        <w:pStyle w:val="BodyJ"/>
      </w:pPr>
      <w:r>
        <w:rPr>
          <w:b/>
          <w:bCs/>
        </w:rPr>
        <w:t xml:space="preserve">Capítulo 12. La ficha clínica como instrumento de pensamiento</w:t>
      </w:r>
    </w:p>
    <w:p>
      <w:pPr>
        <w:pStyle w:val="BodyJ"/>
        <w:numPr>
          <w:ilvl w:val="0"/>
          <w:numId w:val="6"/>
        </w:numPr>
      </w:pPr>
      <w:r>
        <w:t xml:space="preserve">¿Qué párrafo de mi evolución de hoy es copia de ayer, y sigue siendo verdad?</w:t>
      </w:r>
    </w:p>
    <w:p>
      <w:pPr>
        <w:pStyle w:val="BodyJ"/>
        <w:numPr>
          <w:ilvl w:val="0"/>
          <w:numId w:val="6"/>
        </w:numPr>
      </w:pPr>
      <w:r>
        <w:t xml:space="preserve">Si yo no estuviera mañana, ¿el médico que me reemplace sabría por mi nota qué vigilar y qué reabriría el caso?</w:t>
      </w:r>
    </w:p>
    <w:p>
      <w:pPr>
        <w:pStyle w:val="BodyJ"/>
        <w:numPr>
          <w:ilvl w:val="0"/>
          <w:numId w:val="6"/>
        </w:numPr>
      </w:pPr>
      <w:r>
        <w:t xml:space="preserve">¿Mi lista de problemas distingue hechos, hipótesis, acciones pendientes e incertidumbres, o todo tiene el mismo estatus?</w:t>
      </w:r>
    </w:p>
    <w:p>
      <w:pPr>
        <w:pStyle w:val="BodyJ"/>
      </w:pPr>
      <w:r>
        <w:rPr>
          <w:b/>
          <w:bCs/>
        </w:rPr>
        <w:t xml:space="preserve">Capítulo 13. Pensar con otros: equipos, desacuerdo y comunicación de la incertidumbre</w:t>
      </w:r>
    </w:p>
    <w:p>
      <w:pPr>
        <w:pStyle w:val="BodyJ"/>
        <w:numPr>
          <w:ilvl w:val="0"/>
          <w:numId w:val="6"/>
        </w:numPr>
      </w:pPr>
      <w:r>
        <w:t xml:space="preserve">¿Qué observó enfermería en las últimas 24 horas que no pasó por mi evaluación?</w:t>
      </w:r>
    </w:p>
    <w:p>
      <w:pPr>
        <w:pStyle w:val="BodyJ"/>
        <w:numPr>
          <w:ilvl w:val="0"/>
          <w:numId w:val="6"/>
        </w:numPr>
      </w:pPr>
      <w:r>
        <w:t xml:space="preserve">En mi último desacuerdo clínico, ¿discrepábamos en hechos, inferencias, incertidumbre, valores o umbral?</w:t>
      </w:r>
    </w:p>
    <w:p>
      <w:pPr>
        <w:pStyle w:val="BodyJ"/>
        <w:numPr>
          <w:ilvl w:val="0"/>
          <w:numId w:val="6"/>
        </w:numPr>
      </w:pPr>
      <w:r>
        <w:t xml:space="preserve">¿Mi paciente sabe qué sabemos, qué creemos, qué no sabemos aún y qué haremos —o sólo recibió una etiqueta?</w:t>
      </w:r>
    </w:p>
    <w:p>
      <w:pPr>
        <w:pStyle w:val="BodyJ"/>
      </w:pPr>
      <w:r>
        <w:rPr>
          <w:b/>
          <w:bCs/>
        </w:rPr>
        <w:t xml:space="preserve">Capítulo 14. Humildad epistémica y responsabilidad clínica</w:t>
      </w:r>
    </w:p>
    <w:p>
      <w:pPr>
        <w:pStyle w:val="BodyJ"/>
        <w:numPr>
          <w:ilvl w:val="0"/>
          <w:numId w:val="6"/>
        </w:numPr>
      </w:pPr>
      <w:r>
        <w:t xml:space="preserve">¿A qué paciente le estoy creyendo menos de lo que su testimonio merece, y por qué?</w:t>
      </w:r>
    </w:p>
    <w:p>
      <w:pPr>
        <w:pStyle w:val="BodyJ"/>
        <w:numPr>
          <w:ilvl w:val="0"/>
          <w:numId w:val="6"/>
        </w:numPr>
      </w:pPr>
      <w:r>
        <w:t xml:space="preserve">Mi última recomendación firme: ¿podría explicar qué hechos la sostienen, qué incertidumbres la modificarían y qué valores del paciente pesan?</w:t>
      </w:r>
    </w:p>
    <w:p>
      <w:pPr>
        <w:pStyle w:val="BodyJ"/>
        <w:numPr>
          <w:ilvl w:val="0"/>
          <w:numId w:val="6"/>
        </w:numPr>
      </w:pPr>
      <w:r>
        <w:t xml:space="preserve">¿Hay en mis fichas una etiqueta («funcional», «no adherente», «poco colaborador») que esté distribuyendo credibilidad en lugar de información?</w:t>
      </w:r>
    </w:p>
    <w:p>
      <w:pPr>
        <w:pStyle w:val="BodyJ"/>
      </w:pPr>
      <w:r>
        <w:rPr>
          <w:b/>
          <w:bCs/>
        </w:rPr>
        <w:t xml:space="preserve">Capítulo 15. El método HII-D: una epistemología operativa</w:t>
      </w:r>
    </w:p>
    <w:p>
      <w:pPr>
        <w:pStyle w:val="BodyJ"/>
        <w:numPr>
          <w:ilvl w:val="0"/>
          <w:numId w:val="6"/>
        </w:numPr>
      </w:pPr>
      <w:r>
        <w:t xml:space="preserve">¿Cuál es la pregunta operativa de mi caso más difícil —la decisión real en juego, no «el diagnóstico»?</w:t>
      </w:r>
    </w:p>
    <w:p>
      <w:pPr>
        <w:pStyle w:val="BodyJ"/>
        <w:numPr>
          <w:ilvl w:val="0"/>
          <w:numId w:val="6"/>
        </w:numPr>
      </w:pPr>
      <w:r>
        <w:t xml:space="preserve">¿Mi nota de hoy permite a otro médico reconstruir mis cuatro capas, o sólo mi conclusión?</w:t>
      </w:r>
    </w:p>
    <w:p>
      <w:pPr>
        <w:pStyle w:val="BodyJ"/>
        <w:numPr>
          <w:ilvl w:val="0"/>
          <w:numId w:val="6"/>
        </w:numPr>
      </w:pPr>
      <w:r>
        <w:t xml:space="preserve">¿Qué decisión de esta semana tomé sin criterio de reapertura, y todavía estoy a tiempo de escribirlo?</w:t>
      </w:r>
    </w:p>
    <w:p>
      <w:pPr>
        <w:pStyle w:val="BodyJ"/>
      </w:pPr>
      <w:r>
        <w:rPr>
          <w:b/>
          <w:bCs/>
        </w:rPr>
        <w:t xml:space="preserve">Capítulo 16. Enseñar y organizar la metacognición clínica</w:t>
      </w:r>
    </w:p>
    <w:p>
      <w:pPr>
        <w:pStyle w:val="BodyJ"/>
        <w:numPr>
          <w:ilvl w:val="0"/>
          <w:numId w:val="6"/>
        </w:numPr>
      </w:pPr>
      <w:r>
        <w:t xml:space="preserve">La última vez que enseñé un caso, ¿pedí el diagnóstico o pedí primero la representación del problema?</w:t>
      </w:r>
    </w:p>
    <w:p>
      <w:pPr>
        <w:pStyle w:val="BodyJ"/>
        <w:numPr>
          <w:ilvl w:val="0"/>
          <w:numId w:val="6"/>
        </w:numPr>
      </w:pPr>
      <w:r>
        <w:t xml:space="preserve">¿Qué pasó con el último paciente que derivé o di de alta con diagnóstico incierto — y cómo podría enterarme sistemáticamente?</w:t>
      </w:r>
    </w:p>
    <w:p>
      <w:pPr>
        <w:pStyle w:val="BodyJ"/>
        <w:numPr>
          <w:ilvl w:val="0"/>
          <w:numId w:val="6"/>
        </w:numPr>
      </w:pPr>
      <w:r>
        <w:t xml:space="preserve">Si mañana dirigiera mi servicio, ¿cuál de las tres palancas (visita de sala, ficha, revisión de errores) cambiaría primero, y qué costaría?</w:t>
      </w:r>
    </w:p>
    <w:p>
      <w:pPr>
        <w:pStyle w:val="BodyJ"/>
      </w:pPr>
      <w:r>
        <w:rPr>
          <w:b/>
          <w:bCs/>
        </w:rPr>
        <w:t xml:space="preserve">Capítulo 17. La inteligencia artificial en el proceso clínico: roles, riesgos y defensas</w:t>
      </w:r>
    </w:p>
    <w:p>
      <w:pPr>
        <w:pStyle w:val="BodyJ"/>
        <w:numPr>
          <w:ilvl w:val="0"/>
          <w:numId w:val="6"/>
        </w:numPr>
      </w:pPr>
      <w:r>
        <w:t xml:space="preserve">Si uso IA en este caso, ¿qué dato de su respuesta verifiqué contra una fuente primaria antes de actuar?</w:t>
      </w:r>
    </w:p>
    <w:p>
      <w:pPr>
        <w:pStyle w:val="BodyJ"/>
        <w:numPr>
          <w:ilvl w:val="0"/>
          <w:numId w:val="6"/>
        </w:numPr>
      </w:pPr>
      <w:r>
        <w:t xml:space="preserve">¿Qué agregó el modelo que el caso no contenía?</w:t>
      </w:r>
    </w:p>
    <w:p>
      <w:pPr>
        <w:pStyle w:val="BodyJ"/>
        <w:numPr>
          <w:ilvl w:val="0"/>
          <w:numId w:val="6"/>
        </w:numPr>
      </w:pPr>
      <w:r>
        <w:t xml:space="preserve">¿Estoy usando la herramienta para ampliar hipótesis o para confirmar rápido la que ya tenía?</w:t>
      </w:r>
    </w:p>
    <w:p>
      <w:pPr>
        <w:pStyle w:val="BodyJ"/>
      </w:pPr>
      <w:r>
        <w:rPr>
          <w:b/>
          <w:bCs/>
        </w:rPr>
        <w:t xml:space="preserve">Capítulo 18. La palabra exacta: lo que la poesía sabe del juicio clínico</w:t>
      </w:r>
    </w:p>
    <w:p>
      <w:pPr>
        <w:pStyle w:val="BodyJ"/>
        <w:numPr>
          <w:ilvl w:val="0"/>
          <w:numId w:val="6"/>
        </w:numPr>
      </w:pPr>
      <w:r>
        <w:t xml:space="preserve">¿Qué palabra de mi última nota está «haciendo florecer» algo que nadie observó?</w:t>
      </w:r>
    </w:p>
    <w:p>
      <w:pPr>
        <w:pStyle w:val="BodyJ"/>
        <w:numPr>
          <w:ilvl w:val="0"/>
          <w:numId w:val="6"/>
        </w:numPr>
      </w:pPr>
      <w:r>
        <w:t xml:space="preserve">El diagnóstico que más me satisface hoy: ¿me convence por la evidencia o por lo bien que cierra la historia?</w:t>
      </w:r>
    </w:p>
    <w:p>
      <w:pPr>
        <w:pStyle w:val="BodyJ"/>
        <w:numPr>
          <w:ilvl w:val="0"/>
          <w:numId w:val="6"/>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 (anchoring).</w:t>
      </w:r>
      <w:r>
        <w:t xml:space="preserve"> Persistencia de una hipótesis inicial que conserva autoridad aun cuando la evidencia acumulada la ha degradado.</w:t>
      </w:r>
    </w:p>
    <w:p>
      <w:pPr>
        <w:pStyle w:val="BodyJ"/>
      </w:pPr>
      <w:r>
        <w:rPr>
          <w:b/>
          <w:bCs/>
        </w:rPr>
        <w:t xml:space="preserve">Calibración (calibration).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 (premature closure).</w:t>
      </w:r>
      <w:r>
        <w:t xml:space="preserve"> Aceptación de un diagnóstico antes de haberlo verificado suficientemente, con suspensión de la búsqueda de alternativas.</w:t>
      </w:r>
    </w:p>
    <w:p>
      <w:pPr>
        <w:pStyle w:val="BodyJ"/>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 (tacit knowledge).</w:t>
      </w:r>
      <w:r>
        <w:t xml:space="preserve"> Capacidad de reconocer o ejecutar más de lo que puede formularse explícitamente (Polanyi).</w:t>
      </w:r>
    </w:p>
    <w:p>
      <w:pPr>
        <w:pStyle w:val="BodyJ"/>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 (counterfactual).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 que una frase pierde con más frecuencia —procedencia, temporalidad, transparencia inferencial, calibración modal, relevancia decisional y revisabilidad: las seis dimensiones de auditoría del capítulo 4—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—hora del día, horas de turno, sueño, ánimo, preocupación ajena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la inferencia con su grado, la incertidumbre crítica y el efecto sobre la conducta: las cuatro capas de HII-D en una o dos frases.</w:t>
      </w:r>
    </w:p>
    <w:p>
      <w:pPr>
        <w:pStyle w:val="BodyJ"/>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a partir de una pregunta operativa, ordena el razonamiento en Hechos, Inferencias, Incertidumbre y Decisión, más un movimiento transversal de reevaluación. No validada como instrumento.</w:t>
      </w:r>
    </w:p>
    <w:p>
      <w:pPr>
        <w:pStyle w:val="BodyJ"/>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 (aleatory uncertainty).</w:t>
      </w:r>
      <w:r>
        <w:t xml:space="preserve"> La que proviene de variabilidad o contingencia que persiste aun con conocimiento completo del sistema.</w:t>
      </w:r>
    </w:p>
    <w:p>
      <w:pPr>
        <w:pStyle w:val="BodyJ"/>
      </w:pPr>
      <w:r>
        <w:rPr>
          <w:b/>
          <w:bCs/>
        </w:rPr>
        <w:t xml:space="preserve">Incertidumbre epistémica (epistemic uncertainty).</w:t>
      </w:r>
      <w:r>
        <w:t xml:space="preserve"> La que proviene de conocimiento insuficiente y puede, en principio, reducirse con información.</w:t>
      </w:r>
    </w:p>
    <w:p>
      <w:pPr>
        <w:pStyle w:val="BodyJ"/>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 (epistemic modality).</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 (automation paradox).</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 (diagnostic time-out).</w:t>
      </w:r>
      <w:r>
        <w:t xml:space="preserve"> Interrupción breve y selectiva del flujo clínico, activada por disparadores definidos (reconsulta, evolución inesperada o discordante con el diagnóstico, transición de cuidados, estado del razonador),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Antipoesía como léxico de certeza (Parra) — 18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Conversaciones para la acción (Flores y Winograd) — 13</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Criterio de reapertura — 8, 12, 15, Interludio III, CC (viñeta 6), Ap A, Ap C</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Errores típicos en los talleres — 7, 8, 10, 12</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Ética de la creencia (Clifford); pensar bien como deber primordial — 14, C</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Fuentes del hecho clínico (matriz de procedencia) — 1</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HII-D (método) — 12, 15, Ap A; auditoría de IA con — 17</w:t>
      </w:r>
    </w:p>
    <w:p>
      <w:pPr>
        <w:pStyle w:val="BodyJ"/>
        <w:numPr>
          <w:ilvl w:val="0"/>
          <w:numId w:val="6"/>
        </w:numPr>
      </w:pPr>
      <w:r>
        <w:t xml:space="preserve">Hindsight bias — 8, 11, 16, CC (viñeta 6)</w:t>
      </w:r>
    </w:p>
    <w:p>
      <w:pPr>
        <w:pStyle w:val="BodyJ"/>
        <w:numPr>
          <w:ilvl w:val="0"/>
          <w:numId w:val="6"/>
        </w:numPr>
      </w:pPr>
      <w:r>
        <w:t xml:space="preserve">Hoja de ruta para el docente (talleres por nivel) — Ap C</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Mente del principiante (Zen, shoshin) — 8</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Preguntas para la próxima visita (reunidas) — Ap D</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Proteína C reactiva: cinética y lectura temporal — 11, 12</w:t>
      </w:r>
    </w:p>
    <w:p>
      <w:pPr>
        <w:pStyle w:val="BodyJ"/>
        <w:numPr>
          <w:ilvl w:val="0"/>
          <w:numId w:val="6"/>
        </w:numPr>
      </w:pPr>
      <w:r>
        <w:t xml:space="preserve">Prueba de Parra (Taller 18) — 18</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Red de seguridad (safety-netting) — 11, CC (viñetas 3, 4 y 7)</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Segunda víctima — 14</w:t>
      </w:r>
    </w:p>
    <w:p>
      <w:pPr>
        <w:pStyle w:val="BodyJ"/>
        <w:numPr>
          <w:ilvl w:val="0"/>
          <w:numId w:val="6"/>
        </w:numPr>
      </w:pPr>
      <w:r>
        <w:t xml:space="preserve">Segundo lector — 5, 8, 17</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Tarjeta HII-D en sesenta segundos — última página</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Validación local y monitoreo de herramientas de IA — 17</w:t>
      </w:r>
    </w:p>
    <w:p>
      <w:pPr>
        <w:pStyle w:val="BodyJ"/>
        <w:numPr>
          <w:ilvl w:val="0"/>
          <w:numId w:val="6"/>
        </w:numPr>
      </w:pPr>
      <w:r>
        <w:t xml:space="preserve">Validez del entorno e intuición (Kahneman y Klein) — 6</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Lista de figuras</w:t>
      </w:r>
    </w:p>
    <w:p>
      <w:pPr>
        <w:pStyle w:val="BodyJ"/>
        <w:numPr>
          <w:ilvl w:val="0"/>
          <w:numId w:val="6"/>
        </w:numPr>
      </w:pPr>
      <w:r>
        <w:t xml:space="preserve">Figura 1. Mapa del libro (Cómo leer este libro).</w:t>
      </w:r>
    </w:p>
    <w:p>
      <w:pPr>
        <w:pStyle w:val="BodyJ"/>
        <w:numPr>
          <w:ilvl w:val="0"/>
          <w:numId w:val="6"/>
        </w:numPr>
      </w:pPr>
      <w:r>
        <w:t xml:space="preserve">Figura 2. Las cuatro capas del conocimiento clínico, la franja de incertidumbre que las atraviesa y el circuito de reevaluación que vuelve a la pregunta y a los hechos (Introducción).</w:t>
      </w:r>
    </w:p>
    <w:p>
      <w:pPr>
        <w:pStyle w:val="BodyJ"/>
        <w:numPr>
          <w:ilvl w:val="0"/>
          <w:numId w:val="6"/>
        </w:numPr>
      </w:pPr>
      <w:r>
        <w:t xml:space="preserve">Figura 3. Fuentes del hecho clínico (Capítulo 1).</w:t>
      </w:r>
    </w:p>
    <w:p>
      <w:pPr>
        <w:pStyle w:val="BodyJ"/>
        <w:numPr>
          <w:ilvl w:val="0"/>
          <w:numId w:val="6"/>
        </w:numPr>
      </w:pPr>
      <w:r>
        <w:t xml:space="preserve">Figura 4. Un mapa de la incertidumbre clínica (adaptado de la taxonomía de Han et al.) (Capítulo 3).</w:t>
      </w:r>
    </w:p>
    <w:p>
      <w:pPr>
        <w:pStyle w:val="BodyJ"/>
        <w:numPr>
          <w:ilvl w:val="0"/>
          <w:numId w:val="6"/>
        </w:numPr>
      </w:pPr>
      <w:r>
        <w:t xml:space="preserve">Figura 5. La frase medular como argumento de Toulmin (Capítulo 4).</w:t>
      </w:r>
    </w:p>
    <w:p>
      <w:pPr>
        <w:pStyle w:val="BodyJ"/>
        <w:numPr>
          <w:ilvl w:val="0"/>
          <w:numId w:val="6"/>
        </w:numPr>
      </w:pPr>
      <w:r>
        <w:t xml:space="preserve">Figura 6. El modelo de dos niveles de Nelson y Narens (Capítulo 5).</w:t>
      </w:r>
    </w:p>
    <w:p>
      <w:pPr>
        <w:pStyle w:val="BodyJ"/>
        <w:numPr>
          <w:ilvl w:val="0"/>
          <w:numId w:val="6"/>
        </w:numPr>
      </w:pPr>
      <w:r>
        <w:t xml:space="preserve">Figura 7. Curva de calibración (Capítulo 5).</w:t>
      </w:r>
    </w:p>
    <w:p>
      <w:pPr>
        <w:pStyle w:val="BodyJ"/>
        <w:numPr>
          <w:ilvl w:val="0"/>
          <w:numId w:val="6"/>
        </w:numPr>
      </w:pPr>
      <w:r>
        <w:t xml:space="preserve">Figura 8. El error como trayectoria (Capítulo 7).</w:t>
      </w:r>
    </w:p>
    <w:p>
      <w:pPr>
        <w:pStyle w:val="BodyJ"/>
        <w:numPr>
          <w:ilvl w:val="0"/>
          <w:numId w:val="6"/>
        </w:numPr>
      </w:pPr>
      <w:r>
        <w:t xml:space="preserve">Figura 9. Una década sobre un mismo dato (Capítulo 9).</w:t>
      </w:r>
    </w:p>
    <w:p>
      <w:pPr>
        <w:pStyle w:val="BodyJ"/>
        <w:numPr>
          <w:ilvl w:val="0"/>
          <w:numId w:val="6"/>
        </w:numPr>
      </w:pPr>
      <w:r>
        <w:t xml:space="preserve">Figura 10. El enfoque de umbrales de Pauker y Kassirer (Capítulo 10).</w:t>
      </w:r>
    </w:p>
    <w:p>
      <w:pPr>
        <w:pStyle w:val="BodyJ"/>
        <w:numPr>
          <w:ilvl w:val="0"/>
          <w:numId w:val="6"/>
        </w:numPr>
      </w:pPr>
      <w:r>
        <w:t xml:space="preserve">Figura 11. La línea de tiempo de Carmen y el umbral que se mueve (Capítulo 10).</w:t>
      </w:r>
    </w:p>
    <w:p>
      <w:pPr>
        <w:pStyle w:val="BodyJ"/>
        <w:numPr>
          <w:ilvl w:val="0"/>
          <w:numId w:val="6"/>
        </w:numPr>
      </w:pPr>
      <w:r>
        <w:t xml:space="preserve">Figura 12. El cálculo del Taller 10 en frecuencias naturales (Capítulo 10).</w:t>
      </w:r>
    </w:p>
    <w:p>
      <w:pPr>
        <w:pStyle w:val="BodyJ"/>
        <w:numPr>
          <w:ilvl w:val="0"/>
          <w:numId w:val="6"/>
        </w:numPr>
      </w:pPr>
      <w:r>
        <w:t xml:space="preserve">Figura 13. El viaje de una frase (Capítulo 12).</w:t>
      </w:r>
    </w:p>
    <w:p>
      <w:pPr>
        <w:pStyle w:val="BodyJ"/>
        <w:numPr>
          <w:ilvl w:val="0"/>
          <w:numId w:val="6"/>
        </w:numPr>
      </w:pPr>
      <w:r>
        <w:t xml:space="preserve">Figura 14. El método HII-D en una página (Capítulo 15).</w:t>
      </w:r>
    </w:p>
    <w:p>
      <w:pPr>
        <w:pStyle w:val="BodyJ"/>
        <w:numPr>
          <w:ilvl w:val="0"/>
          <w:numId w:val="6"/>
        </w:numPr>
      </w:pPr>
      <w:r>
        <w:t xml:space="preserve">Figura 15. Parentescos: cada riesgo de la IA clínica junto al sesgo ya descrito (Capítulo 17).</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pageBreakBefore/>
        <w:spacing w:after="320" w:before="720"/>
      </w:pPr>
      <w:r>
        <w:rPr>
          <w:rFonts w:ascii="Georgia" w:cs="Georgia" w:eastAsia="Georgia" w:hAnsi="Georgia"/>
          <w:b/>
          <w:bCs/>
          <w:color w:val="2B2B2B"/>
          <w:sz w:val="34"/>
          <w:szCs w:val="34"/>
        </w:rPr>
        <w:t xml:space="preserve">Tarjeta: HII-D en sesenta segundos</w:t>
      </w:r>
    </w:p>
    <w:p>
      <w:pPr>
        <w:pStyle w:val="BodyJ"/>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704413ef35eda850ea69e2ef1e71317b65997b97.png"/><Relationship Id="rId11" Type="http://schemas.openxmlformats.org/officeDocument/2006/relationships/image" Target="media/a53e3b8facc7477d003b5aa4ab87dbf2f76fb1a5.png"/><Relationship Id="rId12" Type="http://schemas.openxmlformats.org/officeDocument/2006/relationships/image" Target="media/1cba8dc84ceb4b9f7df47ad9f5782c196e7d2f84.png"/><Relationship Id="rId13" Type="http://schemas.openxmlformats.org/officeDocument/2006/relationships/image" Target="media/1775b34dd96753ca5cd57961ecce5f5404de2903.png"/><Relationship Id="rId14" Type="http://schemas.openxmlformats.org/officeDocument/2006/relationships/image" Target="media/2bab50b1883abc9ee11b062abc8c09ee708d068a.png"/><Relationship Id="rId15" Type="http://schemas.openxmlformats.org/officeDocument/2006/relationships/image" Target="media/54193483d050d12101c74d09c18ffbcea9e2f76b.png"/><Relationship Id="rId16" Type="http://schemas.openxmlformats.org/officeDocument/2006/relationships/image" Target="media/17a9ed2fda4921f76faf8097edd6aae5f8795c4e.png"/><Relationship Id="rId17" Type="http://schemas.openxmlformats.org/officeDocument/2006/relationships/image" Target="media/6053aed5214e5817ca2bc7077bedd0d598f4e04b.png"/><Relationship Id="rId18" Type="http://schemas.openxmlformats.org/officeDocument/2006/relationships/image" Target="media/1970e22e163347f285599984ecb26af3f84ccbbb.png"/><Relationship Id="rId19" Type="http://schemas.openxmlformats.org/officeDocument/2006/relationships/image" Target="media/db6a8b0a96eb70fd2d1fff7501f5acaaae3a300e.png"/><Relationship Id="rId20" Type="http://schemas.openxmlformats.org/officeDocument/2006/relationships/image" Target="media/147914b6ed22858813c6914a5f828116ebfd39b0.png"/><Relationship Id="rId21" Type="http://schemas.openxmlformats.org/officeDocument/2006/relationships/image" Target="media/8fcc67cfcb45f0b31c60e24afdc6b86c2e8dd384.png"/><Relationship Id="rId22" Type="http://schemas.openxmlformats.org/officeDocument/2006/relationships/image" Target="media/4040ee3bac2dc1ccc36a8793c1f87e53f1ba14e3.png"/><Relationship Id="rId23" Type="http://schemas.openxmlformats.org/officeDocument/2006/relationships/image" Target="media/7e4817341cb61efe50da50135ded2304f7f1e12a.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2026-10-14T22:34:02.869Z</dcterms:created>
  <dcterms:modified xsi:type="dcterms:W3CDTF">2026-10-14T22:34:02.869Z</dcterms:modified>
</cp:coreProperties>
</file>

<file path=docProps/custom.xml><?xml version="1.0" encoding="utf-8"?>
<Properties xmlns="http://schemas.openxmlformats.org/officeDocument/2006/custom-properties" xmlns:vt="http://schemas.openxmlformats.org/officeDocument/2006/docPropsVTypes"/>
</file>