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18</w:t>
      </w:r>
    </w:p>
    <w:p>
      <w:pPr>
        <w:pStyle w:val="TocEntry"/>
        <w:tabs>
          <w:tab w:val="right" w:pos="9026" w:leader="dot"/>
        </w:tabs>
      </w:pPr>
      <w:r>
        <w:t xml:space="preserve">Capítulo 4. Lenguaje clínico y densidad epistémica</w:t>
      </w:r>
      <w:r>
        <w:tab/>
      </w:r>
      <w:r>
        <w:rPr>
          <w:color w:val="8A8A8A"/>
        </w:rPr>
        <w:t xml:space="preserve">22</w:t>
      </w:r>
    </w:p>
    <w:p>
      <w:pPr>
        <w:pStyle w:val="TocEntry"/>
        <w:tabs>
          <w:tab w:val="right" w:pos="9026" w:leader="dot"/>
        </w:tabs>
      </w:pPr>
      <w:r>
        <w:t xml:space="preserve">Interludio I. La ficha de Carmen</w:t>
      </w:r>
      <w:r>
        <w:tab/>
      </w:r>
      <w:r>
        <w:rPr>
          <w:color w:val="8A8A8A"/>
        </w:rPr>
        <w:t xml:space="preserve">26</w:t>
      </w:r>
    </w:p>
    <w:p>
      <w:pPr>
        <w:pStyle w:val="TocPart"/>
        <w:tabs>
          <w:tab w:val="right" w:pos="9026" w:leader="dot"/>
        </w:tabs>
      </w:pPr>
      <w:r>
        <w:t xml:space="preserve">PARTE II. La mente que se observa</w:t>
      </w:r>
      <w:r>
        <w:tab/>
      </w:r>
      <w:r>
        <w:rPr>
          <w:color w:val="8A8A8A"/>
        </w:rPr>
        <w:t xml:space="preserve">27</w:t>
      </w:r>
    </w:p>
    <w:p>
      <w:pPr>
        <w:pStyle w:val="TocEntry"/>
        <w:tabs>
          <w:tab w:val="right" w:pos="9026" w:leader="dot"/>
        </w:tabs>
      </w:pPr>
      <w:r>
        <w:t xml:space="preserve">Capítulo 5. Metacognición: monitorear y regular el propio juicio</w:t>
      </w:r>
      <w:r>
        <w:tab/>
      </w:r>
      <w:r>
        <w:rPr>
          <w:color w:val="8A8A8A"/>
        </w:rPr>
        <w:t xml:space="preserve">28</w:t>
      </w:r>
    </w:p>
    <w:p>
      <w:pPr>
        <w:pStyle w:val="TocEntry"/>
        <w:tabs>
          <w:tab w:val="right" w:pos="9026" w:leader="dot"/>
        </w:tabs>
      </w:pPr>
      <w:r>
        <w:t xml:space="preserve">Capítulo 6. Pericia, intuición y conocimiento tácito</w:t>
      </w:r>
      <w:r>
        <w:tab/>
      </w:r>
      <w:r>
        <w:rPr>
          <w:color w:val="8A8A8A"/>
        </w:rPr>
        <w:t xml:space="preserve">33</w:t>
      </w:r>
    </w:p>
    <w:p>
      <w:pPr>
        <w:pStyle w:val="TocEntry"/>
        <w:tabs>
          <w:tab w:val="right" w:pos="9026" w:leader="dot"/>
        </w:tabs>
      </w:pPr>
      <w:r>
        <w:t xml:space="preserve">Capítulo 7. Error, sesgo y ecología del diagnóstico</w:t>
      </w:r>
      <w:r>
        <w:tab/>
      </w:r>
      <w:r>
        <w:rPr>
          <w:color w:val="8A8A8A"/>
        </w:rPr>
        <w:t xml:space="preserve">36</w:t>
      </w:r>
    </w:p>
    <w:p>
      <w:pPr>
        <w:pStyle w:val="TocEntry"/>
        <w:tabs>
          <w:tab w:val="right" w:pos="9026" w:leader="dot"/>
        </w:tabs>
      </w:pPr>
      <w:r>
        <w:t xml:space="preserve">Capítulo 8. Reflexión y desaceleración selectiva</w:t>
      </w:r>
      <w:r>
        <w:tab/>
      </w:r>
      <w:r>
        <w:rPr>
          <w:color w:val="8A8A8A"/>
        </w:rPr>
        <w:t xml:space="preserve">39</w:t>
      </w:r>
    </w:p>
    <w:p>
      <w:pPr>
        <w:pStyle w:val="TocEntry"/>
        <w:tabs>
          <w:tab w:val="right" w:pos="9026" w:leader="dot"/>
        </w:tabs>
      </w:pPr>
      <w:r>
        <w:t xml:space="preserve">Interludio II. Lo que el equipo pensó</w:t>
      </w:r>
      <w:r>
        <w:tab/>
      </w:r>
      <w:r>
        <w:rPr>
          <w:color w:val="8A8A8A"/>
        </w:rPr>
        <w:t xml:space="preserve">42</w:t>
      </w:r>
    </w:p>
    <w:p>
      <w:pPr>
        <w:pStyle w:val="TocPart"/>
        <w:tabs>
          <w:tab w:val="right" w:pos="9026" w:leader="dot"/>
        </w:tabs>
      </w:pPr>
      <w:r>
        <w:t xml:space="preserve">PARTE III. Decidir en el tiempo y con otros</w:t>
      </w:r>
      <w:r>
        <w:tab/>
      </w:r>
      <w:r>
        <w:rPr>
          <w:color w:val="8A8A8A"/>
        </w:rPr>
        <w:t xml:space="preserve">43</w:t>
      </w:r>
    </w:p>
    <w:p>
      <w:pPr>
        <w:pStyle w:val="TocEntry"/>
        <w:tabs>
          <w:tab w:val="right" w:pos="9026" w:leader="dot"/>
        </w:tabs>
      </w:pPr>
      <w:r>
        <w:t xml:space="preserve">Capítulo 9. De la evidencia a la decisión: poblaciones, umbrales y consecuencias</w:t>
      </w:r>
      <w:r>
        <w:tab/>
      </w:r>
      <w:r>
        <w:rPr>
          <w:color w:val="8A8A8A"/>
        </w:rPr>
        <w:t xml:space="preserve">44</w:t>
      </w:r>
    </w:p>
    <w:p>
      <w:pPr>
        <w:pStyle w:val="TocEntry"/>
        <w:tabs>
          <w:tab w:val="right" w:pos="9026" w:leader="dot"/>
        </w:tabs>
      </w:pPr>
      <w:r>
        <w:t xml:space="preserve">Capítulo 10. Temporalidad, trayectoria y razonamiento contrafactual</w:t>
      </w:r>
      <w:r>
        <w:tab/>
      </w:r>
      <w:r>
        <w:rPr>
          <w:color w:val="8A8A8A"/>
        </w:rPr>
        <w:t xml:space="preserve">50</w:t>
      </w:r>
    </w:p>
    <w:p>
      <w:pPr>
        <w:pStyle w:val="TocEntry"/>
        <w:tabs>
          <w:tab w:val="right" w:pos="9026" w:leader="dot"/>
        </w:tabs>
      </w:pPr>
      <w:r>
        <w:t xml:space="preserve">Capítulo 11. La ficha clínica como instrumento de pensamiento</w:t>
      </w:r>
      <w:r>
        <w:tab/>
      </w:r>
      <w:r>
        <w:rPr>
          <w:color w:val="8A8A8A"/>
        </w:rPr>
        <w:t xml:space="preserve">53</w:t>
      </w:r>
    </w:p>
    <w:p>
      <w:pPr>
        <w:pStyle w:val="TocEntry"/>
        <w:tabs>
          <w:tab w:val="right" w:pos="9026" w:leader="dot"/>
        </w:tabs>
      </w:pPr>
      <w:r>
        <w:t xml:space="preserve">Capítulo 12. Pensar con otros: equipos, desacuerdo y comunicación de la incertidumbre</w:t>
      </w:r>
      <w:r>
        <w:tab/>
      </w:r>
      <w:r>
        <w:rPr>
          <w:color w:val="8A8A8A"/>
        </w:rPr>
        <w:t xml:space="preserve">57</w:t>
      </w:r>
    </w:p>
    <w:p>
      <w:pPr>
        <w:pStyle w:val="TocEntry"/>
        <w:tabs>
          <w:tab w:val="right" w:pos="9026" w:leader="dot"/>
        </w:tabs>
      </w:pPr>
      <w:r>
        <w:t xml:space="preserve">Interludio III. La decisión de Carmen</w:t>
      </w:r>
      <w:r>
        <w:tab/>
      </w:r>
      <w:r>
        <w:rPr>
          <w:color w:val="8A8A8A"/>
        </w:rPr>
        <w:t xml:space="preserve">62</w:t>
      </w:r>
    </w:p>
    <w:p>
      <w:pPr>
        <w:pStyle w:val="TocPart"/>
        <w:tabs>
          <w:tab w:val="right" w:pos="9026" w:leader="dot"/>
        </w:tabs>
      </w:pPr>
      <w:r>
        <w:t xml:space="preserve">PARTE IV. Una epistemología operativa</w:t>
      </w:r>
      <w:r>
        <w:tab/>
      </w:r>
      <w:r>
        <w:rPr>
          <w:color w:val="8A8A8A"/>
        </w:rPr>
        <w:t xml:space="preserve">63</w:t>
      </w:r>
    </w:p>
    <w:p>
      <w:pPr>
        <w:pStyle w:val="TocEntry"/>
        <w:tabs>
          <w:tab w:val="right" w:pos="9026" w:leader="dot"/>
        </w:tabs>
      </w:pPr>
      <w:r>
        <w:t xml:space="preserve">Capítulo 13. Inteligencia artificial como espejo del razonamiento</w:t>
      </w:r>
      <w:r>
        <w:tab/>
      </w:r>
      <w:r>
        <w:rPr>
          <w:color w:val="8A8A8A"/>
        </w:rPr>
        <w:t xml:space="preserve">64</w:t>
      </w:r>
    </w:p>
    <w:p>
      <w:pPr>
        <w:pStyle w:val="TocEntry"/>
        <w:tabs>
          <w:tab w:val="right" w:pos="9026" w:leader="dot"/>
        </w:tabs>
      </w:pPr>
      <w:r>
        <w:t xml:space="preserve">Capítulo 14. Humildad epistémica y responsabilidad clínica</w:t>
      </w:r>
      <w:r>
        <w:tab/>
      </w:r>
      <w:r>
        <w:rPr>
          <w:color w:val="8A8A8A"/>
        </w:rPr>
        <w:t xml:space="preserve">67</w:t>
      </w:r>
    </w:p>
    <w:p>
      <w:pPr>
        <w:pStyle w:val="TocEntry"/>
        <w:tabs>
          <w:tab w:val="right" w:pos="9026" w:leader="dot"/>
        </w:tabs>
      </w:pPr>
      <w:r>
        <w:t xml:space="preserve">Capítulo 15. El método HII-D: una epistemología operativa</w:t>
      </w:r>
      <w:r>
        <w:tab/>
      </w:r>
      <w:r>
        <w:rPr>
          <w:color w:val="8A8A8A"/>
        </w:rPr>
        <w:t xml:space="preserve">71</w:t>
      </w:r>
    </w:p>
    <w:p>
      <w:pPr>
        <w:pStyle w:val="TocEntry"/>
        <w:tabs>
          <w:tab w:val="right" w:pos="9026" w:leader="dot"/>
        </w:tabs>
      </w:pPr>
      <w:r>
        <w:t xml:space="preserve">Cuaderno de casos. Ocho viñetas para una lectura metacognitiva</w:t>
      </w:r>
      <w:r>
        <w:tab/>
      </w:r>
      <w:r>
        <w:rPr>
          <w:color w:val="8A8A8A"/>
        </w:rPr>
        <w:t xml:space="preserve">77</w:t>
      </w:r>
    </w:p>
    <w:p>
      <w:pPr>
        <w:pStyle w:val="TocEntry"/>
        <w:tabs>
          <w:tab w:val="right" w:pos="9026" w:leader="dot"/>
        </w:tabs>
      </w:pPr>
      <w:r>
        <w:t xml:space="preserve">Capítulo 16. Enseñar y organizar la metacognición clínica</w:t>
      </w:r>
      <w:r>
        <w:tab/>
      </w:r>
      <w:r>
        <w:rPr>
          <w:color w:val="8A8A8A"/>
        </w:rPr>
        <w:t xml:space="preserve">84</w:t>
      </w:r>
    </w:p>
    <w:p>
      <w:pPr>
        <w:pStyle w:val="TocPart"/>
        <w:tabs>
          <w:tab w:val="right" w:pos="9026" w:leader="dot"/>
        </w:tabs>
      </w:pPr>
      <w:r>
        <w:t xml:space="preserve">Conclusión. Una medicina lúcida</w:t>
      </w:r>
      <w:r>
        <w:tab/>
      </w:r>
      <w:r>
        <w:rPr>
          <w:color w:val="8A8A8A"/>
        </w:rPr>
        <w:t xml:space="preserve">88</w:t>
      </w:r>
    </w:p>
    <w:p>
      <w:pPr>
        <w:pStyle w:val="TocPart"/>
        <w:tabs>
          <w:tab w:val="right" w:pos="9026" w:leader="dot"/>
        </w:tabs>
      </w:pPr>
      <w:r>
        <w:t xml:space="preserve">Apéndice A. Hoja HII-D para discusión de casos</w:t>
      </w:r>
      <w:r>
        <w:tab/>
      </w:r>
      <w:r>
        <w:rPr>
          <w:color w:val="8A8A8A"/>
        </w:rPr>
        <w:t xml:space="preserve">90</w:t>
      </w:r>
    </w:p>
    <w:p>
      <w:pPr>
        <w:pStyle w:val="TocPart"/>
        <w:tabs>
          <w:tab w:val="right" w:pos="9026" w:leader="dot"/>
        </w:tabs>
      </w:pPr>
      <w:r>
        <w:t xml:space="preserve">Apéndice B. Léxico de certeza y pausa diagnóstica</w:t>
      </w:r>
      <w:r>
        <w:tab/>
      </w:r>
      <w:r>
        <w:rPr>
          <w:color w:val="8A8A8A"/>
        </w:rPr>
        <w:t xml:space="preserve">92</w:t>
      </w:r>
    </w:p>
    <w:p>
      <w:pPr>
        <w:pStyle w:val="TocPart"/>
        <w:tabs>
          <w:tab w:val="right" w:pos="9026" w:leader="dot"/>
        </w:tabs>
      </w:pPr>
      <w:r>
        <w:t xml:space="preserve">Apéndice C. Guía de implementación en un servicio clínico</w:t>
      </w:r>
      <w:r>
        <w:tab/>
      </w:r>
      <w:r>
        <w:rPr>
          <w:color w:val="8A8A8A"/>
        </w:rPr>
        <w:t xml:space="preserve">94</w:t>
      </w:r>
    </w:p>
    <w:p>
      <w:pPr>
        <w:pStyle w:val="TocPart"/>
        <w:tabs>
          <w:tab w:val="right" w:pos="9026" w:leader="dot"/>
        </w:tabs>
      </w:pPr>
      <w:r>
        <w:t xml:space="preserve">Glosario</w:t>
      </w:r>
      <w:r>
        <w:tab/>
      </w:r>
      <w:r>
        <w:rPr>
          <w:color w:val="8A8A8A"/>
        </w:rPr>
        <w:t xml:space="preserve">96</w:t>
      </w:r>
    </w:p>
    <w:p>
      <w:pPr>
        <w:pStyle w:val="TocPart"/>
        <w:tabs>
          <w:tab w:val="right" w:pos="9026" w:leader="dot"/>
        </w:tabs>
      </w:pPr>
      <w:r>
        <w:t xml:space="preserve">Índice analítico</w:t>
      </w:r>
      <w:r>
        <w:tab/>
      </w:r>
      <w:r>
        <w:rPr>
          <w:color w:val="8A8A8A"/>
        </w:rPr>
        <w:t xml:space="preserve">99</w:t>
      </w:r>
    </w:p>
    <w:p>
      <w:pPr>
        <w:pStyle w:val="TocPart"/>
        <w:tabs>
          <w:tab w:val="right" w:pos="9026" w:leader="dot"/>
        </w:tabs>
      </w:pPr>
      <w:r>
        <w:t xml:space="preserve">Referencias</w:t>
      </w:r>
      <w:r>
        <w:tab/>
      </w:r>
      <w:r>
        <w:rPr>
          <w:color w:val="8A8A8A"/>
        </w:rPr>
        <w:t xml:space="preserve">101</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evidencia poblacional y umbrales, trayectoria, ficha clínica, equipos y comunicación de incertidumbre. La </w:t>
      </w:r>
      <w:r>
        <w:rPr>
          <w:b/>
          <w:bCs/>
        </w:rPr>
        <w:t xml:space="preserve">Parte IV</w:t>
      </w:r>
      <w:r>
        <w:t xml:space="preserve"> propone una epistemología operativa: inteligencia artificial, responsabilidad, el método HII-D, un cuaderno de ocho casos y la enseñanza de la metacognición clínica.</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y convertirse en decisión por umbrales (capítulo 9), el tiempo que transforma el significado de los hechos (capítulo 10), la ficha que piensa o que fosiliza (capítulo 11) y el equipo donde el conocimiento circula, se degrada o se corrige, incluida la conversación con el paciente (capítulo 12).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De la evidencia a la decisión: poblaciones, umbrales y consecuencias</w:t>
      </w:r>
    </w:p>
    <w:p>
      <w:pPr>
        <w:pStyle w:val="BodyJ"/>
      </w:pPr>
      <w:r>
        <w:t xml:space="preserve">El ensayo clínico dice: "la reparación electiva de hernia incisional reduce la recurrencia obstructiva en pacientes comparables". La paciente de la cama 12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TallerHead"/>
      </w:pPr>
      <w:r>
        <w:t xml:space="preserve">Taller 9.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7. El cálculo del Taller 9 en frecuencias naturales: de 270 resultados positivos, sólo 90 corresponden a la enfermedad. La probabilidad postest (33%) queda lejos de la certeza que la intuición atribuye a una "prueba positiva".</w:t>
            </w:r>
          </w:p>
        </w:tc>
      </w:tr>
    </w:tbl>
    <w:p>
      <w:pPr>
        <w:spacing w:after="60"/>
      </w:pPr>
    </w:p>
    <w:p>
      <w:pPr>
        <w:pStyle w:val="EnUnaFrase"/>
      </w:pPr>
      <w:r>
        <w:rPr>
          <w:b/>
          <w:bCs/>
        </w:rPr>
        <w:t xml:space="preserve">En una frase.</w:t>
      </w:r>
      <w:r>
        <w:t xml:space="preserve"> La evidencia no desciende intacta desde la población hacia el individuo: debe traducirse mediante inferencias explícitas, y la decisión final se toma por umbrales y consecuencias, no por certeza.</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¿Cuál es el umbral implícito de mi decisión: qué probabilidad de estar equivocado la haría cambiar?</w:t>
      </w:r>
    </w:p>
    <w:p>
      <w:pPr>
        <w:pStyle w:val="BodyJ"/>
        <w:numPr>
          <w:ilvl w:val="0"/>
          <w:numId w:val="15"/>
        </w:numPr>
      </w:pPr>
      <w:r>
        <w:t xml:space="preserve">¿Estoy exigiendo certeza diagnóstica donde bastaría compromiso práctico, o actuando para no tolerar una duda?</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10.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6"/>
        </w:numPr>
      </w:pPr>
      <w:r>
        <w:t xml:space="preserve">"Está mejor": ¿mejor que cuándo, en qué variable y a qué velocidad?</w:t>
      </w:r>
    </w:p>
    <w:p>
      <w:pPr>
        <w:pStyle w:val="BodyJ"/>
        <w:numPr>
          <w:ilvl w:val="0"/>
          <w:numId w:val="16"/>
        </w:numPr>
      </w:pPr>
      <w:r>
        <w:t xml:space="preserve">¿Qué predijo mi diagnóstico hace 48 horas, y la evolución lo confirmó o lo desmintió?</w:t>
      </w:r>
    </w:p>
    <w:p>
      <w:pPr>
        <w:pStyle w:val="BodyJ"/>
        <w:numPr>
          <w:ilvl w:val="0"/>
          <w:numId w:val="16"/>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11.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7"/>
        </w:numPr>
      </w:pPr>
      <w:r>
        <w:t xml:space="preserve">¿Qué párrafo de mi evolución de hoy es copia de ayer, y sigue siendo verdad?</w:t>
      </w:r>
    </w:p>
    <w:p>
      <w:pPr>
        <w:pStyle w:val="BodyJ"/>
        <w:numPr>
          <w:ilvl w:val="0"/>
          <w:numId w:val="17"/>
        </w:numPr>
      </w:pPr>
      <w:r>
        <w:t xml:space="preserve">Si yo no estuviera mañana, ¿el médico que me reemplace sabría por mi nota qué vigilar y qué reabriría el caso?</w:t>
      </w:r>
    </w:p>
    <w:p>
      <w:pPr>
        <w:pStyle w:val="BodyJ"/>
        <w:numPr>
          <w:ilvl w:val="0"/>
          <w:numId w:val="17"/>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8"/>
        </w:numPr>
      </w:pPr>
      <w:r>
        <w:rPr>
          <w:b/>
          <w:bCs/>
        </w:rPr>
        <w:t xml:space="preserve">Qué sabemos</w:t>
      </w:r>
      <w:r>
        <w:t xml:space="preserve">: hallazgos confirmados y su relevancia.</w:t>
      </w:r>
    </w:p>
    <w:p>
      <w:pPr>
        <w:pStyle w:val="BodyJ"/>
        <w:numPr>
          <w:ilvl w:val="0"/>
          <w:numId w:val="18"/>
        </w:numPr>
      </w:pPr>
      <w:r>
        <w:rPr>
          <w:b/>
          <w:bCs/>
        </w:rPr>
        <w:t xml:space="preserve">Qué creemos</w:t>
      </w:r>
      <w:r>
        <w:t xml:space="preserve">: explicación principal y alternativas importantes.</w:t>
      </w:r>
    </w:p>
    <w:p>
      <w:pPr>
        <w:pStyle w:val="BodyJ"/>
        <w:numPr>
          <w:ilvl w:val="0"/>
          <w:numId w:val="18"/>
        </w:numPr>
      </w:pPr>
      <w:r>
        <w:rPr>
          <w:b/>
          <w:bCs/>
        </w:rPr>
        <w:t xml:space="preserve">Qué no sabemos todavía</w:t>
      </w:r>
      <w:r>
        <w:t xml:space="preserve">: límites concretos.</w:t>
      </w:r>
    </w:p>
    <w:p>
      <w:pPr>
        <w:pStyle w:val="BodyJ"/>
        <w:numPr>
          <w:ilvl w:val="0"/>
          <w:numId w:val="18"/>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12.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19"/>
        </w:numPr>
      </w:pPr>
      <w:r>
        <w:t xml:space="preserve">¿Qué observó enfermería en las últimas 24 horas que no pasó por mi evaluación?</w:t>
      </w:r>
    </w:p>
    <w:p>
      <w:pPr>
        <w:pStyle w:val="BodyJ"/>
        <w:numPr>
          <w:ilvl w:val="0"/>
          <w:numId w:val="19"/>
        </w:numPr>
      </w:pPr>
      <w:r>
        <w:t xml:space="preserve">En mi último desacuerdo clínico, ¿discrepábamos en hechos, inferencias, incertidumbre, valores o umbral?</w:t>
      </w:r>
    </w:p>
    <w:p>
      <w:pPr>
        <w:pStyle w:val="BodyJ"/>
        <w:numPr>
          <w:ilvl w:val="0"/>
          <w:numId w:val="19"/>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al espejo nuevo de la inteligencia artificial (capítulo 13) y frente a la responsabilidad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Inteligencia artificial como espejo del razonamiento</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La pregunta que este capítulo propone no es "¿acierta la máquina?", sino una más incómoda: ¿en qué se parece esa prosa fluida y segura a la que escribimos nosotros?</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Una diferencia central</w:t>
      </w:r>
    </w:p>
    <w:p>
      <w:pPr>
        <w:pStyle w:val="BodyJ"/>
      </w:pPr>
      <w:r>
        <w:t xml:space="preserve">El clínico responsable puede distinguir "lo vi", "lo infiero" y "no lo sé". Un modelo suele mezclar estas capas si el prompt no exige separación y si no tiene fuentes verificables. Puede transformar ausencia de información en un detalle probable, porque su objetivo generativo favorece continuidad.</w:t>
      </w:r>
    </w:p>
    <w:p>
      <w:pPr>
        <w:pStyle w:val="BodyJ"/>
      </w:pPr>
      <w:r>
        <w:t xml:space="preserve">La matriz HII-D permite auditar una respuesta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BodyJ"/>
      </w:pPr>
      <w:r>
        <w:t xml:space="preserve">La OMS ha recomendado gobernanza, evaluación, transparencia y supervisión para modelos multimodales en salud, atendiendo riesgos de inexactitud, sesgo, privacidad y dependencia excesiva (World Health Organization, 2024). La supervisión humana no debe ser una firma ritual al final. Debe contar con tiempo, datos y autoridad para cuestionar.</w:t>
      </w:r>
    </w:p>
    <w:p>
      <w:pPr>
        <w:pStyle w:val="Heading3"/>
        <w:spacing w:after="120" w:before="280"/>
      </w:pPr>
      <w:r>
        <w:rPr>
          <w:rFonts w:ascii="Georgia" w:cs="Georgia" w:eastAsia="Georgia" w:hAnsi="Georgia"/>
          <w:b/>
          <w:bCs/>
          <w:color w:val="2B2B2B"/>
          <w:sz w:val="25"/>
          <w:szCs w:val="25"/>
        </w:rPr>
        <w:t xml:space="preserve">La IA como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0"/>
        </w:numPr>
      </w:pPr>
      <w:r>
        <w:t xml:space="preserve">Si uso IA en este caso, ¿qué dato de su respuesta verifiqué contra una fuente primaria antes de actuar?</w:t>
      </w:r>
    </w:p>
    <w:p>
      <w:pPr>
        <w:pStyle w:val="BodyJ"/>
        <w:numPr>
          <w:ilvl w:val="0"/>
          <w:numId w:val="20"/>
        </w:numPr>
      </w:pPr>
      <w:r>
        <w:t xml:space="preserve">¿Qué agregó el modelo que el caso no contenía?</w:t>
      </w:r>
    </w:p>
    <w:p>
      <w:pPr>
        <w:pStyle w:val="BodyJ"/>
        <w:numPr>
          <w:ilvl w:val="0"/>
          <w:numId w:val="20"/>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Debe poder formularse: "aunque X no está demostrado, actúo porque…" o "aunque X es posible, no actúo todavía porque…". Esta frase obliga a distinguir compromiso práctico de certeza epistémica.</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me mataría al paciente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indicado.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Preferencias del paciente.</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5"/>
        </w:numPr>
      </w:pPr>
      <w:r>
        <w:t xml:space="preserve">¿Qué vi y qué me contaron? (un hecho decisivo, con fuente)</w:t>
      </w:r>
    </w:p>
    <w:p>
      <w:pPr>
        <w:pStyle w:val="BodyJ"/>
        <w:numPr>
          <w:ilvl w:val="0"/>
          <w:numId w:val="25"/>
        </w:numPr>
      </w:pPr>
      <w:r>
        <w:t xml:space="preserve">¿Qué creo y cuánto derecho tengo a creerlo? (inferencia con grado)</w:t>
      </w:r>
    </w:p>
    <w:p>
      <w:pPr>
        <w:pStyle w:val="BodyJ"/>
        <w:numPr>
          <w:ilvl w:val="0"/>
          <w:numId w:val="25"/>
        </w:numPr>
      </w:pPr>
      <w:r>
        <w:t xml:space="preserve">¿Qué le haría daño al paciente si estoy equivocado? (la incertidumbre peligrosa)</w:t>
      </w:r>
    </w:p>
    <w:p>
      <w:pPr>
        <w:pStyle w:val="BodyJ"/>
        <w:numPr>
          <w:ilvl w:val="0"/>
          <w:numId w:val="25"/>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6"/>
        </w:numPr>
      </w:pPr>
      <w:r>
        <w:t xml:space="preserve">¿Puedo describir el caso sin usar el diagnóstico actual?</w:t>
      </w:r>
    </w:p>
    <w:p>
      <w:pPr>
        <w:pStyle w:val="BodyJ"/>
        <w:numPr>
          <w:ilvl w:val="0"/>
          <w:numId w:val="26"/>
        </w:numPr>
      </w:pPr>
      <w:r>
        <w:t xml:space="preserve">¿Qué dato sostiene más mi conclusión?</w:t>
      </w:r>
    </w:p>
    <w:p>
      <w:pPr>
        <w:pStyle w:val="BodyJ"/>
        <w:numPr>
          <w:ilvl w:val="0"/>
          <w:numId w:val="26"/>
        </w:numPr>
      </w:pPr>
      <w:r>
        <w:t xml:space="preserve">¿Ese dato es específico o sólo compatible?</w:t>
      </w:r>
    </w:p>
    <w:p>
      <w:pPr>
        <w:pStyle w:val="BodyJ"/>
        <w:numPr>
          <w:ilvl w:val="0"/>
          <w:numId w:val="26"/>
        </w:numPr>
      </w:pPr>
      <w:r>
        <w:t xml:space="preserve">¿Qué hallazgo no encaja?</w:t>
      </w:r>
    </w:p>
    <w:p>
      <w:pPr>
        <w:pStyle w:val="BodyJ"/>
        <w:numPr>
          <w:ilvl w:val="0"/>
          <w:numId w:val="26"/>
        </w:numPr>
      </w:pPr>
      <w:r>
        <w:t xml:space="preserve">¿Qué información estoy suponiendo que fue verificada?</w:t>
      </w:r>
    </w:p>
    <w:p>
      <w:pPr>
        <w:pStyle w:val="BodyJ"/>
        <w:numPr>
          <w:ilvl w:val="0"/>
          <w:numId w:val="26"/>
        </w:numPr>
      </w:pPr>
      <w:r>
        <w:t xml:space="preserve">¿Qué alternativa cambiaría la conducta inmediata?</w:t>
      </w:r>
    </w:p>
    <w:p>
      <w:pPr>
        <w:pStyle w:val="BodyJ"/>
        <w:numPr>
          <w:ilvl w:val="0"/>
          <w:numId w:val="26"/>
        </w:numPr>
      </w:pPr>
      <w:r>
        <w:t xml:space="preserve">¿Estoy usando la respuesta al tratamiento como prueba causal demasiado fuerte?</w:t>
      </w:r>
    </w:p>
    <w:p>
      <w:pPr>
        <w:pStyle w:val="BodyJ"/>
        <w:numPr>
          <w:ilvl w:val="0"/>
          <w:numId w:val="26"/>
        </w:numPr>
      </w:pPr>
      <w:r>
        <w:t xml:space="preserve">¿La gravedad es coherente con mi explicación?</w:t>
      </w:r>
    </w:p>
    <w:p>
      <w:pPr>
        <w:pStyle w:val="BodyJ"/>
        <w:numPr>
          <w:ilvl w:val="0"/>
          <w:numId w:val="26"/>
        </w:numPr>
      </w:pPr>
      <w:r>
        <w:t xml:space="preserve">¿Existe reconsulta, recurrencia o evolución inesperada?</w:t>
      </w:r>
    </w:p>
    <w:p>
      <w:pPr>
        <w:pStyle w:val="BodyJ"/>
        <w:numPr>
          <w:ilvl w:val="0"/>
          <w:numId w:val="26"/>
        </w:numPr>
      </w:pPr>
      <w:r>
        <w:t xml:space="preserve">¿Mi confianza proviene de evidencia o de familiaridad y fluidez?</w:t>
      </w:r>
    </w:p>
    <w:p>
      <w:pPr>
        <w:pStyle w:val="BodyJ"/>
        <w:numPr>
          <w:ilvl w:val="0"/>
          <w:numId w:val="26"/>
        </w:numPr>
      </w:pPr>
      <w:r>
        <w:t xml:space="preserve">¿Cuál es el costo de esperar y cuál el costo de actuar?</w:t>
      </w:r>
    </w:p>
    <w:p>
      <w:pPr>
        <w:pStyle w:val="BodyJ"/>
        <w:numPr>
          <w:ilvl w:val="0"/>
          <w:numId w:val="26"/>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10, CC (viñeta 8)</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12, 14</w:t>
      </w:r>
    </w:p>
    <w:p>
      <w:pPr>
        <w:pStyle w:val="BodyJ"/>
        <w:numPr>
          <w:ilvl w:val="0"/>
          <w:numId w:val="6"/>
        </w:numPr>
      </w:pPr>
      <w:r>
        <w:t xml:space="preserve">Calibración — 5, 15, 16, Ap C</w:t>
      </w:r>
    </w:p>
    <w:p>
      <w:pPr>
        <w:pStyle w:val="BodyJ"/>
        <w:numPr>
          <w:ilvl w:val="0"/>
          <w:numId w:val="6"/>
        </w:numPr>
      </w:pPr>
      <w:r>
        <w:t xml:space="preserve">Carga teórica de la observación — 1</w:t>
      </w:r>
    </w:p>
    <w:p>
      <w:pPr>
        <w:pStyle w:val="BodyJ"/>
        <w:numPr>
          <w:ilvl w:val="0"/>
          <w:numId w:val="6"/>
        </w:numPr>
      </w:pPr>
      <w:r>
        <w:t xml:space="preserve">Cierre prematuro — 7, CC (viñeta 8)</w:t>
      </w:r>
    </w:p>
    <w:p>
      <w:pPr>
        <w:pStyle w:val="BodyJ"/>
        <w:numPr>
          <w:ilvl w:val="0"/>
          <w:numId w:val="6"/>
        </w:numPr>
      </w:pPr>
      <w:r>
        <w:t xml:space="preserve">Cognición distribuida — 12</w:t>
      </w:r>
    </w:p>
    <w:p>
      <w:pPr>
        <w:pStyle w:val="BodyJ"/>
        <w:numPr>
          <w:ilvl w:val="0"/>
          <w:numId w:val="6"/>
        </w:numPr>
      </w:pPr>
      <w:r>
        <w:t xml:space="preserve">Comunicación de incertidumbre — 12, 14, CC (viñeta 7)</w:t>
      </w:r>
    </w:p>
    <w:p>
      <w:pPr>
        <w:pStyle w:val="BodyJ"/>
        <w:numPr>
          <w:ilvl w:val="0"/>
          <w:numId w:val="6"/>
        </w:numPr>
      </w:pPr>
      <w:r>
        <w:t xml:space="preserve">Conocimiento tácito — 6</w:t>
      </w:r>
    </w:p>
    <w:p>
      <w:pPr>
        <w:pStyle w:val="BodyJ"/>
        <w:numPr>
          <w:ilvl w:val="0"/>
          <w:numId w:val="6"/>
        </w:numPr>
      </w:pPr>
      <w:r>
        <w:t xml:space="preserve">Contrafactuales — 10</w:t>
      </w:r>
    </w:p>
    <w:p>
      <w:pPr>
        <w:pStyle w:val="BodyJ"/>
        <w:numPr>
          <w:ilvl w:val="0"/>
          <w:numId w:val="6"/>
        </w:numPr>
      </w:pPr>
      <w:r>
        <w:t xml:space="preserve">Copiado de notas (fósil narrativo) — 11, Ap C</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12, 14, Interludio III</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12, Interludio III</w:t>
      </w:r>
    </w:p>
    <w:p>
      <w:pPr>
        <w:pStyle w:val="BodyJ"/>
        <w:numPr>
          <w:ilvl w:val="0"/>
          <w:numId w:val="6"/>
        </w:numPr>
      </w:pPr>
      <w:r>
        <w:t xml:space="preserve">Doble proceso — 6</w:t>
      </w:r>
    </w:p>
    <w:p>
      <w:pPr>
        <w:pStyle w:val="BodyJ"/>
        <w:numPr>
          <w:ilvl w:val="0"/>
          <w:numId w:val="6"/>
        </w:numPr>
      </w:pPr>
      <w:r>
        <w:t xml:space="preserve">Errores asimétricos — 9, CC (viñeta 5)</w:t>
      </w:r>
    </w:p>
    <w:p>
      <w:pPr>
        <w:pStyle w:val="BodyJ"/>
        <w:numPr>
          <w:ilvl w:val="0"/>
          <w:numId w:val="6"/>
        </w:numPr>
      </w:pPr>
      <w:r>
        <w:t xml:space="preserve">Falsabilidad del método HII-D — 15</w:t>
      </w:r>
    </w:p>
    <w:p>
      <w:pPr>
        <w:pStyle w:val="BodyJ"/>
        <w:numPr>
          <w:ilvl w:val="0"/>
          <w:numId w:val="6"/>
        </w:numPr>
      </w:pPr>
      <w:r>
        <w:t xml:space="preserve">Evidencia poblacional y particularización — 9</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11</w:t>
      </w:r>
    </w:p>
    <w:p>
      <w:pPr>
        <w:pStyle w:val="BodyJ"/>
        <w:numPr>
          <w:ilvl w:val="0"/>
          <w:numId w:val="6"/>
        </w:numPr>
      </w:pPr>
      <w:r>
        <w:t xml:space="preserve">Fichas clínicas y plantillas — 11, 16, Ap C</w:t>
      </w:r>
    </w:p>
    <w:p>
      <w:pPr>
        <w:pStyle w:val="BodyJ"/>
        <w:numPr>
          <w:ilvl w:val="0"/>
          <w:numId w:val="6"/>
        </w:numPr>
      </w:pPr>
      <w:r>
        <w:t xml:space="preserve">Frase medular — 4, 11, C, CC (todas las viñetas)</w:t>
      </w:r>
    </w:p>
    <w:p>
      <w:pPr>
        <w:pStyle w:val="BodyJ"/>
        <w:numPr>
          <w:ilvl w:val="0"/>
          <w:numId w:val="6"/>
        </w:numPr>
      </w:pPr>
      <w:r>
        <w:t xml:space="preserve">Frecuencias naturales — 2, 9, 12</w:t>
      </w:r>
    </w:p>
    <w:p>
      <w:pPr>
        <w:pStyle w:val="BodyJ"/>
        <w:numPr>
          <w:ilvl w:val="0"/>
          <w:numId w:val="6"/>
        </w:numPr>
      </w:pPr>
      <w:r>
        <w:t xml:space="preserve">Grados de facticidad — 1</w:t>
      </w:r>
    </w:p>
    <w:p>
      <w:pPr>
        <w:pStyle w:val="BodyJ"/>
        <w:numPr>
          <w:ilvl w:val="0"/>
          <w:numId w:val="6"/>
        </w:numPr>
      </w:pPr>
      <w:r>
        <w:t xml:space="preserve">Hindsight bias — 8, 10, 16, CC (viñeta 8)</w:t>
      </w:r>
    </w:p>
    <w:p>
      <w:pPr>
        <w:pStyle w:val="BodyJ"/>
        <w:numPr>
          <w:ilvl w:val="0"/>
          <w:numId w:val="6"/>
        </w:numPr>
      </w:pPr>
      <w:r>
        <w:t xml:space="preserve">HII-D (método) — 11, 15, Ap A; auditoría de IA con — 13</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w:t>
      </w:r>
    </w:p>
    <w:p>
      <w:pPr>
        <w:pStyle w:val="BodyJ"/>
        <w:numPr>
          <w:ilvl w:val="0"/>
          <w:numId w:val="6"/>
        </w:numPr>
      </w:pPr>
      <w:r>
        <w:t xml:space="preserve">Intuición experta — 5, 6, Interludio II</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w:t>
      </w:r>
    </w:p>
    <w:p>
      <w:pPr>
        <w:pStyle w:val="BodyJ"/>
        <w:numPr>
          <w:ilvl w:val="0"/>
          <w:numId w:val="6"/>
        </w:numPr>
      </w:pPr>
      <w:r>
        <w:t xml:space="preserve">Medicina basada en evidencia — 9</w:t>
      </w:r>
    </w:p>
    <w:p>
      <w:pPr>
        <w:pStyle w:val="BodyJ"/>
        <w:numPr>
          <w:ilvl w:val="0"/>
          <w:numId w:val="6"/>
        </w:numPr>
      </w:pPr>
      <w:r>
        <w:t xml:space="preserve">Metacognición: definición y niveles — Int, 5; sensibilidad vs. sesgo — Int, 5; artificial — 13</w:t>
      </w:r>
    </w:p>
    <w:p>
      <w:pPr>
        <w:pStyle w:val="BodyJ"/>
        <w:numPr>
          <w:ilvl w:val="0"/>
          <w:numId w:val="6"/>
        </w:numPr>
      </w:pPr>
      <w:r>
        <w:t xml:space="preserve">Meta-d′ y medición de la metacognición — 5</w:t>
      </w:r>
    </w:p>
    <w:p>
      <w:pPr>
        <w:pStyle w:val="BodyJ"/>
        <w:numPr>
          <w:ilvl w:val="0"/>
          <w:numId w:val="6"/>
        </w:numPr>
      </w:pPr>
      <w:r>
        <w:t xml:space="preserve">Observación activa — 9, 10</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Pronóstico e incertidumbre de plazo — CC (viñeta 7)</w:t>
      </w:r>
    </w:p>
    <w:p>
      <w:pPr>
        <w:pStyle w:val="BodyJ"/>
        <w:numPr>
          <w:ilvl w:val="0"/>
          <w:numId w:val="6"/>
        </w:numPr>
      </w:pPr>
      <w:r>
        <w:t xml:space="preserve">Pruebas severas (Popper) — 2</w:t>
      </w:r>
    </w:p>
    <w:p>
      <w:pPr>
        <w:pStyle w:val="BodyJ"/>
        <w:numPr>
          <w:ilvl w:val="0"/>
          <w:numId w:val="6"/>
        </w:numPr>
      </w:pPr>
      <w:r>
        <w:t xml:space="preserve">Puntos de inflexión — 10, Interludio III</w:t>
      </w:r>
    </w:p>
    <w:p>
      <w:pPr>
        <w:pStyle w:val="BodyJ"/>
        <w:numPr>
          <w:ilvl w:val="0"/>
          <w:numId w:val="6"/>
        </w:numPr>
      </w:pPr>
      <w:r>
        <w:t xml:space="preserve">Representación del problema — Int, 2, 8, 16</w:t>
      </w:r>
    </w:p>
    <w:p>
      <w:pPr>
        <w:pStyle w:val="BodyJ"/>
        <w:numPr>
          <w:ilvl w:val="0"/>
          <w:numId w:val="6"/>
        </w:numPr>
      </w:pPr>
      <w:r>
        <w:t xml:space="preserve">Riesgo inductivo (Rudner, Douglas) — 9</w:t>
      </w:r>
    </w:p>
    <w:p>
      <w:pPr>
        <w:pStyle w:val="BodyJ"/>
        <w:numPr>
          <w:ilvl w:val="0"/>
          <w:numId w:val="6"/>
        </w:numPr>
      </w:pPr>
      <w:r>
        <w:t xml:space="preserve">Safety-netting — 10, CC (viñetas 5 y 6)</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w:t>
      </w:r>
    </w:p>
    <w:p>
      <w:pPr>
        <w:pStyle w:val="BodyJ"/>
        <w:numPr>
          <w:ilvl w:val="0"/>
          <w:numId w:val="6"/>
        </w:numPr>
      </w:pPr>
      <w:r>
        <w:t xml:space="preserve">Trayectoria y temporalidad — 10, Interludio I</w:t>
      </w:r>
    </w:p>
    <w:p>
      <w:pPr>
        <w:pStyle w:val="BodyJ"/>
        <w:numPr>
          <w:ilvl w:val="0"/>
          <w:numId w:val="6"/>
        </w:numPr>
      </w:pPr>
      <w:r>
        <w:t xml:space="preserve">Umbrales de decisión — 9, Interludio III, CC (viñeta 5)</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147914b6ed22858813c6914a5f828116ebfd39b0.png"/><Relationship Id="rId16" Type="http://schemas.openxmlformats.org/officeDocument/2006/relationships/image" Target="media/4040ee3bac2dc1ccc36a8793c1f87e53f1ba14e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2026-08-09T01:10:30.071Z</dcterms:created>
  <dcterms:modified xsi:type="dcterms:W3CDTF">2026-08-09T01:10:30.072Z</dcterms:modified>
</cp:coreProperties>
</file>

<file path=docProps/custom.xml><?xml version="1.0" encoding="utf-8"?>
<Properties xmlns="http://schemas.openxmlformats.org/officeDocument/2006/custom-properties" xmlns:vt="http://schemas.openxmlformats.org/officeDocument/2006/docPropsVTypes"/>
</file>