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5</w:t>
      </w:r>
    </w:p>
    <w:p>
      <w:pPr>
        <w:pStyle w:val="TocPart"/>
        <w:tabs>
          <w:tab w:val="right" w:pos="9026" w:leader="dot"/>
        </w:tabs>
      </w:pPr>
      <w:r>
        <w:t xml:space="preserve">PARTE I. Las capas del conocimiento clínico</w:t>
      </w:r>
      <w:r>
        <w:tab/>
      </w:r>
      <w:r>
        <w:rPr>
          <w:color w:val="8A8A8A"/>
        </w:rPr>
        <w:t xml:space="preserve">9</w:t>
      </w:r>
    </w:p>
    <w:p>
      <w:pPr>
        <w:pStyle w:val="TocEntry"/>
        <w:tabs>
          <w:tab w:val="right" w:pos="9026" w:leader="dot"/>
        </w:tabs>
      </w:pPr>
      <w:r>
        <w:t xml:space="preserve">Capítulo 1. El hecho clínico: observación, medición y procedencia</w:t>
      </w:r>
      <w:r>
        <w:tab/>
      </w:r>
      <w:r>
        <w:rPr>
          <w:color w:val="8A8A8A"/>
        </w:rPr>
        <w:t xml:space="preserve">10</w:t>
      </w:r>
    </w:p>
    <w:p>
      <w:pPr>
        <w:pStyle w:val="TocEntry"/>
        <w:tabs>
          <w:tab w:val="right" w:pos="9026" w:leader="dot"/>
        </w:tabs>
      </w:pPr>
      <w:r>
        <w:t xml:space="preserve">Capítulo 2. Inferir: del signo a la explicación</w:t>
      </w:r>
      <w:r>
        <w:tab/>
      </w:r>
      <w:r>
        <w:rPr>
          <w:color w:val="8A8A8A"/>
        </w:rPr>
        <w:t xml:space="preserve">16</w:t>
      </w:r>
    </w:p>
    <w:p>
      <w:pPr>
        <w:pStyle w:val="TocEntry"/>
        <w:tabs>
          <w:tab w:val="right" w:pos="9026" w:leader="dot"/>
        </w:tabs>
      </w:pPr>
      <w:r>
        <w:t xml:space="preserve">Capítulo 3. Incertidumbre: una condición estructural</w:t>
      </w:r>
      <w:r>
        <w:tab/>
      </w:r>
      <w:r>
        <w:rPr>
          <w:color w:val="8A8A8A"/>
        </w:rPr>
        <w:t xml:space="preserve">22</w:t>
      </w:r>
    </w:p>
    <w:p>
      <w:pPr>
        <w:pStyle w:val="TocEntry"/>
        <w:tabs>
          <w:tab w:val="right" w:pos="9026" w:leader="dot"/>
        </w:tabs>
      </w:pPr>
      <w:r>
        <w:t xml:space="preserve">Capítulo 4. Lenguaje clínico y densidad epistémica</w:t>
      </w:r>
      <w:r>
        <w:tab/>
      </w:r>
      <w:r>
        <w:rPr>
          <w:color w:val="8A8A8A"/>
        </w:rPr>
        <w:t xml:space="preserve">26</w:t>
      </w:r>
    </w:p>
    <w:p>
      <w:pPr>
        <w:pStyle w:val="TocEntry"/>
        <w:tabs>
          <w:tab w:val="right" w:pos="9026" w:leader="dot"/>
        </w:tabs>
      </w:pPr>
      <w:r>
        <w:t xml:space="preserve">Interludio I. La ficha de Carmen</w:t>
      </w:r>
      <w:r>
        <w:tab/>
      </w:r>
      <w:r>
        <w:rPr>
          <w:color w:val="8A8A8A"/>
        </w:rPr>
        <w:t xml:space="preserve">32</w:t>
      </w:r>
    </w:p>
    <w:p>
      <w:pPr>
        <w:pStyle w:val="TocPart"/>
        <w:tabs>
          <w:tab w:val="right" w:pos="9026" w:leader="dot"/>
        </w:tabs>
      </w:pPr>
      <w:r>
        <w:t xml:space="preserve">PARTE II. La mente que se observa</w:t>
      </w:r>
      <w:r>
        <w:tab/>
      </w:r>
      <w:r>
        <w:rPr>
          <w:color w:val="8A8A8A"/>
        </w:rPr>
        <w:t xml:space="preserve">34</w:t>
      </w:r>
    </w:p>
    <w:p>
      <w:pPr>
        <w:pStyle w:val="TocEntry"/>
        <w:tabs>
          <w:tab w:val="right" w:pos="9026" w:leader="dot"/>
        </w:tabs>
      </w:pPr>
      <w:r>
        <w:t xml:space="preserve">Capítulo 5. Metacognición: monitorear y regular el propio juicio</w:t>
      </w:r>
      <w:r>
        <w:tab/>
      </w:r>
      <w:r>
        <w:rPr>
          <w:color w:val="8A8A8A"/>
        </w:rPr>
        <w:t xml:space="preserve">35</w:t>
      </w:r>
    </w:p>
    <w:p>
      <w:pPr>
        <w:pStyle w:val="TocEntry"/>
        <w:tabs>
          <w:tab w:val="right" w:pos="9026" w:leader="dot"/>
        </w:tabs>
      </w:pPr>
      <w:r>
        <w:t xml:space="preserve">Capítulo 6. Pericia, intuición y conocimiento tácito</w:t>
      </w:r>
      <w:r>
        <w:tab/>
      </w:r>
      <w:r>
        <w:rPr>
          <w:color w:val="8A8A8A"/>
        </w:rPr>
        <w:t xml:space="preserve">41</w:t>
      </w:r>
    </w:p>
    <w:p>
      <w:pPr>
        <w:pStyle w:val="TocEntry"/>
        <w:tabs>
          <w:tab w:val="right" w:pos="9026" w:leader="dot"/>
        </w:tabs>
      </w:pPr>
      <w:r>
        <w:t xml:space="preserve">Capítulo 7. Error, sesgo y ecología del diagnóstico</w:t>
      </w:r>
      <w:r>
        <w:tab/>
      </w:r>
      <w:r>
        <w:rPr>
          <w:color w:val="8A8A8A"/>
        </w:rPr>
        <w:t xml:space="preserve">45</w:t>
      </w:r>
    </w:p>
    <w:p>
      <w:pPr>
        <w:pStyle w:val="TocEntry"/>
        <w:tabs>
          <w:tab w:val="right" w:pos="9026" w:leader="dot"/>
        </w:tabs>
      </w:pPr>
      <w:r>
        <w:t xml:space="preserve">Capítulo 8. Desacelerar: cuándo, en qué estado y con qué mente</w:t>
      </w:r>
      <w:r>
        <w:tab/>
      </w:r>
      <w:r>
        <w:rPr>
          <w:color w:val="8A8A8A"/>
        </w:rPr>
        <w:t xml:space="preserve">49</w:t>
      </w:r>
    </w:p>
    <w:p>
      <w:pPr>
        <w:pStyle w:val="TocEntry"/>
        <w:tabs>
          <w:tab w:val="right" w:pos="9026" w:leader="dot"/>
        </w:tabs>
      </w:pPr>
      <w:r>
        <w:t xml:space="preserve">Interludio II. Lo que el equipo pensó</w:t>
      </w:r>
      <w:r>
        <w:tab/>
      </w:r>
      <w:r>
        <w:rPr>
          <w:color w:val="8A8A8A"/>
        </w:rPr>
        <w:t xml:space="preserve">55</w:t>
      </w:r>
    </w:p>
    <w:p>
      <w:pPr>
        <w:pStyle w:val="TocPart"/>
        <w:tabs>
          <w:tab w:val="right" w:pos="9026" w:leader="dot"/>
        </w:tabs>
      </w:pPr>
      <w:r>
        <w:t xml:space="preserve">PARTE III. Decidir en el tiempo y con otros</w:t>
      </w:r>
      <w:r>
        <w:tab/>
      </w:r>
      <w:r>
        <w:rPr>
          <w:color w:val="8A8A8A"/>
        </w:rPr>
        <w:t xml:space="preserve">57</w:t>
      </w:r>
    </w:p>
    <w:p>
      <w:pPr>
        <w:pStyle w:val="TocEntry"/>
        <w:tabs>
          <w:tab w:val="right" w:pos="9026" w:leader="dot"/>
        </w:tabs>
      </w:pPr>
      <w:r>
        <w:t xml:space="preserve">Capítulo 9. La evidencia y el caso singular</w:t>
      </w:r>
      <w:r>
        <w:tab/>
      </w:r>
      <w:r>
        <w:rPr>
          <w:color w:val="8A8A8A"/>
        </w:rPr>
        <w:t xml:space="preserve">58</w:t>
      </w:r>
    </w:p>
    <w:p>
      <w:pPr>
        <w:pStyle w:val="TocEntry"/>
        <w:tabs>
          <w:tab w:val="right" w:pos="9026" w:leader="dot"/>
        </w:tabs>
      </w:pPr>
      <w:r>
        <w:t xml:space="preserve">Capítulo 10. Decidir sin certeza: umbrales, valores y bioética</w:t>
      </w:r>
      <w:r>
        <w:tab/>
      </w:r>
      <w:r>
        <w:rPr>
          <w:color w:val="8A8A8A"/>
        </w:rPr>
        <w:t xml:space="preserve">62</w:t>
      </w:r>
    </w:p>
    <w:p>
      <w:pPr>
        <w:pStyle w:val="TocEntry"/>
        <w:tabs>
          <w:tab w:val="right" w:pos="9026" w:leader="dot"/>
        </w:tabs>
      </w:pPr>
      <w:r>
        <w:t xml:space="preserve">Capítulo 11. Temporalidad, trayectoria y razonamiento contrafactual</w:t>
      </w:r>
      <w:r>
        <w:tab/>
      </w:r>
      <w:r>
        <w:rPr>
          <w:color w:val="8A8A8A"/>
        </w:rPr>
        <w:t xml:space="preserve">69</w:t>
      </w:r>
    </w:p>
    <w:p>
      <w:pPr>
        <w:pStyle w:val="TocEntry"/>
        <w:tabs>
          <w:tab w:val="right" w:pos="9026" w:leader="dot"/>
        </w:tabs>
      </w:pPr>
      <w:r>
        <w:t xml:space="preserve">Capítulo 12. La ficha clínica como instrumento de pensamiento</w:t>
      </w:r>
      <w:r>
        <w:tab/>
      </w:r>
      <w:r>
        <w:rPr>
          <w:color w:val="8A8A8A"/>
        </w:rPr>
        <w:t xml:space="preserve">73</w:t>
      </w:r>
    </w:p>
    <w:p>
      <w:pPr>
        <w:pStyle w:val="TocEntry"/>
        <w:tabs>
          <w:tab w:val="right" w:pos="9026" w:leader="dot"/>
        </w:tabs>
      </w:pPr>
      <w:r>
        <w:t xml:space="preserve">Capítulo 13. Pensar con otros: equipos, desacuerdo y comunicación de la incertidumbre</w:t>
      </w:r>
      <w:r>
        <w:tab/>
      </w:r>
      <w:r>
        <w:rPr>
          <w:color w:val="8A8A8A"/>
        </w:rPr>
        <w:t xml:space="preserve">80</w:t>
      </w:r>
    </w:p>
    <w:p>
      <w:pPr>
        <w:pStyle w:val="TocEntry"/>
        <w:tabs>
          <w:tab w:val="right" w:pos="9026" w:leader="dot"/>
        </w:tabs>
      </w:pPr>
      <w:r>
        <w:t xml:space="preserve">Interludio III. La decisión de Carmen</w:t>
      </w:r>
      <w:r>
        <w:tab/>
      </w:r>
      <w:r>
        <w:rPr>
          <w:color w:val="8A8A8A"/>
        </w:rPr>
        <w:t xml:space="preserve">85</w:t>
      </w:r>
    </w:p>
    <w:p>
      <w:pPr>
        <w:pStyle w:val="TocPart"/>
        <w:tabs>
          <w:tab w:val="right" w:pos="9026" w:leader="dot"/>
        </w:tabs>
      </w:pPr>
      <w:r>
        <w:t xml:space="preserve">PARTE IV. Una epistemología operativa</w:t>
      </w:r>
      <w:r>
        <w:tab/>
      </w:r>
      <w:r>
        <w:rPr>
          <w:color w:val="8A8A8A"/>
        </w:rPr>
        <w:t xml:space="preserve">87</w:t>
      </w:r>
    </w:p>
    <w:p>
      <w:pPr>
        <w:pStyle w:val="TocEntry"/>
        <w:tabs>
          <w:tab w:val="right" w:pos="9026" w:leader="dot"/>
        </w:tabs>
      </w:pPr>
      <w:r>
        <w:t xml:space="preserve">Capítulo 14. Humildad epistémica y responsabilidad clínica</w:t>
      </w:r>
      <w:r>
        <w:tab/>
      </w:r>
      <w:r>
        <w:rPr>
          <w:color w:val="8A8A8A"/>
        </w:rPr>
        <w:t xml:space="preserve">88</w:t>
      </w:r>
    </w:p>
    <w:p>
      <w:pPr>
        <w:pStyle w:val="TocEntry"/>
        <w:tabs>
          <w:tab w:val="right" w:pos="9026" w:leader="dot"/>
        </w:tabs>
      </w:pPr>
      <w:r>
        <w:t xml:space="preserve">Capítulo 15. El método HII-D: una epistemología operativa</w:t>
      </w:r>
      <w:r>
        <w:tab/>
      </w:r>
      <w:r>
        <w:rPr>
          <w:color w:val="8A8A8A"/>
        </w:rPr>
        <w:t xml:space="preserve">94</w:t>
      </w:r>
    </w:p>
    <w:p>
      <w:pPr>
        <w:pStyle w:val="TocEntry"/>
        <w:tabs>
          <w:tab w:val="right" w:pos="9026" w:leader="dot"/>
        </w:tabs>
      </w:pPr>
      <w:r>
        <w:t xml:space="preserve">Cuaderno de casos. Ocho viñetas para una lectura metacognitiva</w:t>
      </w:r>
      <w:r>
        <w:tab/>
      </w:r>
      <w:r>
        <w:rPr>
          <w:color w:val="8A8A8A"/>
        </w:rPr>
        <w:t xml:space="preserve">101</w:t>
      </w:r>
    </w:p>
    <w:p>
      <w:pPr>
        <w:pStyle w:val="TocEntry"/>
        <w:tabs>
          <w:tab w:val="right" w:pos="9026" w:leader="dot"/>
        </w:tabs>
      </w:pPr>
      <w:r>
        <w:t xml:space="preserve">Capítulo 16. Enseñar y organizar la metacognición clínica</w:t>
      </w:r>
      <w:r>
        <w:tab/>
      </w:r>
      <w:r>
        <w:rPr>
          <w:color w:val="8A8A8A"/>
        </w:rPr>
        <w:t xml:space="preserve">110</w:t>
      </w:r>
    </w:p>
    <w:p>
      <w:pPr>
        <w:pStyle w:val="TocEntry"/>
        <w:tabs>
          <w:tab w:val="right" w:pos="9026" w:leader="dot"/>
        </w:tabs>
      </w:pPr>
      <w:r>
        <w:t xml:space="preserve">Capítulo 17. La inteligencia artificial en el proceso clínico: roles, riesgos y defensas</w:t>
      </w:r>
      <w:r>
        <w:tab/>
      </w:r>
      <w:r>
        <w:rPr>
          <w:color w:val="8A8A8A"/>
        </w:rPr>
        <w:t xml:space="preserve">114</w:t>
      </w:r>
    </w:p>
    <w:p>
      <w:pPr>
        <w:pStyle w:val="TocEntry"/>
        <w:tabs>
          <w:tab w:val="right" w:pos="9026" w:leader="dot"/>
        </w:tabs>
      </w:pPr>
      <w:r>
        <w:t xml:space="preserve">Capítulo 18. La palabra exacta: lo que la poesía sabe del juicio clínico</w:t>
      </w:r>
      <w:r>
        <w:tab/>
      </w:r>
      <w:r>
        <w:rPr>
          <w:color w:val="8A8A8A"/>
        </w:rPr>
        <w:t xml:space="preserve">122</w:t>
      </w:r>
    </w:p>
    <w:p>
      <w:pPr>
        <w:pStyle w:val="TocPart"/>
        <w:tabs>
          <w:tab w:val="right" w:pos="9026" w:leader="dot"/>
        </w:tabs>
      </w:pPr>
      <w:r>
        <w:t xml:space="preserve">Conclusión. Una medicina lúcida</w:t>
      </w:r>
      <w:r>
        <w:tab/>
      </w:r>
      <w:r>
        <w:rPr>
          <w:color w:val="8A8A8A"/>
        </w:rPr>
        <w:t xml:space="preserve">126</w:t>
      </w:r>
    </w:p>
    <w:p>
      <w:pPr>
        <w:pStyle w:val="TocPart"/>
        <w:tabs>
          <w:tab w:val="right" w:pos="9026" w:leader="dot"/>
        </w:tabs>
      </w:pPr>
      <w:r>
        <w:t xml:space="preserve">Apéndice A. Hoja HII-D para discusión de casos</w:t>
      </w:r>
      <w:r>
        <w:tab/>
      </w:r>
      <w:r>
        <w:rPr>
          <w:color w:val="8A8A8A"/>
        </w:rPr>
        <w:t xml:space="preserve">128</w:t>
      </w:r>
    </w:p>
    <w:p>
      <w:pPr>
        <w:pStyle w:val="TocPart"/>
        <w:tabs>
          <w:tab w:val="right" w:pos="9026" w:leader="dot"/>
        </w:tabs>
      </w:pPr>
      <w:r>
        <w:t xml:space="preserve">Apéndice B. Léxico de certeza y pausa diagnóstica</w:t>
      </w:r>
      <w:r>
        <w:tab/>
      </w:r>
      <w:r>
        <w:rPr>
          <w:color w:val="8A8A8A"/>
        </w:rPr>
        <w:t xml:space="preserve">130</w:t>
      </w:r>
    </w:p>
    <w:p>
      <w:pPr>
        <w:pStyle w:val="TocPart"/>
        <w:tabs>
          <w:tab w:val="right" w:pos="9026" w:leader="dot"/>
        </w:tabs>
      </w:pPr>
      <w:r>
        <w:t xml:space="preserve">Apéndice C. Guía de implementación en un servicio clínico</w:t>
      </w:r>
      <w:r>
        <w:tab/>
      </w:r>
      <w:r>
        <w:rPr>
          <w:color w:val="8A8A8A"/>
        </w:rPr>
        <w:t xml:space="preserve">132</w:t>
      </w:r>
    </w:p>
    <w:p>
      <w:pPr>
        <w:pStyle w:val="TocPart"/>
        <w:tabs>
          <w:tab w:val="right" w:pos="9026" w:leader="dot"/>
        </w:tabs>
      </w:pPr>
      <w:r>
        <w:t xml:space="preserve">Apéndice D. Las preguntas para la próxima visita</w:t>
      </w:r>
      <w:r>
        <w:tab/>
      </w:r>
      <w:r>
        <w:rPr>
          <w:color w:val="8A8A8A"/>
        </w:rPr>
        <w:t xml:space="preserve">135</w:t>
      </w:r>
    </w:p>
    <w:p>
      <w:pPr>
        <w:pStyle w:val="TocPart"/>
        <w:tabs>
          <w:tab w:val="right" w:pos="9026" w:leader="dot"/>
        </w:tabs>
      </w:pPr>
      <w:r>
        <w:t xml:space="preserve">Glosario</w:t>
      </w:r>
      <w:r>
        <w:tab/>
      </w:r>
      <w:r>
        <w:rPr>
          <w:color w:val="8A8A8A"/>
        </w:rPr>
        <w:t xml:space="preserve">139</w:t>
      </w:r>
    </w:p>
    <w:p>
      <w:pPr>
        <w:pStyle w:val="TocPart"/>
        <w:tabs>
          <w:tab w:val="right" w:pos="9026" w:leader="dot"/>
        </w:tabs>
      </w:pPr>
      <w:r>
        <w:t xml:space="preserve">Índice analítico</w:t>
      </w:r>
      <w:r>
        <w:tab/>
      </w:r>
      <w:r>
        <w:rPr>
          <w:color w:val="8A8A8A"/>
        </w:rPr>
        <w:t xml:space="preserve">145</w:t>
      </w:r>
    </w:p>
    <w:p>
      <w:pPr>
        <w:pStyle w:val="TocPart"/>
        <w:tabs>
          <w:tab w:val="right" w:pos="9026" w:leader="dot"/>
        </w:tabs>
      </w:pPr>
      <w:r>
        <w:t xml:space="preserve">Lista de figuras</w:t>
      </w:r>
      <w:r>
        <w:tab/>
      </w:r>
      <w:r>
        <w:rPr>
          <w:color w:val="8A8A8A"/>
        </w:rPr>
        <w:t xml:space="preserve">149</w:t>
      </w:r>
    </w:p>
    <w:p>
      <w:pPr>
        <w:pStyle w:val="TocPart"/>
        <w:tabs>
          <w:tab w:val="right" w:pos="9026" w:leader="dot"/>
        </w:tabs>
      </w:pPr>
      <w:r>
        <w:t xml:space="preserve">Nota metodológica y estatuto de las afirmaciones</w:t>
      </w:r>
      <w:r>
        <w:tab/>
      </w:r>
      <w:r>
        <w:rPr>
          <w:color w:val="8A8A8A"/>
        </w:rPr>
        <w:t xml:space="preserve">150</w:t>
      </w:r>
    </w:p>
    <w:p>
      <w:pPr>
        <w:pStyle w:val="TocPart"/>
        <w:tabs>
          <w:tab w:val="right" w:pos="9026" w:leader="dot"/>
        </w:tabs>
      </w:pPr>
      <w:r>
        <w:t xml:space="preserve">Referencias</w:t>
      </w:r>
      <w:r>
        <w:tab/>
      </w:r>
      <w:r>
        <w:rPr>
          <w:color w:val="8A8A8A"/>
        </w:rPr>
        <w:t xml:space="preserve">152</w:t>
      </w:r>
    </w:p>
    <w:p>
      <w:pPr>
        <w:pStyle w:val="TocPart"/>
        <w:tabs>
          <w:tab w:val="right" w:pos="9026" w:leader="dot"/>
        </w:tabs>
      </w:pPr>
      <w:r>
        <w:t xml:space="preserve">Tarjeta: HII-D en sesenta segundos</w:t>
      </w:r>
      <w:r>
        <w:tab/>
      </w:r>
      <w:r>
        <w:rPr>
          <w:color w:val="8A8A8A"/>
        </w:rPr>
        <w:t xml:space="preserve">162</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La enfermera de noche había anotado un vómito a las tres de la madrugada. Nadie vio al paciente aspirar; no tuvo fiebre ni disnea nueva, no cambió su requerimiento de oxígeno, y en la radiografía de la mañana aparecieron infiltrados basales que no teníamos con qué comparar, porque no había una placa previa. Yo escribí: «neumonía aspirativa». Dos palabras limpias y verosímiles que saltaban sin escalas desde un vómito referido y una sombra radiológica hasta una infección bacteriana establecida. Si hubo aspiración, y nadie la presenció, pudo causar una neumonitis química, que no se trata con antibióticos, o una neumonía bacteriana, que sí; la radiografía no distingue entre ambas, y sin placa previa ni siquiera sabíamos si esos infiltrados eran nuevos. Mi frase eligió la neumonía sin un solo dato que la separara de las otras posibilidades.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las decisiones por umbral, donde el precio del error decide cuánta evidencia basta, y su cruce con la bioética; la trayectoria temporal; la ficha clínica;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Lea con un caso propio en mente. Las preguntas de cierre de cada capítulo están reunidas en el Apéndice D, y la versión de sesenta segundos del método, en la tarjeta de la última página.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Ese trabajo se ordena aquí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62225"/>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Antes de seguir, hay que precisar qué estatuto tiene entonces aquí la palabra «hecho»,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aquí no se lo acompaña. Y declarar al observador no vuelve relativa la observación: la vuelve auditable, que es lo contrario. La trazabilidad es el paréntesis puesto por escrito.</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ficha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los capítulos siguientes vuelven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llene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misma lección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Conservar el dato bajo la interpretación no es un escrúpulo de archivista: es lo que permite auditar la interpretación después, y la filosofía de la medicina lo dijo antes que la seguridad clínica. 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47950"/>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Esa organización del conocimiento tiene una unidad de trabajo visible. 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Aquí se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 también impide percibir. De ahí que varias de las herramientas que siguen, y que parecen puramente disciplinarias, sean además técnicas de creatividad: reformular el caso sin usar la etiqueta (capítulo 8) es un procedimiento para forzar la percepción de otro orden posible en los mismos hechos.</w:t>
      </w:r>
    </w:p>
    <w:p>
      <w:pPr>
        <w:pStyle w:val="BodyJ"/>
      </w:pPr>
      <w:r>
        <w:t xml:space="preserve">Schön señaló,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El diagnóstico diferencial debe organizarse, entonces,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1337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Nada de esto se enseña como tal; la formación médica transmite la incertidumbre de otra manera. 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exige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actual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aquí se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y el respaldo de esa garantía. A eso agregó un calificador modal que gradúa la fuerza («probablemente», «salvo que…») y las condiciones de refutación (Toulmin, 1958). La frase medular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spacing w:after="120" w:before="280"/>
      </w:pPr>
      <w:r>
        <w:rPr>
          <w:rFonts w:ascii="Georgia" w:cs="Georgia" w:eastAsia="Georgia" w:hAnsi="Georgia"/>
          <w:b/>
          <w:bCs/>
          <w:color w:val="2B2B2B"/>
          <w:sz w:val="25"/>
          <w:szCs w:val="25"/>
        </w:rPr>
        <w:t xml:space="preserve">Verbos que ocultan, frases que operan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BodyJ"/>
      </w:pPr>
      <w:r>
        <w:t xml:space="preserve">Lo contrario del verbo que oculta es la frase que opera. 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(esquema, no datos de un estudio):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solución única: el ejercicio produce el dato que la práctica cotidiana casi nunca devuelve. Los patrones típicos que emergen en ejercicios docentes: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¿Cuál fue mi última predicción concreta —un cultivo, una imagen, una evolución— y la contrasté con el resultado cuando llegó, o sólo recuerdo las que acerté?</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(knowledge encapsulation)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 la phronesis</w:t>
      </w:r>
    </w:p>
    <w:p>
      <w:pPr>
        <w:pStyle w:val="BodyJ"/>
      </w:pPr>
      <w:r>
        <w:t xml:space="preserve">Las teorías de doble proceso (dual-process theories)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BodyJ"/>
      </w:pPr>
      <w:r>
        <w:t xml:space="preserve">Hay una palabra antigua para la integración que ni el análisis ni la intuición logran por separado. 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(high-validity environment)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Heading3"/>
        <w:spacing w:after="120" w:before="280"/>
      </w:pPr>
      <w:r>
        <w:rPr>
          <w:rFonts w:ascii="Georgia" w:cs="Georgia" w:eastAsia="Georgia" w:hAnsi="Georgia"/>
          <w:b/>
          <w:bCs/>
          <w:color w:val="2B2B2B"/>
          <w:sz w:val="25"/>
          <w:szCs w:val="25"/>
        </w:rPr>
        <w:t xml:space="preserve">El saber hacer y el quiebre</w:t>
      </w:r>
    </w:p>
    <w:p>
      <w:pPr>
        <w:pStyle w:val="BodyJ"/>
      </w:pPr>
      <w:r>
        <w:t xml:space="preserve">Varela, cuya obra con Maturana el capítulo 1 ya convocó, agrega una corrección que hay que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(breakdown),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seis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no hay que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Del nombre del sesgo a la trayectoria del error</w:t>
      </w:r>
    </w:p>
    <w:p>
      <w:pPr>
        <w:pStyle w:val="BodyJ"/>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 «Cuadro habitual, manejo habitual», la frase con que ingresó Carmen, es anclaje de manual, y nombrarlo así no explica lo que importa: por qué una frase que había sido verdadera tres veces pudo viajar intacta hasta la madrugada en que dejó de serlo.</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confianza</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BodyJ"/>
      </w:pPr>
      <w:r>
        <w:t xml:space="preserve">El prior tiene, sin embargo, una patología propia. 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Error típico.</w:t>
      </w:r>
      <w:r>
        <w:t xml:space="preserve"> En ejercicios docentes, la respuesta más frecuente viola la regla en la segunda línea: «hubo anclaje y sesgo de confirmación». Nombrar el sesgo se siente como análisis, pero no responde ninguna de las cuatro preguntas: no dice en qué formato viajaba la frase, por qué el urocultivo valía menos, en qué minuto «sigue decaída» se volvió «responde lento» ni qué barrera habría costado diez segundos. El sesgo es el nombre del desenlace; la trayectoria es lo que se puede cambiar.</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Desacelerar: cuándo, en qué estado y con qué mente</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el punto de este capítulo.</w:t>
      </w:r>
    </w:p>
    <w:p>
      <w:pPr>
        <w:pStyle w:val="Heading3"/>
        <w:spacing w:after="120" w:before="280"/>
      </w:pPr>
      <w:r>
        <w:rPr>
          <w:rFonts w:ascii="Georgia" w:cs="Georgia" w:eastAsia="Georgia" w:hAnsi="Georgia"/>
          <w:b/>
          <w:bCs/>
          <w:color w:val="2B2B2B"/>
          <w:sz w:val="25"/>
          <w:szCs w:val="25"/>
        </w:rPr>
        <w:t xml:space="preserve">Reflexionar no es rumiar: cuándo desacelerar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El estado del que piensa: esfuerzo, sueño y ánimo</w:t>
      </w:r>
    </w:p>
    <w:p>
      <w:pPr>
        <w:pStyle w:val="BodyJ"/>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Hasta aquí se ha hablado de disposiciones —humildad, curiosidad, lealtad al caso— como si estuvieran siempre disponibles. No lo están. Dependen de tres cosas que los modelos del razonamiento clínico omiten y cualquier médico de turno conoce: cuánto durmió, cómo está de ánimo y qué otra cosa lo preocupa.</w:t>
      </w:r>
    </w:p>
    <w:p>
      <w:pPr>
        <w:pStyle w:val="BodyJ"/>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veinticuatro internos de dos unidades de cuidados intensivos a turnos tradicionales con guardias de 24 horas o más, o a turnos acotados a dieciséis horas, los turnos largos produjeron un 36% más de errores graves. Los errores diagnósticos graves se multiplicaron por más de cinco (Landrigan et al., 2004). El dato es de internos y de cuidados intensivos; extenderlo a cualquier guardia es una inferencia, no un hecho.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debe figurar entre los hechos.</w:t>
      </w:r>
    </w:p>
    <w:p>
      <w:pPr>
        <w:pStyle w:val="Heading3"/>
        <w:spacing w:after="120" w:before="280"/>
      </w:pPr>
      <w:r>
        <w:rPr>
          <w:rFonts w:ascii="Georgia" w:cs="Georgia" w:eastAsia="Georgia" w:hAnsi="Georgia"/>
          <w:b/>
          <w:bCs/>
          <w:color w:val="2B2B2B"/>
          <w:sz w:val="25"/>
          <w:szCs w:val="25"/>
        </w:rPr>
        <w:t xml:space="preserve">Qué hacer con el estado del que piensa</w:t>
      </w:r>
    </w:p>
    <w:p>
      <w:pPr>
        <w:pStyle w:val="BodyJ"/>
      </w:pPr>
      <w:r>
        <w:t xml:space="preserve">¿Qué hacer con esto, si no se puede decretar el descanso ni el buen ánimo? Tres cosas, todas coherentes con el resto del libro.</w:t>
      </w:r>
    </w:p>
    <w:p>
      <w:pPr>
        <w:pStyle w:val="BodyJ"/>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La lista de disparadores de la sección anterior tiene, por lo mismo,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pPr>
      <w:r>
        <w:t xml:space="preserve">Segundo, no apostar a la voluntad. Las herramientas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Es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La mente del principiante</w:t>
      </w:r>
    </w:p>
    <w:p>
      <w:pPr>
        <w:pStyle w:val="BodyJ"/>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(beginner's mind),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8 es una práctica contemplativa con disfraz de ejercicio clínico.</w:t>
      </w:r>
    </w:p>
    <w:p>
      <w:pPr>
        <w:pStyle w:val="BodyJ"/>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ya apareció páginas atrás,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pPr>
      <w:r>
        <w:t xml:space="preserve">Dos límites, para que el préstamo no se vuelva decorado. Del Zen se toma aquí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diagnóstica es ese quiebre buscado a propósito: un respiro entre el patrón que se encendió y la frase que lo fija.</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(diagnostic time-out)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Error típico.</w:t>
      </w:r>
      <w:r>
        <w:t xml:space="preserve"> El sinónimo disfrazado: «cuadro infeccioso de origen urinario en tratamiento» cumple la prohibición de la palabra y viola su propósito, porque sigue organizando la percepción desde el diagnóstico. La presentación que funciona empieza por la persona y la línea temporal —lesión medular, sonda, recambio traumático, orina turbia, afebril— y deja que el oyente arme la hipótesis; si la etiqueta entra por la puerta de atrás, el ejercicio no ocurrió.</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ficha clínica de Carmen registra qué se hizo. No registra —casi ninguna ficha lo hace— cómo se pensó. Esta es la reconstrucción.</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se activaron dos disparadores concretos: la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Marcela, la enfermera de urgencias, que midió el llene capilar de cinco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p>
      <w:pPr>
        <w:pStyle w:val="BodyJ"/>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llene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llene capilar era superior al cuidado habitual (Hernández et al., 2025). La saga deja tres lecciones.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escribo.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714625"/>
                          </a:xfrm>
                          <a:prstGeom prst="rect">
                            <a:avLst/>
                          </a:prstGeom>
                        </pic:spPr>
                      </pic:pic>
                    </a:graphicData>
                  </a:graphic>
                </wp:inline>
              </w:drawing>
            </w:r>
          </w:p>
          <w:p>
            <w:pPr>
              <w:pStyle w:val="Caption"/>
            </w:pPr>
            <w:r>
              <w:t xml:space="preserve">Figura 9. Una década sobre un mismo dato: la saga ANDROMEDA. El mismo programa de investigación atraviesa un ensayo «negativo», su relectura bayesiana y una segunda prueba más severa — la trayectoria completa que vale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 ni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El último ensayo «negativo» que cité: ¿mostró ausencia de efecto o ausencia de significación — y traté esa diferencia como si no existiera?</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bioética</w:t>
      </w:r>
    </w:p>
    <w:p>
      <w:pPr>
        <w:pStyle w:val="BodyJ"/>
      </w:pPr>
      <w:r>
        <w:t xml:space="preserve">Suponga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y la decisión técnica se cruza con la bioética.</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(threshold approach):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pPr>
      <w:r>
        <w:t xml:space="preserve">Los dos momentos de Carmen ilustran esta asimetría de costos. En la madrugada del ingreso, con la paciente en shock pero con una tomografía sin necrosis ni perforación libre, entrar a pabellón en plena inestabilidad hemodinámica conllevaba una mortalidad perioperatoria altísima. Como el cuadro cedió rápido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el daño esperado de operar en shock supera al de esperar; al día 7, el daño esperado de un alta sin operar supera al de una cirugía programada. Los hechos anatómicos no cambiaron; cambió el costo del error de omisión.</w:t>
            </w:r>
          </w:p>
        </w:tc>
      </w:tr>
    </w:tbl>
    <w:p>
      <w:pPr>
        <w:spacing w:after="60"/>
      </w:pP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p. 2). Heather Douglas llamó a esto riesgo inductivo (inductive risk) y sostuvo que atraviesa toda la ciencia con consecuencias prácticas. Cuánta evidencia se exige antes de afirmar que un compuesto es tóxico depende de qué error —afirmar de más o afirmar de menos— produce más daño (Douglas, 2000, pp. 565-577).</w:t>
      </w:r>
    </w:p>
    <w:p>
      <w:pPr>
        <w:pStyle w:val="BodyJ"/>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decidir pudo parecer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Heading3"/>
        <w:spacing w:after="120" w:before="280"/>
      </w:pPr>
      <w:r>
        <w:rPr>
          <w:rFonts w:ascii="Georgia" w:cs="Georgia" w:eastAsia="Georgia" w:hAnsi="Georgia"/>
          <w:b/>
          <w:bCs/>
          <w:color w:val="2B2B2B"/>
          <w:sz w:val="25"/>
          <w:szCs w:val="25"/>
        </w:rPr>
        <w:t xml:space="preserve">Cuatro tópicos, proporcionalidad y deliberación</w:t>
      </w:r>
    </w:p>
    <w:p>
      <w:pPr>
        <w:pStyle w:val="BodyJ"/>
      </w:pPr>
      <w:r>
        <w:t xml:space="preserve">La bioética clínica ofrece herramientas de trabajo para este cruce, y la más difundida tiene un aire de familia con HII-D. Jonsen, Siegler y Winslade propusieron ordenar todo caso en cuatro tópicos (four topics):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depende por completo de la calidad epistémica de las capas anteriores.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Este cruce aparece ejecutado dos veces más adelante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Error típico.</w:t>
      </w:r>
      <w:r>
        <w:t xml:space="preserve"> En ejercicios docentes, la respuesta intuitiva se concentra entre 80% y 90%: se lee la sensibilidad de la prueba como si fuera la probabilidad de la enfermedad, y la prevalencia de 10% desaparece del cálculo. El segundo error es el inverso y más discreto: quien ya conoce la trampa responde «muy baja» sin calcular, y pasa de la sobreconfianza a la desconfianza sin pasar por el número. Las frecuencias naturales existen para que la respuesta sea 33% y no una actitud.</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12.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y el contexto global del paciente dentro del cálculo.</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De mi paciente más grave de hoy: ¿sé cómo funcionaba antes de enfermar, con quién vive y qué espera del tratamiento — y está escrito en alguna parte?</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Una predicción útil lleva, entonces, su plazo escrito: no «PCR en descenso», sino «PCR en descenso al cuarto día».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BodyJ"/>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del Taller 11 se convierte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Decidir antes de la certeza obliga a razonar sobre lo que habría pasado sin la decisión, y ahí entra la causalidad. 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cuarto episodio de Carmen es el ejemplo de este libro: no fue uno más de la serie, sino el que cambió de categoría, y la trayectoria —intervalos cada vez más cortos, primer shock— pesó más que cualquier dato aislado. El punto de inflexión no es sólo otro dato: redefine el riesgo de estrategias futuras. La frase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las salidas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 la ficha produce lo visible</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BodyJ"/>
      </w:pPr>
      <w:r>
        <w:t xml:space="preserve">La trazabilidad tiene una consecuencia menos evidente: el formato del registro decide qué puede llegar a ser un hecho. 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La segunda frase es de Carmen (capítulo 1), y el ejemplo no es hipotético: la plantilla decide si una frase así llega al siguiente turno.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la crítica del formulario: preguntar qué vuelve visible, qué vuelve invisible y a quién sirve esa distribución. El médico no siempre puede rediseñar la plantilla; siempre puede saber qué le está haciendo a su percepción.</w:t>
      </w:r>
    </w:p>
    <w:p>
      <w:pPr>
        <w:pStyle w:val="BodyJ"/>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palabras de una evolución típica no fueron pensadas el día en que aparecen firmadas.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13.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spacing w:after="120" w:before="280"/>
      </w:pPr>
      <w:r>
        <w:rPr>
          <w:rFonts w:ascii="Georgia" w:cs="Georgia" w:eastAsia="Georgia" w:hAnsi="Georgia"/>
          <w:b/>
          <w:bCs/>
          <w:color w:val="2B2B2B"/>
          <w:sz w:val="25"/>
          <w:szCs w:val="25"/>
        </w:rPr>
        <w:t xml:space="preserve">La matriz HII-D y la frase medular</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reapertura.</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Se mantiene afebril, hemodinámicamente estable y sin deterioro respecto de su basal. Parámetros inflamatorios elevados sin curva previa, en contexto de un cáncer renal metastásico activo.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no iniciar antibióticos ahora.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prescribir.</w:t>
      </w:r>
    </w:p>
    <w:p>
      <w:pPr>
        <w:pStyle w:val="BodyJ"/>
      </w:pPr>
      <w:r>
        <w:t xml:space="preserve">Después de ordenar el caso, el paso siguiente es formular una frase medular. No reemplaza la evolución completa; ofrece una representación operativa. Debe incluir la naturaleza del evento, la inferencia con su grado, la incertidumbre crítica —el límite principal de certeza, que suele ser el elemento que cambia el riesgo— y el efecto sobre la conducta.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difiere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La ficha de resultados y la ficha de proceso</w:t>
      </w:r>
    </w:p>
    <w:p>
      <w:pPr>
        <w:pStyle w:val="BodyJ"/>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Heading3"/>
        <w:spacing w:after="120" w:before="280"/>
      </w:pPr>
      <w:r>
        <w:rPr>
          <w:rFonts w:ascii="Georgia" w:cs="Georgia" w:eastAsia="Georgia" w:hAnsi="Georgia"/>
          <w:b/>
          <w:bCs/>
          <w:color w:val="2B2B2B"/>
          <w:sz w:val="25"/>
          <w:szCs w:val="25"/>
        </w:rPr>
        <w:t xml:space="preserve">La neumonía escrita como proceso</w:t>
      </w:r>
    </w:p>
    <w:p>
      <w:pPr>
        <w:pStyle w:val="BodyJ"/>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las guías no coinciden: la de la ATS y la IDSA de 2019 recomendó no usar corticoides de rutina, con fuerza en la neumonía no grave y con reservas en la grave (Metlay et al., 2019). La actualización de 2024 de la Society of Critical Care Medicine, ya con ese ensayo sobre la mesa, los recomienda en la neumonía bacteriana grave hospitalizada (Chaudhuri et al., 2024). La ficha de proceso no zanja el desacuerdo; deja escrito con qué umbral de gravedad lo resolvió.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ya advertido —la nota que crece sin pensar— no se corre aquí: la ficha de proceso no escribe más; escribe lo que hoy no se escribe nunca.</w:t>
      </w:r>
    </w:p>
    <w:p>
      <w:pPr>
        <w:pStyle w:val="BodyJ"/>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Reescriba la evolución del día 5 aplicando la estructura HII-D.</w:t>
      </w:r>
    </w:p>
    <w:p>
      <w:pPr>
        <w:pStyle w:val="BodyJ"/>
      </w:pPr>
      <w:r>
        <w:rPr>
          <w:i/>
          <w:iCs/>
        </w:rPr>
        <w:t xml:space="preserve">Solución comentada.</w:t>
      </w:r>
      <w:r>
        <w:t xml:space="preserve"> La evolución desfosilizada:</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pPr>
      <w:r>
        <w:t xml:space="preserve">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pPr>
      <w:r>
        <w:t xml:space="preserve">Taller 12B. Conjugue los verbos</w:t>
      </w:r>
    </w:p>
    <w:p>
      <w:pPr>
        <w:pStyle w:val="BodyJ"/>
      </w:pPr>
      <w:r>
        <w:t xml:space="preserve">Tome su última evolución de una línea —«X en tratamiento, estable»— y escriba primero las preguntas que esconde (al menos seis). Después, reescríbala como ficha de proceso en no más de ocho líneas, con los verbos: sospecho, dudé, descarto, priorizo, infiero, realizo, comprobaré, repetiré, aprendí.</w:t>
      </w:r>
    </w:p>
    <w:p>
      <w:pPr>
        <w:pStyle w:val="BodyJ"/>
      </w:pPr>
      <w:r>
        <w:rPr>
          <w:i/>
          <w:iCs/>
        </w:rPr>
        <w:t xml:space="preserve">Error típico.</w:t>
      </w:r>
      <w:r>
        <w:t xml:space="preserve"> La ficha de proceso conjugada en pasiva y sin sujeto: «se sospechó», «se descartó», «se comprobará». Los verbos están, pero nadie los ejecuta, y «se comprobará» sin fecha ni responsable es «control según evolución» con mejor vocabulario. El segundo error es el inventario: nueve verbos usados una vez cada uno y en orden, como lista de asistencia, cuando el caso real necesitaba tres «dudé» y ningún «repetiré».</w:t>
      </w:r>
    </w:p>
    <w:p>
      <w:pPr>
        <w:pStyle w:val="BodyJ"/>
      </w:pPr>
      <w:r>
        <w:rPr>
          <w:i/>
          <w:iCs/>
        </w:rPr>
        <w:t xml:space="preserve">Solución comentada.</w:t>
      </w:r>
      <w:r>
        <w:t xml:space="preserve"> No hay solución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ficha clínica completa, es el esqueleto de las decisiones. Y si cabe en dos, probablemente faltan verbos: una nota sin «dudé» ni «comprobaré» es una ficha de resultados con otro formato.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 y el diseño para la corrección</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BodyJ"/>
      </w:pPr>
      <w:r>
        <w:t xml:space="preserve">Ese lenguaje común necesita un sistema que lo sostenga. Un sistema seguro no depende de que cada individuo recuerde cuestionarlo todo. Diseña momentos y artefactos que facilitan detectar discordancias: tendencias visibles, alertas selectivas, listas de problemas actualizadas, criterios de reapertura,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Queda la conversación más difícil del equipo: la que sostiene con el paciente, que forma parte de la red y es quien más arriesga en ella. 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Hay una gramática para eso, y la escribió un chileno. Flores, con Winograd, describió el trabajo coordinado como una red de «conversaciones para la acción» (conversation for action):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pPr>
      <w:r>
        <w:t xml:space="preserve">Hay que decirlo de entrada, porque el resto del capítulo lo presupone: pensar bien es parte de la ética primordial del médico, no un refinamiento intelectual que se agrega a ella. Es su herramienta principal, de la que parte todo lo demás — y en la que, cuando falla, termina todo lo demás. La idea tiene un antecedente filosófico exacto. Clifford sostuvo en 1877, en «La ética de la creencia» (</w:t>
      </w:r>
      <w:r>
        <w:rPr>
          <w:i/>
          <w:iCs/>
        </w:rPr>
        <w:t xml:space="preserve">The Ethics of Belief</w:t>
      </w:r>
      <w:r>
        <w:t xml:space="preserve">), que creer algo sin evidencia suficiente es siempre, en todo lugar y para cualquiera, un acto reprochable (Clifford, 1877, §I).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hay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invocada desde el capítulo 6: es su condición de funcionamiento. La prudencia práctica integra, en el caso particular, lo que ningún algoritmo integra por el clínico —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pPr>
      <w:r>
        <w:t xml:space="preserve">Por eso la humildad entra aquí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La humildad tiene también una dirección hacia afuera: cómo se recibe lo que otro sabe. 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caps. 4 y 8).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caps. 6-7).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(shared decision-making)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Cuidar al que erró no suspende la asimetría de la relación clínica; la vuelve más exigente. 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sólo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9592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95925" cy="4324350"/>
                          </a:xfrm>
                          <a:prstGeom prst="rect">
                            <a:avLst/>
                          </a:prstGeom>
                        </pic:spPr>
                      </pic:pic>
                    </a:graphicData>
                  </a:graphic>
                </wp:inline>
              </w:drawing>
            </w:r>
          </w:p>
          <w:p>
            <w:pPr>
              <w:pStyle w:val="Caption"/>
            </w:pPr>
            <w:r>
              <w:t xml:space="preserve">Figura 14.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 Para Carmen, al tercer día, la pregunta no era «¿qué tiene?» sino «¿qué pasa si vuelve a ocurrir?», y de esa pregunta dependía si la hernia se opera o se sigue esperando.</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 Los hechos decisivos de Carmen caben en una línea cada uno, con su fuente: cuarto episodio en doce meses; lactato de 6,0 mmol/L a las 04:15; llene capilar de cinco segundos medido por Marcela; hemocultivos positivos a las 14 horas; tomografía sin isquemia; y la frase textual «esta vez la hernia no se dejó acomodar».</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demostrado. Deben explicitarse los enlaces causales no observados.</w:t>
      </w:r>
    </w:p>
    <w:p>
      <w:pPr>
        <w:pStyle w:val="BodyJ"/>
      </w:pPr>
      <w:r>
        <w:t xml:space="preserve">Una inferencia clínica útil explica por qué los hechos se agrupan y qué predice. Si no cambia comprensión, conducta o vigilancia, quizá sea sólo un nombre. En Carmen, tres inferencias con tres grados: obstrucción mecánica, demostrada; sepsis de foco abdominal, altamente probable; isquemia parietal transitoria, posible. Una nota apurada las habría escrito con el mismo verbo.</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 La incertidumbre peligrosa de Carmen no era etiológica sino pronóstica: cuándo volverá a obstruirse y con qué gravedad. Ningún examen la reduce; la trayectoria la desplazó.</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resultado pendiente, plazo o evento. Sin él, HII-D queda incompleto. Así quedó escrita la de Carmen: reparación electiva tras la recuperación, porque el costo esperado de un quinto episodio fuera del hospital supera el riesgo de una cirugía programada; reevaluar si aparece dolor desproporcionado, fiebre o íleo antes de pabellón; responsable, el equipo tratante. La plantilla condensada que recoge estas ocho líneas está en el Apéndice A, y el Interludio I es su primera versión completa.</w:t>
      </w:r>
    </w:p>
    <w:p>
      <w:pPr>
        <w:pStyle w:val="TallerHead"/>
      </w:pPr>
      <w:r>
        <w:t xml:space="preserve">Caja de herramientas. HII-D en sesenta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 calibración y auditoría</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por escrito la plantilla condensada del Apéndice A.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hiperlactatemia (6,0 mmol/L), hipoperfusión periférica (llene capilar de 5 segundos) y bacteriemia por bacilos gramnegativos (2/2 hemocultivos). Evoluciona favorablemente con reposo digestivo, descompresión por sonda nasogástrica, noradrenalina y antibioterapia. La tomografía de abdomen no muestra perforación, isquemia mesentérica ni estrangulación actual.</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ausencia de estrangulación tomográfica desactiva la urgencia quirúrgica inmediata, pero no mitiga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Es el paciente de la cama 12 del capítulo 8, el mismo cuya ficha el capítulo 12 ordenó en la matriz HII-D; aquí, en la versión que cabe en una entrega de turno. Hombre con lesión medular completa, vejiga neurogénica, sonda Foley permanente y un cáncer renal metastásico en progresión. Tras un recambio traumático de sonda presenta orina turbia, piuria y urocultivo positivo; está afebril, estable y sin cambios respecto de su basal. Los marcadores inflamatorios están elevados, sin valores previos y con el tumor como causa concomitante, y tiene antecedente de colonización por enterobacteria productora de BLEE.</w:t>
      </w:r>
    </w:p>
    <w:p>
      <w:pPr>
        <w:pStyle w:val="BodyJ"/>
      </w:pPr>
      <w:r>
        <w:rPr>
          <w:i/>
          <w:iCs/>
        </w:rPr>
        <w:t xml:space="preserve">Hechos:</w:t>
      </w:r>
      <w:r>
        <w:t xml:space="preserve"> recambio reciente de sonda; piuria y urocultivo positivo; afebril y estable; síntomas urinarios bajos no evaluables por el nivel lesional; reactantes elevados sin basal, con cáncer renal metastásico activo; colonización documentada por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no iniciar tratamiento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el tratamiento exigiría carbapenémicos, de alto impacto ecológico y toxicidad potencial, el umbral clínico para 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vigilancia clínica estricta con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podría producir si estoy equivocado?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y qué me haría cambiar antes del próximo control?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y qué cargas terapéuticas está dispuesto a tolerar?</w:t>
      </w:r>
    </w:p>
    <w:p>
      <w:pPr>
        <w:pStyle w:val="BodyJ"/>
      </w:pPr>
      <w:r>
        <w:rPr>
          <w:i/>
          <w:iCs/>
        </w:rPr>
        <w:t xml:space="preserve">Decisión:</w:t>
      </w:r>
      <w:r>
        <w:t xml:space="preserve"> antibióticos endovenosos y oxigenoterapia no invasiva con un objetivo explícito de alivio sintomático y eventual retorno a su casa (medidas reversibles y proporcionadas). Suspender la discusión sobre nuevas quimioterapias. Reunión familiar estructurada para alinear el plan con la voluntad del paciente. Reevaluación a las 72 horas según respuesta funcional y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y las medidas invasivas se subordinan a las preferencias del enfermo.»</w:t>
      </w:r>
    </w:p>
    <w:p>
      <w:pPr>
        <w:pStyle w:val="BodyJ"/>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dímero-D. Treinta y seis horas más tarde, la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criterio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PERC no cumplido (frecuencia cardiaca, saturación, estrógenos): no procede el alta sin estudiar embolia pulmonar. Dímero-D ahora; angioTAC si resulta elevado o la probabilidad clínica es intermedia. Reconsulta inmediata, por escrito,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(diagnostic overshadowing):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el caso donde el examen «poco confiable» obliga a más objetividad, no a menos: laboratorio e imagen deciden lo que la palpación no puede.</w:t>
      </w:r>
    </w:p>
    <w:p>
      <w:pPr>
        <w:pStyle w:val="BodyJ"/>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en consecuencia, una decisión epistémica antes que administrativa.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se propone aquí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Tres palancas: la visita, la revisión de errores y la ficha</w:t>
      </w:r>
    </w:p>
    <w:p>
      <w:pPr>
        <w:pStyle w:val="BodyJ"/>
      </w:pPr>
      <w:r>
        <w:t xml:space="preserve">Las tres palancas prometidas al inicio son, por orden de costo, la visita, la revisión de errores y la ficha. 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pPr>
      <w:r>
        <w:t xml:space="preserve">La entrega de turno debe transmitir tareas epistémicas, no sólo tratamientos. «Pendiente observar si…» y «si ocurre X, reabrir Y» son componentes de seguridad.</w:t>
      </w:r>
    </w:p>
    <w:p>
      <w:pPr>
        <w:pStyle w:val="BodyJ"/>
      </w:pPr>
      <w:r>
        <w:t xml:space="preserve">La segunda palanca es la revisión de errores, y tiene una forma pública y otra privada. 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BodyJ"/>
      </w:pPr>
      <w:r>
        <w:t xml:space="preserve">La forma privada es el feedback diagnóstico: 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sobreconfianza en un dominio, subestimación de recurrencias, tendencia a tratar cultivos sin síndrome o dificultad para reconocer diagnósticos funcionales. El Taller 5 es su versión mínima. El portafolio como instrumento docente tiene además desarrollo propio en la educación médica latinoamericana, incluida la validación en español de instrumentos para evaluar su uso (Riquelme et al., 2011).</w:t>
      </w:r>
    </w:p>
    <w:p>
      <w:pPr>
        <w:pStyle w:val="BodyJ"/>
      </w:pPr>
      <w:r>
        <w:t xml:space="preserve">La tercera palanca es la ficha, y su primera forma es la plantilla. Las plantillas de ficha pueden apoyar o degradar el pensamiento. Campos obligatorios interminables producen copia; campos demasiado libres ocultan información crítica. Una plantilla equilibrada incluye problema, hechos nuevos, evaluación con grado de certeza, plan y criterios de reapertura.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ya descrito en capítulos anteriores,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al contenido generado que carece de sentido o es infiel a su fuente, sea un documento o, en las preguntas abiertas, el conocimiento del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se le pide a cualquier afirmación clínica — ¿funciona aquí, con estos pacientes, con esta prevalencia? Una herramienta no hereda la validez de su marca, y la validación externa no es un trámite, sino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numPr>
          <w:ilvl w:val="0"/>
          <w:numId w:val="6"/>
        </w:numPr>
      </w:pPr>
      <w:r>
        <w:rPr>
          <w:b/>
          <w:bCs/>
        </w:rPr>
        <w:t xml:space="preserve">Confabulación.</w:t>
      </w:r>
      <w:r>
        <w:t xml:space="preserve"> Contenido que contradice la fuente o que ésta no permite verificar,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el clínico,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 La Figura 15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4276725"/>
                          </a:xfrm>
                          <a:prstGeom prst="rect">
                            <a:avLst/>
                          </a:prstGeom>
                        </pic:spPr>
                      </pic:pic>
                    </a:graphicData>
                  </a:graphic>
                </wp:inline>
              </w:drawing>
            </w:r>
          </w:p>
          <w:p>
            <w:pPr>
              <w:pStyle w:val="Caption"/>
            </w:pPr>
            <w:r>
              <w:t xml:space="preserve">Figura 15. Parentescos: cada riesgo de la IA clínica junto al sesgo ya descrito y el capítulo donde vive. Ningún riesgo es nuevo; la novedad es el amplificador.</w:t>
            </w:r>
          </w:p>
        </w:tc>
      </w:tr>
    </w:tbl>
    <w:p>
      <w:pPr>
        <w:spacing w:after="60"/>
      </w:pP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Escribir la nota clínica no es registrar un pensamiento terminado: seleccionar qué dato importa, jerarquizarlo y estructurarlo es parte del proceso mismo de pensar — la ficha como instrumento de pensamiento. De ahí que la automatización completa de la escritura clínica no ahorre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(automation paradox) — cuanto más competente es el sistema, menos ejercita el humano las habilidades necesarias para detectar cuándo falla, que es cuando más se lo necesita (Abdulnour et al., 2026). La respuesta pedagógica propuesta frente a ella coincide, casi palabra por palabra, con lo que vienen pidiendo los capítulos anteriores: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pPr>
      <w:r>
        <w:t xml:space="preserve">De ahí una regla de diseño, dicha en el vocabulario de las capas. Un escriba ambiental (ambient scribe) puede automatizar la capa H —qué se dijo, qué se midió, con hora y fuente— y hacerlo mejor que un humano cansado.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escrita en los capítulos anteriores.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el capítulo 14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el lector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sino gimnasio específico. Entrena la precisión léxica — el poeta agoniza entre dos palabras casi iguales, que es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aquí se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El mapa del comienzo (Figura 1) prometió tres hilos: las capas del conocimiento, el camino de la conjetura a la humildad y la lengua que conserva o borra las capas. Tres nudos de ese tejido quedan a la vista. El primero va de la abducción a la humildad. Conjeturar, vigilar la conjetura y no cerrarla antes de tiempo son tres momentos de un mismo gesto, y el capítulo 14 le dio su nombre antiguo, phronesis. Lo que puede agregarse aquí es el orden de los fracasos: sin conjetura no hay diagnóstico; sin vigilancia, el diagnóstico se vuelve certeza; sin humildad, la certeza se vuelve ficha.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entrena cada capítulo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 El Apéndice C los convierte en un plan de tres meses para un servicio: el lenguaje primero, la pausa en la visita después, la ficha y el circuito de aprendizaje al final.</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numPr>
          <w:ilvl w:val="0"/>
          <w:numId w:val="6"/>
        </w:numPr>
      </w:pPr>
      <w:r>
        <w:t xml:space="preserve">Estado del razonador cuando pueda pesar: hora, horas de turno, sueño, ánimo, preocupación ajena al caso.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demostrado.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la inferencia con su grado, la incertidumbre crítica y el efecto sobre la conducta.</w:t>
      </w:r>
    </w:p>
    <w:p>
      <w:pPr>
        <w:pStyle w:val="BodyJ"/>
      </w:pPr>
      <w:r>
        <w:rPr>
          <w:b/>
          <w:bCs/>
        </w:rPr>
        <w:t xml:space="preserve">Plantilla condensada</w:t>
      </w:r>
      <w:r>
        <w:t xml:space="preserve"> (una línea por campo, para la nota difícil): pregunta operativa · hechos decisivos · inferencia principal y grado · alternativa que cambiaría la conducta · incertidumbre crítica · contexto global · decisión y razón · criterio de reapertura.</w:t>
      </w:r>
    </w:p>
    <w:p>
      <w:pPr>
        <w:pStyle w:val="BodyJ"/>
      </w:pPr>
      <w:r>
        <w:rPr>
          <w:b/>
          <w:bCs/>
        </w:rPr>
        <w:t xml:space="preserve">Versión de sesenta segundos</w:t>
      </w:r>
      <w:r>
        <w:t xml:space="preserve"> (para casos de rutina o alta presión de tiempo): las cuatro preguntas de la caja del capítulo 15, reproducidas en la tarjeta de la última página.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8"/>
        </w:numPr>
      </w:pPr>
      <w:r>
        <w:t xml:space="preserve">¿Puedo describir el caso sin usar el diagnóstico actual?</w:t>
      </w:r>
    </w:p>
    <w:p>
      <w:pPr>
        <w:pStyle w:val="BodyJ"/>
        <w:numPr>
          <w:ilvl w:val="0"/>
          <w:numId w:val="28"/>
        </w:numPr>
      </w:pPr>
      <w:r>
        <w:t xml:space="preserve">¿Qué dato sostiene más mi conclusión?</w:t>
      </w:r>
    </w:p>
    <w:p>
      <w:pPr>
        <w:pStyle w:val="BodyJ"/>
        <w:numPr>
          <w:ilvl w:val="0"/>
          <w:numId w:val="28"/>
        </w:numPr>
      </w:pPr>
      <w:r>
        <w:t xml:space="preserve">¿Ese dato es específico o sólo compatible?</w:t>
      </w:r>
    </w:p>
    <w:p>
      <w:pPr>
        <w:pStyle w:val="BodyJ"/>
        <w:numPr>
          <w:ilvl w:val="0"/>
          <w:numId w:val="28"/>
        </w:numPr>
      </w:pPr>
      <w:r>
        <w:t xml:space="preserve">¿Qué hallazgo no encaja?</w:t>
      </w:r>
    </w:p>
    <w:p>
      <w:pPr>
        <w:pStyle w:val="BodyJ"/>
        <w:numPr>
          <w:ilvl w:val="0"/>
          <w:numId w:val="28"/>
        </w:numPr>
      </w:pPr>
      <w:r>
        <w:t xml:space="preserve">¿Qué información estoy suponiendo que fue verificada?</w:t>
      </w:r>
    </w:p>
    <w:p>
      <w:pPr>
        <w:pStyle w:val="BodyJ"/>
        <w:numPr>
          <w:ilvl w:val="0"/>
          <w:numId w:val="28"/>
        </w:numPr>
      </w:pPr>
      <w:r>
        <w:t xml:space="preserve">¿Qué alternativa cambiaría la conducta inmediata?</w:t>
      </w:r>
    </w:p>
    <w:p>
      <w:pPr>
        <w:pStyle w:val="BodyJ"/>
        <w:numPr>
          <w:ilvl w:val="0"/>
          <w:numId w:val="28"/>
        </w:numPr>
      </w:pPr>
      <w:r>
        <w:t xml:space="preserve">¿Estoy usando la respuesta al tratamiento como prueba causal demasiado fuerte?</w:t>
      </w:r>
    </w:p>
    <w:p>
      <w:pPr>
        <w:pStyle w:val="BodyJ"/>
        <w:numPr>
          <w:ilvl w:val="0"/>
          <w:numId w:val="28"/>
        </w:numPr>
      </w:pPr>
      <w:r>
        <w:t xml:space="preserve">¿La gravedad es coherente con mi explicación?</w:t>
      </w:r>
    </w:p>
    <w:p>
      <w:pPr>
        <w:pStyle w:val="BodyJ"/>
        <w:numPr>
          <w:ilvl w:val="0"/>
          <w:numId w:val="28"/>
        </w:numPr>
      </w:pPr>
      <w:r>
        <w:t xml:space="preserve">¿Existe reconsulta, recurrencia o evolución inesperada?</w:t>
      </w:r>
    </w:p>
    <w:p>
      <w:pPr>
        <w:pStyle w:val="BodyJ"/>
        <w:numPr>
          <w:ilvl w:val="0"/>
          <w:numId w:val="28"/>
        </w:numPr>
      </w:pPr>
      <w:r>
        <w:t xml:space="preserve">¿Mi confianza proviene de evidencia o de familiaridad y fluidez?</w:t>
      </w:r>
    </w:p>
    <w:p>
      <w:pPr>
        <w:pStyle w:val="BodyJ"/>
        <w:numPr>
          <w:ilvl w:val="0"/>
          <w:numId w:val="28"/>
        </w:numPr>
      </w:pPr>
      <w:r>
        <w:t xml:space="preserve">¿Cuál es el costo de esperar y cuál el costo de actuar?</w:t>
      </w:r>
    </w:p>
    <w:p>
      <w:pPr>
        <w:pStyle w:val="BodyJ"/>
        <w:numPr>
          <w:ilvl w:val="0"/>
          <w:numId w:val="28"/>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sesenta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reapertura».</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3"/>
        <w:spacing w:after="120" w:before="280"/>
      </w:pPr>
      <w:r>
        <w:rPr>
          <w:rFonts w:ascii="Georgia" w:cs="Georgia" w:eastAsia="Georgia" w:hAnsi="Georgia"/>
          <w:b/>
          <w:bCs/>
          <w:color w:val="2B2B2B"/>
          <w:sz w:val="25"/>
          <w:szCs w:val="25"/>
        </w:rPr>
        <w:t xml:space="preserve">Hoja de ruta para el docente</w:t>
      </w:r>
    </w:p>
    <w:p>
      <w:pPr>
        <w:pStyle w:val="BodyJ"/>
      </w:pPr>
      <w:r>
        <w:t xml:space="preserve">Qué talleres usar con quién, en el orden en que rinden más. Cada uno cabe en una reunión de treinta minutos.</w:t>
      </w:r>
    </w:p>
    <w:p>
      <w:pPr>
        <w:pStyle w:val="BodyJ"/>
        <w:numPr>
          <w:ilvl w:val="0"/>
          <w:numId w:val="6"/>
        </w:numPr>
      </w:pPr>
      <w:r>
        <w:rPr>
          <w:b/>
          <w:bCs/>
        </w:rPr>
        <w:t xml:space="preserve">Interno y residente de primer año</w:t>
      </w:r>
      <w:r>
        <w:t xml:space="preserve">: Taller 1 (qué tan hecho es este hecho), Taller 2 (la sentencia del TAC), Taller 4 (cinco frases para reescribir), Taller 10 (frecuencias naturales), Taller 11 (la observación activa, por escrito) y Taller 12B (conjugue los verbos). Enseñan el léxico y las capas antes que el juicio.</w:t>
      </w:r>
    </w:p>
    <w:p>
      <w:pPr>
        <w:pStyle w:val="BodyJ"/>
        <w:numPr>
          <w:ilvl w:val="0"/>
          <w:numId w:val="6"/>
        </w:numPr>
      </w:pPr>
      <w:r>
        <w:rPr>
          <w:b/>
          <w:bCs/>
        </w:rPr>
        <w:t xml:space="preserve">Residente de segundo año en adelante</w:t>
      </w:r>
      <w:r>
        <w:t xml:space="preserve">: Taller 3 (el mapa de lo que no sabemos), Taller 5 (calibración personal, sostenido tres meses), Taller 7 (reconstruir una trayectoria), Taller 8 (presentar sin la etiqueta), Taller 12 (desfosilizar una evolución), Taller 13 (traducir un desacuerdo) y Taller 15 (su paciente, esta semana). Trabajan sobre el propio razonamiento y sobre pacientes reales.</w:t>
      </w:r>
    </w:p>
    <w:p>
      <w:pPr>
        <w:pStyle w:val="BodyJ"/>
        <w:numPr>
          <w:ilvl w:val="0"/>
          <w:numId w:val="6"/>
        </w:numPr>
      </w:pPr>
      <w:r>
        <w:rPr>
          <w:b/>
          <w:bCs/>
        </w:rPr>
        <w:t xml:space="preserve">Jefe de servicio, docente y comité</w:t>
      </w:r>
      <w:r>
        <w:t xml:space="preserve">: Taller 10B (las cuatro casillas), Taller 16 (rediseñar la visita de sala), Taller 17 (la autopsia de una respuesta de IA) y la reunión de morbimortalidad en el formato de la viñeta 6. Cambian el sistema, no sólo al que razona.</w:t>
      </w:r>
    </w:p>
    <w:p>
      <w:pPr>
        <w:pStyle w:val="BodyJ"/>
        <w:numPr>
          <w:ilvl w:val="0"/>
          <w:numId w:val="6"/>
        </w:numPr>
      </w:pPr>
      <w:r>
        <w:rPr>
          <w:b/>
          <w:bCs/>
        </w:rPr>
        <w:t xml:space="preserve">Para todos, al cierre de un ciclo</w:t>
      </w:r>
      <w:r>
        <w:t xml:space="preserve">: Taller 2B (cinco hipótesis en tres minutos) y Taller 18 (la prueba de Parra), que entrenan la generación y el oído.</w:t>
      </w:r>
    </w:p>
    <w:p>
      <w:pPr>
        <w:pStyle w:val="BodyJ"/>
      </w:pPr>
      <w:r>
        <w:t xml:space="preserve">Secuencia mínima para un servicio que empieza, alineada con las fases de esta guía: Taller 4 en la semana 1, Taller 11 en la semana 3, Taller 8 en la visita de sala del mes 2 y Taller 12 en el mes 3; el resto, a demanda. Los «errores típicos» anotados en los Talleres 7, 8, 10 y 12B son lo que los grupos suelen responder primero; mostrarlos antes de la solución enseña por contraste.</w:t>
      </w:r>
    </w:p>
    <w:p>
      <w:pPr>
        <w:pStyle w:val="Heading1"/>
        <w:pageBreakBefore/>
        <w:spacing w:after="320" w:before="720"/>
      </w:pPr>
      <w:r>
        <w:rPr>
          <w:rFonts w:ascii="Georgia" w:cs="Georgia" w:eastAsia="Georgia" w:hAnsi="Georgia"/>
          <w:b/>
          <w:bCs/>
          <w:color w:val="2B2B2B"/>
          <w:sz w:val="34"/>
          <w:szCs w:val="34"/>
        </w:rPr>
        <w:t xml:space="preserve">Apéndice D. Las preguntas para la próxima visita</w:t>
      </w:r>
    </w:p>
    <w:p>
      <w:pPr>
        <w:pStyle w:val="BodyJ"/>
      </w:pPr>
      <w:r>
        <w:t xml:space="preserve">Las 57 preguntas con que cierran la Introducción y los dieciocho capítulos, reunidas para la visita de sala, la entrega de turno o el portafolio de calibración del Taller 5. Tres por capítulo; una por semana basta. Ninguna pide más de dos minutos y todas se responden con un paciente concreto.</w:t>
      </w:r>
    </w:p>
    <w:p>
      <w:pPr>
        <w:pStyle w:val="BodyJ"/>
      </w:pPr>
      <w:r>
        <w:rPr>
          <w:b/>
          <w:bCs/>
        </w:rPr>
        <w:t xml:space="preserve">Introducción</w:t>
      </w:r>
    </w:p>
    <w:p>
      <w:pPr>
        <w:pStyle w:val="BodyJ"/>
        <w:numPr>
          <w:ilvl w:val="0"/>
          <w:numId w:val="6"/>
        </w:numPr>
      </w:pPr>
      <w:r>
        <w:t xml:space="preserve">En la última nota que escribí, ¿qué afirmación era un dato y cuál era mi interpretación del dato?</w:t>
      </w:r>
    </w:p>
    <w:p>
      <w:pPr>
        <w:pStyle w:val="BodyJ"/>
        <w:numPr>
          <w:ilvl w:val="0"/>
          <w:numId w:val="6"/>
        </w:numPr>
      </w:pPr>
      <w:r>
        <w:t xml:space="preserve">¿Qué frase de la ficha de mi paciente actual heredé de otra nota sin verificar su origen?</w:t>
      </w:r>
    </w:p>
    <w:p>
      <w:pPr>
        <w:pStyle w:val="BodyJ"/>
        <w:numPr>
          <w:ilvl w:val="0"/>
          <w:numId w:val="6"/>
        </w:numPr>
      </w:pPr>
      <w:r>
        <w:t xml:space="preserve">¿Cuál es la decisión concreta que este caso me exige hoy, y qué me haría cambiarla?</w:t>
      </w:r>
    </w:p>
    <w:p>
      <w:pPr>
        <w:pStyle w:val="BodyJ"/>
      </w:pPr>
      <w:r>
        <w:rPr>
          <w:b/>
          <w:bCs/>
        </w:rPr>
        <w:t xml:space="preserve">Capítulo 1. El hecho clínico: observación, medición y procedencia</w:t>
      </w:r>
    </w:p>
    <w:p>
      <w:pPr>
        <w:pStyle w:val="BodyJ"/>
        <w:numPr>
          <w:ilvl w:val="0"/>
          <w:numId w:val="6"/>
        </w:numPr>
      </w:pPr>
      <w:r>
        <w:t xml:space="preserve">¿Cuál es el dato más decisivo de mi evaluación de hoy y quién lo produjo realmente?</w:t>
      </w:r>
    </w:p>
    <w:p>
      <w:pPr>
        <w:pStyle w:val="BodyJ"/>
        <w:numPr>
          <w:ilvl w:val="0"/>
          <w:numId w:val="6"/>
        </w:numPr>
      </w:pPr>
      <w:r>
        <w:t xml:space="preserve">¿Qué «hallazgo negativo» estoy tratando como evidencia de ausencia sin preguntarme por la sensibilidad de la búsqueda?</w:t>
      </w:r>
    </w:p>
    <w:p>
      <w:pPr>
        <w:pStyle w:val="BodyJ"/>
        <w:numPr>
          <w:ilvl w:val="0"/>
          <w:numId w:val="6"/>
        </w:numPr>
      </w:pPr>
      <w:r>
        <w:t xml:space="preserve">¿Qué dijo mi paciente con sus propias palabras que yo ya traduje a jerga?</w:t>
      </w:r>
    </w:p>
    <w:p>
      <w:pPr>
        <w:pStyle w:val="BodyJ"/>
      </w:pPr>
      <w:r>
        <w:rPr>
          <w:b/>
          <w:bCs/>
        </w:rPr>
        <w:t xml:space="preserve">Capítulo 2. Inferir: del signo a la explicación</w:t>
      </w:r>
    </w:p>
    <w:p>
      <w:pPr>
        <w:pStyle w:val="BodyJ"/>
        <w:numPr>
          <w:ilvl w:val="0"/>
          <w:numId w:val="6"/>
        </w:numPr>
      </w:pPr>
      <w:r>
        <w:t xml:space="preserve">¿Cuál es el dato más difícil de explicar con mi hipótesis principal?</w:t>
      </w:r>
    </w:p>
    <w:p>
      <w:pPr>
        <w:pStyle w:val="BodyJ"/>
        <w:numPr>
          <w:ilvl w:val="0"/>
          <w:numId w:val="6"/>
        </w:numPr>
      </w:pPr>
      <w:r>
        <w:t xml:space="preserve">¿Qué explicación rival cambiaría mi conducta hoy, y qué me costaría buscarla?</w:t>
      </w:r>
    </w:p>
    <w:p>
      <w:pPr>
        <w:pStyle w:val="BodyJ"/>
        <w:numPr>
          <w:ilvl w:val="0"/>
          <w:numId w:val="6"/>
        </w:numPr>
      </w:pPr>
      <w:r>
        <w:t xml:space="preserve">¿Qué predicción concreta hace mi diagnóstico para las próximas 24 horas?</w:t>
      </w:r>
    </w:p>
    <w:p>
      <w:pPr>
        <w:pStyle w:val="BodyJ"/>
      </w:pPr>
      <w:r>
        <w:rPr>
          <w:b/>
          <w:bCs/>
        </w:rPr>
        <w:t xml:space="preserve">Capítulo 3. Incertidumbre: una condición estructural</w:t>
      </w:r>
    </w:p>
    <w:p>
      <w:pPr>
        <w:pStyle w:val="BodyJ"/>
        <w:numPr>
          <w:ilvl w:val="0"/>
          <w:numId w:val="6"/>
        </w:numPr>
      </w:pPr>
      <w:r>
        <w:t xml:space="preserve">De todo lo que no sé de este paciente, ¿qué duda cambiaría mi conducta si se resolviera?</w:t>
      </w:r>
    </w:p>
    <w:p>
      <w:pPr>
        <w:pStyle w:val="BodyJ"/>
        <w:numPr>
          <w:ilvl w:val="0"/>
          <w:numId w:val="6"/>
        </w:numPr>
      </w:pPr>
      <w:r>
        <w:t xml:space="preserve">¿Cuál es la duda pequeña con consecuencia catastrófica que exige vigilancia explícita?</w:t>
      </w:r>
    </w:p>
    <w:p>
      <w:pPr>
        <w:pStyle w:val="BodyJ"/>
        <w:numPr>
          <w:ilvl w:val="0"/>
          <w:numId w:val="6"/>
        </w:numPr>
      </w:pPr>
      <w:r>
        <w:t xml:space="preserve">¿Qué parte de mi plan depende de valores del paciente que aún no he preguntado?</w:t>
      </w:r>
    </w:p>
    <w:p>
      <w:pPr>
        <w:pStyle w:val="BodyJ"/>
      </w:pPr>
      <w:r>
        <w:rPr>
          <w:b/>
          <w:bCs/>
        </w:rPr>
        <w:t xml:space="preserve">Capítulo 4. Lenguaje clínico y densidad epistémica</w:t>
      </w:r>
    </w:p>
    <w:p>
      <w:pPr>
        <w:pStyle w:val="BodyJ"/>
        <w:numPr>
          <w:ilvl w:val="0"/>
          <w:numId w:val="6"/>
        </w:numPr>
      </w:pPr>
      <w:r>
        <w:t xml:space="preserve">En mi última evolución, ¿qué verbo causal («secundario a», «por», «complicado por») no podría defender si me lo preguntaran?</w:t>
      </w:r>
    </w:p>
    <w:p>
      <w:pPr>
        <w:pStyle w:val="BodyJ"/>
        <w:numPr>
          <w:ilvl w:val="0"/>
          <w:numId w:val="6"/>
        </w:numPr>
      </w:pPr>
      <w:r>
        <w:t xml:space="preserve">¿Escribí «se descarta» donde sólo tenía «sin evidencia actual de»?</w:t>
      </w:r>
    </w:p>
    <w:p>
      <w:pPr>
        <w:pStyle w:val="BodyJ"/>
        <w:numPr>
          <w:ilvl w:val="0"/>
          <w:numId w:val="6"/>
        </w:numPr>
      </w:pPr>
      <w:r>
        <w:t xml:space="preserve">Si otro médico leyera sólo mi frase final, ¿sabría qué vigilar y qué me haría cambiar?</w:t>
      </w:r>
    </w:p>
    <w:p>
      <w:pPr>
        <w:pStyle w:val="BodyJ"/>
      </w:pPr>
      <w:r>
        <w:rPr>
          <w:b/>
          <w:bCs/>
        </w:rPr>
        <w:t xml:space="preserve">Capítulo 5. Metacognición: monitorear y regular el propio juicio</w:t>
      </w:r>
    </w:p>
    <w:p>
      <w:pPr>
        <w:pStyle w:val="BodyJ"/>
        <w:numPr>
          <w:ilvl w:val="0"/>
          <w:numId w:val="6"/>
        </w:numPr>
      </w:pPr>
      <w:r>
        <w:t xml:space="preserve">En mi diagnóstico más firme de hoy, ¿mi confianza viene de la evidencia o de la fluidez con que reconocí el patrón?</w:t>
      </w:r>
    </w:p>
    <w:p>
      <w:pPr>
        <w:pStyle w:val="BodyJ"/>
        <w:numPr>
          <w:ilvl w:val="0"/>
          <w:numId w:val="6"/>
        </w:numPr>
      </w:pPr>
      <w:r>
        <w:t xml:space="preserve">¿Qué señal afectiva (prisa, irritación, alivio) está influyendo en mi evaluación de este caso?</w:t>
      </w:r>
    </w:p>
    <w:p>
      <w:pPr>
        <w:pStyle w:val="BodyJ"/>
        <w:numPr>
          <w:ilvl w:val="0"/>
          <w:numId w:val="6"/>
        </w:numPr>
      </w:pPr>
      <w:r>
        <w:t xml:space="preserve">¿Cuál fue mi última predicción concreta —un cultivo, una imagen, una evolución— y la contrasté con el resultado cuando llegó, o sólo recuerdo las que acerté?</w:t>
      </w:r>
    </w:p>
    <w:p>
      <w:pPr>
        <w:pStyle w:val="BodyJ"/>
      </w:pPr>
      <w:r>
        <w:rPr>
          <w:b/>
          <w:bCs/>
        </w:rPr>
        <w:t xml:space="preserve">Capítulo 6. Pericia, intuición y conocimiento tácito</w:t>
      </w:r>
    </w:p>
    <w:p>
      <w:pPr>
        <w:pStyle w:val="BodyJ"/>
        <w:numPr>
          <w:ilvl w:val="0"/>
          <w:numId w:val="6"/>
        </w:numPr>
      </w:pPr>
      <w:r>
        <w:t xml:space="preserve">¿En qué dominio tengo suficiente experiencia con feedback real como para confiar en mi primera impresión?</w:t>
      </w:r>
    </w:p>
    <w:p>
      <w:pPr>
        <w:pStyle w:val="BodyJ"/>
        <w:numPr>
          <w:ilvl w:val="0"/>
          <w:numId w:val="6"/>
        </w:numPr>
      </w:pPr>
      <w:r>
        <w:t xml:space="preserve">La última vez que «vi» un diagnóstico al instante, ¿qué características lo activaron? ¿Puedo nombrarlas?</w:t>
      </w:r>
    </w:p>
    <w:p>
      <w:pPr>
        <w:pStyle w:val="BodyJ"/>
        <w:numPr>
          <w:ilvl w:val="0"/>
          <w:numId w:val="6"/>
        </w:numPr>
      </w:pPr>
      <w:r>
        <w:t xml:space="preserve">¿Qué caso reciente forcé a encajar en un patrón conocido cuando algo no calzaba?</w:t>
      </w:r>
    </w:p>
    <w:p>
      <w:pPr>
        <w:pStyle w:val="BodyJ"/>
      </w:pPr>
      <w:r>
        <w:rPr>
          <w:b/>
          <w:bCs/>
        </w:rPr>
        <w:t xml:space="preserve">Capítulo 7. Error, sesgo y ecología del diagnóstico</w:t>
      </w:r>
    </w:p>
    <w:p>
      <w:pPr>
        <w:pStyle w:val="BodyJ"/>
        <w:numPr>
          <w:ilvl w:val="0"/>
          <w:numId w:val="6"/>
        </w:numPr>
      </w:pPr>
      <w:r>
        <w:t xml:space="preserve">¿Qué frase heredada estoy tratando como hecho en mi paciente más complejo?</w:t>
      </w:r>
    </w:p>
    <w:p>
      <w:pPr>
        <w:pStyle w:val="BodyJ"/>
        <w:numPr>
          <w:ilvl w:val="0"/>
          <w:numId w:val="6"/>
        </w:numPr>
      </w:pPr>
      <w:r>
        <w:t xml:space="preserve">¿Qué dato «confirmatorio» de hoy confirmaría también la hipótesis rival?</w:t>
      </w:r>
    </w:p>
    <w:p>
      <w:pPr>
        <w:pStyle w:val="BodyJ"/>
        <w:numPr>
          <w:ilvl w:val="0"/>
          <w:numId w:val="6"/>
        </w:numPr>
      </w:pPr>
      <w:r>
        <w:t xml:space="preserve">¿Qué evolución atípica estoy reinterpretando para no reabrir el caso?</w:t>
      </w:r>
    </w:p>
    <w:p>
      <w:pPr>
        <w:pStyle w:val="BodyJ"/>
      </w:pPr>
      <w:r>
        <w:rPr>
          <w:b/>
          <w:bCs/>
        </w:rPr>
        <w:t xml:space="preserve">Capítulo 8. Desacelerar: cuándo, en qué estado y con qué mente</w:t>
      </w:r>
    </w:p>
    <w:p>
      <w:pPr>
        <w:pStyle w:val="BodyJ"/>
        <w:numPr>
          <w:ilvl w:val="0"/>
          <w:numId w:val="6"/>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6"/>
        </w:numPr>
      </w:pPr>
      <w:r>
        <w:t xml:space="preserve">¿Puedo presentar mi caso más complejo sin usar su etiqueta diagnóstica?</w:t>
      </w:r>
    </w:p>
    <w:p>
      <w:pPr>
        <w:pStyle w:val="BodyJ"/>
        <w:numPr>
          <w:ilvl w:val="0"/>
          <w:numId w:val="6"/>
        </w:numPr>
      </w:pPr>
      <w:r>
        <w:t xml:space="preserve">En mi última alta con diagnóstico incierto, ¿dejé escrito qué debería motivar reconsulta?</w:t>
      </w:r>
    </w:p>
    <w:p>
      <w:pPr>
        <w:pStyle w:val="BodyJ"/>
      </w:pPr>
      <w:r>
        <w:rPr>
          <w:b/>
          <w:bCs/>
        </w:rPr>
        <w:t xml:space="preserve">Capítulo 9. La evidencia y el caso singular</w:t>
      </w:r>
    </w:p>
    <w:p>
      <w:pPr>
        <w:pStyle w:val="BodyJ"/>
        <w:numPr>
          <w:ilvl w:val="0"/>
          <w:numId w:val="6"/>
        </w:numPr>
      </w:pPr>
      <w:r>
        <w:t xml:space="preserve">Para mi indicación más importante de hoy: ¿qué demostró exactamente el estudio que la respalda, y en qué se parece mi paciente a esa población?</w:t>
      </w:r>
    </w:p>
    <w:p>
      <w:pPr>
        <w:pStyle w:val="BodyJ"/>
        <w:numPr>
          <w:ilvl w:val="0"/>
          <w:numId w:val="6"/>
        </w:numPr>
      </w:pPr>
      <w:r>
        <w:t xml:space="preserve">El último ensayo «negativo» que cité: ¿mostró ausencia de efecto o ausencia de significación — y traté esa diferencia como si no existiera?</w:t>
      </w:r>
    </w:p>
    <w:p>
      <w:pPr>
        <w:pStyle w:val="BodyJ"/>
        <w:numPr>
          <w:ilvl w:val="0"/>
          <w:numId w:val="6"/>
        </w:numPr>
      </w:pPr>
      <w:r>
        <w:t xml:space="preserve">¿Qué conocimiento local (resistencias, tiempos, capacidad de seguimiento) está modificando mi decisión sin estar declarado en ninguna parte?</w:t>
      </w:r>
    </w:p>
    <w:p>
      <w:pPr>
        <w:pStyle w:val="BodyJ"/>
      </w:pPr>
      <w:r>
        <w:rPr>
          <w:b/>
          <w:bCs/>
        </w:rPr>
        <w:t xml:space="preserve">Capítulo 10. Decidir sin certeza: umbrales, valores y bioética</w:t>
      </w:r>
    </w:p>
    <w:p>
      <w:pPr>
        <w:pStyle w:val="BodyJ"/>
        <w:numPr>
          <w:ilvl w:val="0"/>
          <w:numId w:val="6"/>
        </w:numPr>
      </w:pPr>
      <w:r>
        <w:t xml:space="preserve">¿Cuál es el umbral implícito de mi decisión: qué probabilidad de estar equivocado la haría cambiar?</w:t>
      </w:r>
    </w:p>
    <w:p>
      <w:pPr>
        <w:pStyle w:val="BodyJ"/>
        <w:numPr>
          <w:ilvl w:val="0"/>
          <w:numId w:val="6"/>
        </w:numPr>
      </w:pPr>
      <w:r>
        <w:t xml:space="preserve">¿Estoy exigiendo certeza diagnóstica donde bastaría compromiso práctico, o actuando para no tolerar una duda?</w:t>
      </w:r>
    </w:p>
    <w:p>
      <w:pPr>
        <w:pStyle w:val="BodyJ"/>
        <w:numPr>
          <w:ilvl w:val="0"/>
          <w:numId w:val="6"/>
        </w:numPr>
      </w:pPr>
      <w:r>
        <w:t xml:space="preserve">De mi paciente más grave de hoy: ¿sé cómo funcionaba antes de enfermar, con quién vive y qué espera del tratamiento — y está escrito en alguna parte?</w:t>
      </w:r>
    </w:p>
    <w:p>
      <w:pPr>
        <w:pStyle w:val="BodyJ"/>
      </w:pPr>
      <w:r>
        <w:rPr>
          <w:b/>
          <w:bCs/>
        </w:rPr>
        <w:t xml:space="preserve">Capítulo 11. Temporalidad, trayectoria y razonamiento contrafactual</w:t>
      </w:r>
    </w:p>
    <w:p>
      <w:pPr>
        <w:pStyle w:val="BodyJ"/>
        <w:numPr>
          <w:ilvl w:val="0"/>
          <w:numId w:val="6"/>
        </w:numPr>
      </w:pPr>
      <w:r>
        <w:t xml:space="preserve">«Está mejor»: ¿mejor que cuándo, en qué variable y a qué velocidad?</w:t>
      </w:r>
    </w:p>
    <w:p>
      <w:pPr>
        <w:pStyle w:val="BodyJ"/>
        <w:numPr>
          <w:ilvl w:val="0"/>
          <w:numId w:val="6"/>
        </w:numPr>
      </w:pPr>
      <w:r>
        <w:t xml:space="preserve">¿Qué predijo mi diagnóstico hace 48 horas, y la evolución lo confirmó o lo desmintió?</w:t>
      </w:r>
    </w:p>
    <w:p>
      <w:pPr>
        <w:pStyle w:val="BodyJ"/>
        <w:numPr>
          <w:ilvl w:val="0"/>
          <w:numId w:val="6"/>
        </w:numPr>
      </w:pPr>
      <w:r>
        <w:t xml:space="preserve">Mi «observación» de hoy, ¿tiene plazo, variables y criterio de salida, o es una espera sin diseño?</w:t>
      </w:r>
    </w:p>
    <w:p>
      <w:pPr>
        <w:pStyle w:val="BodyJ"/>
      </w:pPr>
      <w:r>
        <w:rPr>
          <w:b/>
          <w:bCs/>
        </w:rPr>
        <w:t xml:space="preserve">Capítulo 12. La ficha clínica como instrumento de pensamiento</w:t>
      </w:r>
    </w:p>
    <w:p>
      <w:pPr>
        <w:pStyle w:val="BodyJ"/>
        <w:numPr>
          <w:ilvl w:val="0"/>
          <w:numId w:val="6"/>
        </w:numPr>
      </w:pPr>
      <w:r>
        <w:t xml:space="preserve">¿Qué párrafo de mi evolución de hoy es copia de ayer, y sigue siendo verdad?</w:t>
      </w:r>
    </w:p>
    <w:p>
      <w:pPr>
        <w:pStyle w:val="BodyJ"/>
        <w:numPr>
          <w:ilvl w:val="0"/>
          <w:numId w:val="6"/>
        </w:numPr>
      </w:pPr>
      <w:r>
        <w:t xml:space="preserve">Si yo no estuviera mañana, ¿el médico que me reemplace sabría por mi nota qué vigilar y qué reabriría el caso?</w:t>
      </w:r>
    </w:p>
    <w:p>
      <w:pPr>
        <w:pStyle w:val="BodyJ"/>
        <w:numPr>
          <w:ilvl w:val="0"/>
          <w:numId w:val="6"/>
        </w:numPr>
      </w:pPr>
      <w:r>
        <w:t xml:space="preserve">¿Mi lista de problemas distingue hechos, hipótesis, acciones pendientes e incertidumbres, o todo tiene el mismo estatus?</w:t>
      </w:r>
    </w:p>
    <w:p>
      <w:pPr>
        <w:pStyle w:val="BodyJ"/>
      </w:pPr>
      <w:r>
        <w:rPr>
          <w:b/>
          <w:bCs/>
        </w:rPr>
        <w:t xml:space="preserve">Capítulo 13. Pensar con otros: equipos, desacuerdo y comunicación de la incertidumbre</w:t>
      </w:r>
    </w:p>
    <w:p>
      <w:pPr>
        <w:pStyle w:val="BodyJ"/>
        <w:numPr>
          <w:ilvl w:val="0"/>
          <w:numId w:val="6"/>
        </w:numPr>
      </w:pPr>
      <w:r>
        <w:t xml:space="preserve">¿Qué observó enfermería en las últimas 24 horas que no pasó por mi evaluación?</w:t>
      </w:r>
    </w:p>
    <w:p>
      <w:pPr>
        <w:pStyle w:val="BodyJ"/>
        <w:numPr>
          <w:ilvl w:val="0"/>
          <w:numId w:val="6"/>
        </w:numPr>
      </w:pPr>
      <w:r>
        <w:t xml:space="preserve">En mi último desacuerdo clínico, ¿discrepábamos en hechos, inferencias, incertidumbre, valores o umbral?</w:t>
      </w:r>
    </w:p>
    <w:p>
      <w:pPr>
        <w:pStyle w:val="BodyJ"/>
        <w:numPr>
          <w:ilvl w:val="0"/>
          <w:numId w:val="6"/>
        </w:numPr>
      </w:pPr>
      <w:r>
        <w:t xml:space="preserve">¿Mi paciente sabe qué sabemos, qué creemos, qué no sabemos aún y qué haremos —o sólo recibió una etiqueta?</w:t>
      </w:r>
    </w:p>
    <w:p>
      <w:pPr>
        <w:pStyle w:val="BodyJ"/>
      </w:pPr>
      <w:r>
        <w:rPr>
          <w:b/>
          <w:bCs/>
        </w:rPr>
        <w:t xml:space="preserve">Capítulo 14. Humildad epistémica y responsabilidad clínica</w:t>
      </w:r>
    </w:p>
    <w:p>
      <w:pPr>
        <w:pStyle w:val="BodyJ"/>
        <w:numPr>
          <w:ilvl w:val="0"/>
          <w:numId w:val="6"/>
        </w:numPr>
      </w:pPr>
      <w:r>
        <w:t xml:space="preserve">¿A qué paciente le estoy creyendo menos de lo que su testimonio merece, y por qué?</w:t>
      </w:r>
    </w:p>
    <w:p>
      <w:pPr>
        <w:pStyle w:val="BodyJ"/>
        <w:numPr>
          <w:ilvl w:val="0"/>
          <w:numId w:val="6"/>
        </w:numPr>
      </w:pPr>
      <w:r>
        <w:t xml:space="preserve">Mi última recomendación firme: ¿podría explicar qué hechos la sostienen, qué incertidumbres la modificarían y qué valores del paciente pesan?</w:t>
      </w:r>
    </w:p>
    <w:p>
      <w:pPr>
        <w:pStyle w:val="BodyJ"/>
        <w:numPr>
          <w:ilvl w:val="0"/>
          <w:numId w:val="6"/>
        </w:numPr>
      </w:pPr>
      <w:r>
        <w:t xml:space="preserve">¿Hay en mis fichas una etiqueta («funcional», «no adherente», «poco colaborador») que esté distribuyendo credibilidad en lugar de información?</w:t>
      </w:r>
    </w:p>
    <w:p>
      <w:pPr>
        <w:pStyle w:val="BodyJ"/>
      </w:pPr>
      <w:r>
        <w:rPr>
          <w:b/>
          <w:bCs/>
        </w:rPr>
        <w:t xml:space="preserve">Capítulo 15. El método HII-D: una epistemología operativa</w:t>
      </w:r>
    </w:p>
    <w:p>
      <w:pPr>
        <w:pStyle w:val="BodyJ"/>
        <w:numPr>
          <w:ilvl w:val="0"/>
          <w:numId w:val="6"/>
        </w:numPr>
      </w:pPr>
      <w:r>
        <w:t xml:space="preserve">¿Cuál es la pregunta operativa de mi caso más difícil —la decisión real en juego, no «el diagnóstico»?</w:t>
      </w:r>
    </w:p>
    <w:p>
      <w:pPr>
        <w:pStyle w:val="BodyJ"/>
        <w:numPr>
          <w:ilvl w:val="0"/>
          <w:numId w:val="6"/>
        </w:numPr>
      </w:pPr>
      <w:r>
        <w:t xml:space="preserve">¿Mi nota de hoy permite a otro médico reconstruir mis cuatro capas, o sólo mi conclusión?</w:t>
      </w:r>
    </w:p>
    <w:p>
      <w:pPr>
        <w:pStyle w:val="BodyJ"/>
        <w:numPr>
          <w:ilvl w:val="0"/>
          <w:numId w:val="6"/>
        </w:numPr>
      </w:pPr>
      <w:r>
        <w:t xml:space="preserve">¿Qué decisión de esta semana tomé sin criterio de reapertura, y todavía estoy a tiempo de escribirlo?</w:t>
      </w:r>
    </w:p>
    <w:p>
      <w:pPr>
        <w:pStyle w:val="BodyJ"/>
      </w:pPr>
      <w:r>
        <w:rPr>
          <w:b/>
          <w:bCs/>
        </w:rPr>
        <w:t xml:space="preserve">Capítulo 16. Enseñar y organizar la metacognición clínica</w:t>
      </w:r>
    </w:p>
    <w:p>
      <w:pPr>
        <w:pStyle w:val="BodyJ"/>
        <w:numPr>
          <w:ilvl w:val="0"/>
          <w:numId w:val="6"/>
        </w:numPr>
      </w:pPr>
      <w:r>
        <w:t xml:space="preserve">La última vez que enseñé un caso, ¿pedí el diagnóstico o pedí primero la representación del problema?</w:t>
      </w:r>
    </w:p>
    <w:p>
      <w:pPr>
        <w:pStyle w:val="BodyJ"/>
        <w:numPr>
          <w:ilvl w:val="0"/>
          <w:numId w:val="6"/>
        </w:numPr>
      </w:pPr>
      <w:r>
        <w:t xml:space="preserve">¿Qué pasó con el último paciente que derivé o di de alta con diagnóstico incierto — y cómo podría enterarme sistemáticamente?</w:t>
      </w:r>
    </w:p>
    <w:p>
      <w:pPr>
        <w:pStyle w:val="BodyJ"/>
        <w:numPr>
          <w:ilvl w:val="0"/>
          <w:numId w:val="6"/>
        </w:numPr>
      </w:pPr>
      <w:r>
        <w:t xml:space="preserve">Si mañana dirigiera mi servicio, ¿cuál de las tres palancas (visita de sala, ficha, revisión de errores) cambiaría primero, y qué costaría?</w:t>
      </w:r>
    </w:p>
    <w:p>
      <w:pPr>
        <w:pStyle w:val="BodyJ"/>
      </w:pPr>
      <w:r>
        <w:rPr>
          <w:b/>
          <w:bCs/>
        </w:rPr>
        <w:t xml:space="preserve">Capítulo 17. La inteligencia artificial en el proceso clínico: roles, riesgos y defensas</w:t>
      </w:r>
    </w:p>
    <w:p>
      <w:pPr>
        <w:pStyle w:val="BodyJ"/>
        <w:numPr>
          <w:ilvl w:val="0"/>
          <w:numId w:val="6"/>
        </w:numPr>
      </w:pPr>
      <w:r>
        <w:t xml:space="preserve">Si uso IA en este caso, ¿qué dato de su respuesta verifiqué contra una fuente primaria antes de actuar?</w:t>
      </w:r>
    </w:p>
    <w:p>
      <w:pPr>
        <w:pStyle w:val="BodyJ"/>
        <w:numPr>
          <w:ilvl w:val="0"/>
          <w:numId w:val="6"/>
        </w:numPr>
      </w:pPr>
      <w:r>
        <w:t xml:space="preserve">¿Qué agregó el modelo que el caso no contenía?</w:t>
      </w:r>
    </w:p>
    <w:p>
      <w:pPr>
        <w:pStyle w:val="BodyJ"/>
        <w:numPr>
          <w:ilvl w:val="0"/>
          <w:numId w:val="6"/>
        </w:numPr>
      </w:pPr>
      <w:r>
        <w:t xml:space="preserve">¿Estoy usando la herramienta para ampliar hipótesis o para confirmar rápido la que ya tenía?</w:t>
      </w:r>
    </w:p>
    <w:p>
      <w:pPr>
        <w:pStyle w:val="BodyJ"/>
      </w:pPr>
      <w:r>
        <w:rPr>
          <w:b/>
          <w:bCs/>
        </w:rPr>
        <w:t xml:space="preserve">Capítulo 18. La palabra exacta: lo que la poesía sabe del juicio clínico</w:t>
      </w:r>
    </w:p>
    <w:p>
      <w:pPr>
        <w:pStyle w:val="BodyJ"/>
        <w:numPr>
          <w:ilvl w:val="0"/>
          <w:numId w:val="6"/>
        </w:numPr>
      </w:pPr>
      <w:r>
        <w:t xml:space="preserve">¿Qué palabra de mi última nota está «haciendo florecer» algo que nadie observó?</w:t>
      </w:r>
    </w:p>
    <w:p>
      <w:pPr>
        <w:pStyle w:val="BodyJ"/>
        <w:numPr>
          <w:ilvl w:val="0"/>
          <w:numId w:val="6"/>
        </w:numPr>
      </w:pPr>
      <w:r>
        <w:t xml:space="preserve">El diagnóstico que más me satisface hoy: ¿me convence por la evidencia o por lo bien que cierra la historia?</w:t>
      </w:r>
    </w:p>
    <w:p>
      <w:pPr>
        <w:pStyle w:val="BodyJ"/>
        <w:numPr>
          <w:ilvl w:val="0"/>
          <w:numId w:val="6"/>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t xml:space="preserve">Los términos marcados con ∗ son propuestas de este libro; los demás se toman de la literatura, con su autor entre paréntesis cuando corresponde. Cuando el concepto tiene un nombre establecido en inglés, va entre paréntesis para que pueda buscarse en la literatura.</w:t>
      </w:r>
    </w:p>
    <w:p>
      <w:pPr>
        <w:pStyle w:val="BodyJ"/>
      </w:pPr>
      <w:r>
        <w:rPr>
          <w:b/>
          <w:bCs/>
        </w:rPr>
        <w:t xml:space="preserve">Abducción (abduction).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 (anchoring).</w:t>
      </w:r>
      <w:r>
        <w:t xml:space="preserve"> Persistencia de una hipótesis inicial que conserva autoridad aun cuando la evidencia acumulada la ha degradado.</w:t>
      </w:r>
    </w:p>
    <w:p>
      <w:pPr>
        <w:pStyle w:val="BodyJ"/>
      </w:pPr>
      <w:r>
        <w:rPr>
          <w:b/>
          <w:bCs/>
        </w:rPr>
        <w:t xml:space="preserve">Calibración (calibration).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 (premature closure).</w:t>
      </w:r>
      <w:r>
        <w:t xml:space="preserve"> Aceptación de un diagnóstico antes de haberlo verificado suficientemente, con suspensión de la búsqueda de alternativas.</w:t>
      </w:r>
    </w:p>
    <w:p>
      <w:pPr>
        <w:pStyle w:val="BodyJ"/>
      </w:pPr>
      <w:r>
        <w:rPr>
          <w:b/>
          <w:bCs/>
        </w:rPr>
        <w:t xml:space="preserve">Cognición distribuida (distributed cognition).</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 (tacit knowledge).</w:t>
      </w:r>
      <w:r>
        <w:t xml:space="preserve"> Capacidad de reconocer o ejecutar más de lo que puede formularse explícitamente (Polanyi).</w:t>
      </w:r>
    </w:p>
    <w:p>
      <w:pPr>
        <w:pStyle w:val="BodyJ"/>
      </w:pPr>
      <w:r>
        <w:rPr>
          <w:b/>
          <w:bCs/>
        </w:rPr>
        <w:t xml:space="preserve">Conversaciones para la acción (conversation for action).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pPr>
      <w:r>
        <w:rPr>
          <w:b/>
          <w:bCs/>
        </w:rPr>
        <w:t xml:space="preserve">Contrafactual (counterfactual).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Criterio de reapertura∗.</w:t>
      </w:r>
      <w:r>
        <w:t xml:space="preserve"> Cambio clínico, resultado pendiente, plazo o evento que, escrito antes de cerrar el caso y con un responsable, obliga a reabrirlo («reevaluar si…; responsable: …; plazo: …»). Es la reevaluación de HII-D vuelta cláusula concreta y el compromiso del equipo, distinto de la red de seguridad, que es lo que el paciente vigila en su casa. Sin él, la decisión queda sin fecha de vencimiento.</w:t>
      </w:r>
    </w:p>
    <w:p>
      <w:pPr>
        <w:pStyle w:val="BodyJ"/>
      </w:pPr>
      <w:r>
        <w:rPr>
          <w:b/>
          <w:bCs/>
        </w:rPr>
        <w:t xml:space="preserve">Cuatro tópicos (método de los; four topics).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 (shared decision-making).</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 que una frase pierde con más frecuencia —procedencia, temporalidad, transparencia inferencial, calibración modal, relevancia decisional y revisabilidad: las seis dimensiones de auditoría del capítulo 4—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 (dual-process theories).</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 (knowledge encapsulation).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 (diagnostic overshadowing).</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Escriba ambiental (ambient scribe).</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pPr>
      <w:r>
        <w:rPr>
          <w:b/>
          <w:bCs/>
        </w:rPr>
        <w:t xml:space="preserve">Ética de la creencia (ethics of belief).</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pPr>
      <w:r>
        <w:rPr>
          <w:b/>
          <w:bCs/>
        </w:rPr>
        <w:t xml:space="preserve">Estado del razonador∗.</w:t>
      </w:r>
      <w:r>
        <w:t xml:space="preserve"> Condiciones en que se produce un juicio clínico —hora del día, horas de turno, sueño, ánimo, preocupación ajena al caso—, tratadas como un hecho de la capa H sobre la confiabilidad del instrumento que infiere y como disparador de pausa o de segundo lector. Pensar cuesta, y el costo no es constante.</w:t>
      </w:r>
    </w:p>
    <w:p>
      <w:pPr>
        <w:pStyle w:val="BodyJ"/>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pPr>
      <w:r>
        <w:rPr>
          <w:b/>
          <w:bCs/>
        </w:rPr>
        <w:t xml:space="preserve">Fragilidad (frailty).</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pPr>
      <w:r>
        <w:rPr>
          <w:b/>
          <w:bCs/>
        </w:rPr>
        <w:t xml:space="preserve">Frase medular∗.</w:t>
      </w:r>
      <w:r>
        <w:t xml:space="preserve"> Formulación breve que condensa la naturaleza del evento, la inferencia con su grado, la incertidumbre crítica y el efecto sobre la conducta: las cuatro capas de HII-D en una o dos frases.</w:t>
      </w:r>
    </w:p>
    <w:p>
      <w:pPr>
        <w:pStyle w:val="BodyJ"/>
      </w:pPr>
      <w:r>
        <w:rPr>
          <w:b/>
          <w:bCs/>
        </w:rPr>
        <w:t xml:space="preserve">Frecuencias naturales (natural frequencies).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a partir de una pregunta operativa, ordena el razonamiento en Hechos, Inferencias, Incertidumbre y Decisión, más un movimiento transversal de reevaluación. No validada como instrumento.</w:t>
      </w:r>
    </w:p>
    <w:p>
      <w:pPr>
        <w:pStyle w:val="BodyJ"/>
      </w:pPr>
      <w:r>
        <w:rPr>
          <w:b/>
          <w:bCs/>
        </w:rPr>
        <w:t xml:space="preserve">Humildad epistémica (epistemic humility).</w:t>
      </w:r>
      <w:r>
        <w:t xml:space="preserve"> Atención y apropiación de las propias limitaciones cognitivas (Whitcomb et al., que hablan de intellectual humility).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 (aleatory uncertainty).</w:t>
      </w:r>
      <w:r>
        <w:t xml:space="preserve"> La que proviene de variabilidad o contingencia que persiste aun con conocimiento completo del sistema.</w:t>
      </w:r>
    </w:p>
    <w:p>
      <w:pPr>
        <w:pStyle w:val="BodyJ"/>
      </w:pPr>
      <w:r>
        <w:rPr>
          <w:b/>
          <w:bCs/>
        </w:rPr>
        <w:t xml:space="preserve">Incertidumbre epistémica (epistemic uncertainty).</w:t>
      </w:r>
      <w:r>
        <w:t xml:space="preserve"> La que proviene de conocimiento insuficiente y puede, en principio, reducirse con información.</w:t>
      </w:r>
    </w:p>
    <w:p>
      <w:pPr>
        <w:pStyle w:val="BodyJ"/>
      </w:pPr>
      <w:r>
        <w:rPr>
          <w:b/>
          <w:bCs/>
        </w:rPr>
        <w:t xml:space="preserve">Injusticia epistémica (epistemic injustice).</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Léxico de certeza∗.</w:t>
      </w:r>
      <w:r>
        <w:t xml:space="preserve"> Escala verbal con la que toda inferencia escrita declara cuánto derecho tiene a afirmarse —demostrado, altamente probable, probable, posible, no demostrado—, junto a las expresiones de ausencia y de exclusión que no deben confundirse con ella (sin evidencia actual de, no evaluable, se descarta), definidas en el Apéndice B. Es un caso particular de la modalidad epistémica, fijado para que el equipo use las mismas palabras con el mismo significado.</w:t>
      </w:r>
    </w:p>
    <w:p>
      <w:pPr>
        <w:pStyle w:val="BodyJ"/>
      </w:pPr>
      <w:r>
        <w:rPr>
          <w:b/>
          <w:bCs/>
        </w:rPr>
        <w:t xml:space="preserve">Mente del principiante (shoshin, beginner's mind).</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pPr>
      <w:r>
        <w:rPr>
          <w:b/>
          <w:bCs/>
        </w:rPr>
        <w:t xml:space="preserve">Metacognición (metacognition).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 (epistemic modality).</w:t>
      </w:r>
      <w:r>
        <w:t xml:space="preserve"> Recursos del lenguaje que expresan el grado de certeza de una afirmación («demostrado», «probable», «sin evidencia de»).</w:t>
      </w:r>
    </w:p>
    <w:p>
      <w:pPr>
        <w:pStyle w:val="BodyJ"/>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 (automation paradox).</w:t>
      </w:r>
      <w:r>
        <w:t xml:space="preserve"> Cuanto más competente es un sistema automatizado, menos ejercita el humano las habilidades necesarias para detectar sus fallas — que es cuando más se las necesita (Abdulnour et al.).</w:t>
      </w:r>
    </w:p>
    <w:p>
      <w:pPr>
        <w:pStyle w:val="BodyJ"/>
      </w:pPr>
      <w:r>
        <w:rPr>
          <w:b/>
          <w:bCs/>
        </w:rPr>
        <w:t xml:space="preserve">Pausa diagnóstica (diagnostic time-out).</w:t>
      </w:r>
      <w:r>
        <w:t xml:space="preserve"> Interrupción breve y selectiva del flujo clínico, activada por disparadores definidos (reconsulta, evolución inesperada o discordante con el diagnóstico, transición de cuidados, estado del razonador),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 (pre-test / post-test probability).</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Quiebre (breakdown).</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pPr>
      <w:r>
        <w:rPr>
          <w:b/>
          <w:bCs/>
        </w:rPr>
        <w:t xml:space="preserve">Red de seguridad (safety-netting).</w:t>
      </w:r>
      <w:r>
        <w:t xml:space="preserve"> Instrucciones explícitas de reconsulta y vigilancia que acompañan una decisión tomada bajo incertidumbre, especialmente en ambulatorio: lo que el paciente y su familia vigilan en la casa. El criterio de reapertura es su contraparte dentro del equipo.</w:t>
      </w:r>
    </w:p>
    <w:p>
      <w:pPr>
        <w:pStyle w:val="BodyJ"/>
      </w:pPr>
      <w:r>
        <w:rPr>
          <w:b/>
          <w:bCs/>
        </w:rPr>
        <w:t xml:space="preserve">Representación del problema (problem representation).</w:t>
      </w:r>
      <w:r>
        <w:t xml:space="preserve"> Formulación compacta que transforma los datos del caso en relaciones clínicamente significativas mediante calificadores semánticos.</w:t>
      </w:r>
    </w:p>
    <w:p>
      <w:pPr>
        <w:pStyle w:val="BodyJ"/>
      </w:pPr>
      <w:r>
        <w:rPr>
          <w:b/>
          <w:bCs/>
        </w:rPr>
        <w:t xml:space="preserve">Riesgo inductivo (inductive risk).</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Segunda víctima (second victim).</w:t>
      </w:r>
      <w:r>
        <w:t xml:space="preserve"> El clínico dañado por su propio error —culpa, vergüenza, aislamiento— (Wu). Su cuidado no es indulgencia: sin él no hay análisis de trayectoria ni aprendizaje del error.</w:t>
      </w:r>
    </w:p>
    <w:p>
      <w:pPr>
        <w:pStyle w:val="BodyJ"/>
      </w:pPr>
      <w:r>
        <w:rPr>
          <w:b/>
          <w:bCs/>
        </w:rPr>
        <w:t xml:space="preserve">Segundo lector∗.</w:t>
      </w:r>
      <w:r>
        <w:t xml:space="preserve"> Otro médico, un especialista, un equipo interdisciplinario o una herramienta de apoyo que revisa el juicio antes de que se fije y aporta una representación distinta del mismo caso. Lo activan disparadores clínicos (reconsulta, evolución discordante, transferencia) y también el estado del razonador: turno largo, madrugada, ánimo alterado. No sustituye a la segunda opinión formal; la precede y cuesta menos.</w:t>
      </w:r>
    </w:p>
    <w:p>
      <w:pPr>
        <w:pStyle w:val="BodyJ"/>
      </w:pPr>
      <w:r>
        <w:rPr>
          <w:b/>
          <w:bCs/>
        </w:rPr>
        <w:t xml:space="preserve">Sensibilidad metacognitiva (metacognitive sensitivity).</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 (automation bias).</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Sobreconfianza (overconfidence).</w:t>
      </w:r>
      <w:r>
        <w:t xml:space="preserve"> Confianza declarada mayor que la exactitud real; falla de calibración asociada al error diagnóstico porque impide buscar evidencia o revisar una conclusión (Berner y Graber). Medirla no es trivial: la confianza puede ser apropiada en los casos fáciles y excesiva en los difíciles.</w:t>
      </w:r>
    </w:p>
    <w:p>
      <w:pPr>
        <w:pStyle w:val="BodyJ"/>
      </w:pPr>
      <w:r>
        <w:rPr>
          <w:b/>
          <w:bCs/>
        </w:rPr>
        <w:t xml:space="preserve">Testimonio (epistemología del; epistemology of testimony).</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 (decision threshold).</w:t>
      </w:r>
      <w:r>
        <w:t xml:space="preserve"> Nivel de probabilidad sobre el cual una conducta (testear, tratar) supera a sus alternativas, dado el balance de daños y beneficios (Pauker y Kassirer).</w:t>
      </w:r>
    </w:p>
    <w:p>
      <w:pPr>
        <w:pStyle w:val="BodyJ"/>
      </w:pPr>
      <w:r>
        <w:rPr>
          <w:b/>
          <w:bCs/>
        </w:rPr>
        <w:t xml:space="preserve">Validez del entorno (high-validity environment).</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 (external validity / transportability).</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Antipoesía como léxico de certeza (Parra) — 18</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 saber hacer y quiebre (Varela)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Conversaciones para la acción (Flores y Winograd) — 13</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Criterio de reapertura — 8, 12, 15, Interludio III, CC (viñeta 6), Ap A, Ap C</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 disparadores, incluido el estado del razonador — 8</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Errores típicos en los talleres — 7, 8, 10, 12</w:t>
      </w:r>
    </w:p>
    <w:p>
      <w:pPr>
        <w:pStyle w:val="BodyJ"/>
        <w:numPr>
          <w:ilvl w:val="0"/>
          <w:numId w:val="6"/>
        </w:numPr>
      </w:pPr>
      <w:r>
        <w:t xml:space="preserve">Escribas ambientales (regla «la capa H sí, la capa D no») — 17</w:t>
      </w:r>
    </w:p>
    <w:p>
      <w:pPr>
        <w:pStyle w:val="BodyJ"/>
        <w:numPr>
          <w:ilvl w:val="0"/>
          <w:numId w:val="6"/>
        </w:numPr>
      </w:pPr>
      <w:r>
        <w:t xml:space="preserve">Estado de verificación de un diagnóstico en la ficha electrónica — 12</w:t>
      </w:r>
    </w:p>
    <w:p>
      <w:pPr>
        <w:pStyle w:val="BodyJ"/>
        <w:numPr>
          <w:ilvl w:val="0"/>
          <w:numId w:val="6"/>
        </w:numPr>
      </w:pPr>
      <w:r>
        <w:t xml:space="preserve">Estado del razonador (esfuerzo, sueño, ánimo; turnos como condición epistémica) — 8, 16, Ap A</w:t>
      </w:r>
    </w:p>
    <w:p>
      <w:pPr>
        <w:pStyle w:val="BodyJ"/>
        <w:numPr>
          <w:ilvl w:val="0"/>
          <w:numId w:val="6"/>
        </w:numPr>
      </w:pPr>
      <w:r>
        <w:t xml:space="preserve">Ética de la creencia (Clifford); pensar bien como deber primordial — 14, C</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 de proceso vs. ficha de resultados (los verbos del razonamiento) — 12; Taller 12B</w:t>
      </w:r>
    </w:p>
    <w:p>
      <w:pPr>
        <w:pStyle w:val="BodyJ"/>
        <w:numPr>
          <w:ilvl w:val="0"/>
          <w:numId w:val="6"/>
        </w:numPr>
      </w:pPr>
      <w:r>
        <w:t xml:space="preserve">Fichas clínicas y plantillas — 12, 16, Ap C; ficha electrónica pensada desde HII-D — 12</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Fuentes del hecho clínico (matriz de procedencia) — 1</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HII-D (método) — 12, 15, Ap A; auditoría de IA con — 17</w:t>
      </w:r>
    </w:p>
    <w:p>
      <w:pPr>
        <w:pStyle w:val="BodyJ"/>
        <w:numPr>
          <w:ilvl w:val="0"/>
          <w:numId w:val="6"/>
        </w:numPr>
      </w:pPr>
      <w:r>
        <w:t xml:space="preserve">Hindsight bias — 8, 11, 16, CC (viñeta 6)</w:t>
      </w:r>
    </w:p>
    <w:p>
      <w:pPr>
        <w:pStyle w:val="BodyJ"/>
        <w:numPr>
          <w:ilvl w:val="0"/>
          <w:numId w:val="6"/>
        </w:numPr>
      </w:pPr>
      <w:r>
        <w:t xml:space="preserve">Hoja de ruta para el docente (talleres por nivel) — Ap C</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Improvisación y saber hacer (jazz; Limb y Braun) — 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9</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9</w:t>
      </w:r>
    </w:p>
    <w:p>
      <w:pPr>
        <w:pStyle w:val="BodyJ"/>
        <w:numPr>
          <w:ilvl w:val="0"/>
          <w:numId w:val="6"/>
        </w:numPr>
      </w:pPr>
      <w:r>
        <w:t xml:space="preserve">Medicina basada en evidencia — 9</w:t>
      </w:r>
    </w:p>
    <w:p>
      <w:pPr>
        <w:pStyle w:val="BodyJ"/>
        <w:numPr>
          <w:ilvl w:val="0"/>
          <w:numId w:val="6"/>
        </w:numPr>
      </w:pPr>
      <w:r>
        <w:t xml:space="preserve">Mente del principiante (Zen, shoshin) — 8</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auditoría de salidas de IA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clínico — 13</w:t>
      </w:r>
    </w:p>
    <w:p>
      <w:pPr>
        <w:pStyle w:val="BodyJ"/>
        <w:numPr>
          <w:ilvl w:val="0"/>
          <w:numId w:val="6"/>
        </w:numPr>
      </w:pPr>
      <w:r>
        <w:t xml:space="preserve">Objetividad entre paréntesis y observador (Maturana) — 1; emociones como dominio de acción — 8</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Preguntas para la próxima visita (reunidas) — Ap D</w:t>
      </w:r>
    </w:p>
    <w:p>
      <w:pPr>
        <w:pStyle w:val="BodyJ"/>
        <w:numPr>
          <w:ilvl w:val="0"/>
          <w:numId w:val="6"/>
        </w:numPr>
      </w:pPr>
      <w:r>
        <w:t xml:space="preserve">Pronóstico e incertidumbre de plazo — CC (viñeta 5)</w:t>
      </w:r>
    </w:p>
    <w:p>
      <w:pPr>
        <w:pStyle w:val="BodyJ"/>
        <w:numPr>
          <w:ilvl w:val="0"/>
          <w:numId w:val="6"/>
        </w:numPr>
      </w:pPr>
      <w:r>
        <w:t xml:space="preserve">Proporcionalidad terapéutica (Taboada) — 10, 15, CC (viñeta 5)</w:t>
      </w:r>
    </w:p>
    <w:p>
      <w:pPr>
        <w:pStyle w:val="BodyJ"/>
        <w:numPr>
          <w:ilvl w:val="0"/>
          <w:numId w:val="6"/>
        </w:numPr>
      </w:pPr>
      <w:r>
        <w:t xml:space="preserve">Proteína C reactiva: cinética y lectura temporal — 11, 12</w:t>
      </w:r>
    </w:p>
    <w:p>
      <w:pPr>
        <w:pStyle w:val="BodyJ"/>
        <w:numPr>
          <w:ilvl w:val="0"/>
          <w:numId w:val="6"/>
        </w:numPr>
      </w:pPr>
      <w:r>
        <w:t xml:space="preserve">Prueba de Parra (Taller 18) — 18</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Red de seguridad (safety-netting) — 11, CC (viñetas 3, 4 y 7)</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Segunda víctima — 14</w:t>
      </w:r>
    </w:p>
    <w:p>
      <w:pPr>
        <w:pStyle w:val="BodyJ"/>
        <w:numPr>
          <w:ilvl w:val="0"/>
          <w:numId w:val="6"/>
        </w:numPr>
      </w:pPr>
      <w:r>
        <w:t xml:space="preserve">Segundo lector — 5, 8, 17</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Tarjeta HII-D en sesenta segundos — última página</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del error (estaciones y barreras) — 7</w:t>
      </w:r>
    </w:p>
    <w:p>
      <w:pPr>
        <w:pStyle w:val="BodyJ"/>
        <w:numPr>
          <w:ilvl w:val="0"/>
          <w:numId w:val="6"/>
        </w:numPr>
      </w:pPr>
      <w:r>
        <w:t xml:space="preserve">Trayectoria y temporalidad — 11, Interludio I</w:t>
      </w:r>
    </w:p>
    <w:p>
      <w:pPr>
        <w:pStyle w:val="BodyJ"/>
        <w:numPr>
          <w:ilvl w:val="0"/>
          <w:numId w:val="6"/>
        </w:numPr>
      </w:pPr>
      <w:r>
        <w:t xml:space="preserve">Umbral y geografía (hospital insular, evacuación aeromédica) — 11</w:t>
      </w:r>
    </w:p>
    <w:p>
      <w:pPr>
        <w:pStyle w:val="BodyJ"/>
        <w:numPr>
          <w:ilvl w:val="0"/>
          <w:numId w:val="6"/>
        </w:numPr>
      </w:pPr>
      <w:r>
        <w:t xml:space="preserve">Umbrales de decisión — 10, Interludio III, CC (viñeta 3)</w:t>
      </w:r>
    </w:p>
    <w:p>
      <w:pPr>
        <w:pStyle w:val="BodyJ"/>
        <w:numPr>
          <w:ilvl w:val="0"/>
          <w:numId w:val="6"/>
        </w:numPr>
      </w:pPr>
      <w:r>
        <w:t xml:space="preserve">Validación local y monitoreo de herramientas de IA — 17</w:t>
      </w:r>
    </w:p>
    <w:p>
      <w:pPr>
        <w:pStyle w:val="BodyJ"/>
        <w:numPr>
          <w:ilvl w:val="0"/>
          <w:numId w:val="6"/>
        </w:numPr>
      </w:pPr>
      <w:r>
        <w:t xml:space="preserve">Validez del entorno e intuición (Kahneman y Klein) — 6</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Lista de figuras</w:t>
      </w:r>
    </w:p>
    <w:p>
      <w:pPr>
        <w:pStyle w:val="BodyJ"/>
        <w:numPr>
          <w:ilvl w:val="0"/>
          <w:numId w:val="6"/>
        </w:numPr>
      </w:pPr>
      <w:r>
        <w:t xml:space="preserve">Figura 1. Mapa del libro (Cómo leer este libro).</w:t>
      </w:r>
    </w:p>
    <w:p>
      <w:pPr>
        <w:pStyle w:val="BodyJ"/>
        <w:numPr>
          <w:ilvl w:val="0"/>
          <w:numId w:val="6"/>
        </w:numPr>
      </w:pPr>
      <w:r>
        <w:t xml:space="preserve">Figura 2. Las cuatro capas del conocimiento clínico, la franja de incertidumbre que las atraviesa y el circuito de reevaluación que vuelve a la pregunta y a los hechos (Introducción).</w:t>
      </w:r>
    </w:p>
    <w:p>
      <w:pPr>
        <w:pStyle w:val="BodyJ"/>
        <w:numPr>
          <w:ilvl w:val="0"/>
          <w:numId w:val="6"/>
        </w:numPr>
      </w:pPr>
      <w:r>
        <w:t xml:space="preserve">Figura 3. Fuentes del hecho clínico (Capítulo 1).</w:t>
      </w:r>
    </w:p>
    <w:p>
      <w:pPr>
        <w:pStyle w:val="BodyJ"/>
        <w:numPr>
          <w:ilvl w:val="0"/>
          <w:numId w:val="6"/>
        </w:numPr>
      </w:pPr>
      <w:r>
        <w:t xml:space="preserve">Figura 4. Un mapa de la incertidumbre clínica (adaptado de la taxonomía de Han et al.) (Capítulo 3).</w:t>
      </w:r>
    </w:p>
    <w:p>
      <w:pPr>
        <w:pStyle w:val="BodyJ"/>
        <w:numPr>
          <w:ilvl w:val="0"/>
          <w:numId w:val="6"/>
        </w:numPr>
      </w:pPr>
      <w:r>
        <w:t xml:space="preserve">Figura 5. La frase medular como argumento de Toulmin (Capítulo 4).</w:t>
      </w:r>
    </w:p>
    <w:p>
      <w:pPr>
        <w:pStyle w:val="BodyJ"/>
        <w:numPr>
          <w:ilvl w:val="0"/>
          <w:numId w:val="6"/>
        </w:numPr>
      </w:pPr>
      <w:r>
        <w:t xml:space="preserve">Figura 6. El modelo de dos niveles de Nelson y Narens (Capítulo 5).</w:t>
      </w:r>
    </w:p>
    <w:p>
      <w:pPr>
        <w:pStyle w:val="BodyJ"/>
        <w:numPr>
          <w:ilvl w:val="0"/>
          <w:numId w:val="6"/>
        </w:numPr>
      </w:pPr>
      <w:r>
        <w:t xml:space="preserve">Figura 7. Curva de calibración, esquemática (Capítulo 5).</w:t>
      </w:r>
    </w:p>
    <w:p>
      <w:pPr>
        <w:pStyle w:val="BodyJ"/>
        <w:numPr>
          <w:ilvl w:val="0"/>
          <w:numId w:val="6"/>
        </w:numPr>
      </w:pPr>
      <w:r>
        <w:t xml:space="preserve">Figura 8. El error como trayectoria (Capítulo 7).</w:t>
      </w:r>
    </w:p>
    <w:p>
      <w:pPr>
        <w:pStyle w:val="BodyJ"/>
        <w:numPr>
          <w:ilvl w:val="0"/>
          <w:numId w:val="6"/>
        </w:numPr>
      </w:pPr>
      <w:r>
        <w:t xml:space="preserve">Figura 9. Una década sobre un mismo dato (Capítulo 9).</w:t>
      </w:r>
    </w:p>
    <w:p>
      <w:pPr>
        <w:pStyle w:val="BodyJ"/>
        <w:numPr>
          <w:ilvl w:val="0"/>
          <w:numId w:val="6"/>
        </w:numPr>
      </w:pPr>
      <w:r>
        <w:t xml:space="preserve">Figura 10. El enfoque de umbrales de Pauker y Kassirer (Capítulo 10).</w:t>
      </w:r>
    </w:p>
    <w:p>
      <w:pPr>
        <w:pStyle w:val="BodyJ"/>
        <w:numPr>
          <w:ilvl w:val="0"/>
          <w:numId w:val="6"/>
        </w:numPr>
      </w:pPr>
      <w:r>
        <w:t xml:space="preserve">Figura 11. La línea de tiempo de Carmen y el umbral que se mueve (Capítulo 10).</w:t>
      </w:r>
    </w:p>
    <w:p>
      <w:pPr>
        <w:pStyle w:val="BodyJ"/>
        <w:numPr>
          <w:ilvl w:val="0"/>
          <w:numId w:val="6"/>
        </w:numPr>
      </w:pPr>
      <w:r>
        <w:t xml:space="preserve">Figura 12. El cálculo del Taller 10 en frecuencias naturales (Capítulo 10).</w:t>
      </w:r>
    </w:p>
    <w:p>
      <w:pPr>
        <w:pStyle w:val="BodyJ"/>
        <w:numPr>
          <w:ilvl w:val="0"/>
          <w:numId w:val="6"/>
        </w:numPr>
      </w:pPr>
      <w:r>
        <w:t xml:space="preserve">Figura 13. El viaje de una frase (Capítulo 12).</w:t>
      </w:r>
    </w:p>
    <w:p>
      <w:pPr>
        <w:pStyle w:val="BodyJ"/>
        <w:numPr>
          <w:ilvl w:val="0"/>
          <w:numId w:val="6"/>
        </w:numPr>
      </w:pPr>
      <w:r>
        <w:t xml:space="preserve">Figura 14. El método HII-D en una página (Capítulo 15).</w:t>
      </w:r>
    </w:p>
    <w:p>
      <w:pPr>
        <w:pStyle w:val="BodyJ"/>
        <w:numPr>
          <w:ilvl w:val="0"/>
          <w:numId w:val="6"/>
        </w:numPr>
      </w:pPr>
      <w:r>
        <w:t xml:space="preserve">Figura 15. Parentescos: cada riesgo de la IA clínica junto al sesgo ya descrito (Capítulo 17).</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Verificación de las referencias.</w:t>
      </w:r>
      <w:r>
        <w:t xml:space="preserve"> Cada referencia se cotejó contra su fuente primaria antes de citarse, y el registro de ese cotejo —cifra por cifra— acompaña a las fuentes del libro. Cuatro se verificaron sólo por metadatos o por fuentes secundarias, y el lector debe saberlo: Estrada, Isen y Young (1997), cuyo texto completo no estuvo accesible, por lo que el hallazgo se enuncia tal como lo formula el título y sin cifras; la frase de Maturana (1970), tomada de su reimpresión y de </w:t>
      </w:r>
      <w:r>
        <w:rPr>
          <w:i/>
          <w:iCs/>
        </w:rPr>
        <w:t xml:space="preserve">El árbol del conocimiento</w:t>
      </w:r>
      <w:r>
        <w:t xml:space="preserve">; la cita de Suzuki (1970), confirmada contra la edición y no contra una copia del prólogo; y la localización de la tesis de Clifford (1877), tomada de la </w:t>
      </w:r>
      <w:r>
        <w:rPr>
          <w:i/>
          <w:iCs/>
        </w:rPr>
        <w:t xml:space="preserve">Stanford Encyclopedia of Philosophy</w:t>
      </w:r>
      <w:r>
        <w:t xml:space="preserve"> y no del volumen original de la </w:t>
      </w:r>
      <w:r>
        <w:rPr>
          <w:i/>
          <w:iCs/>
        </w:rPr>
        <w:t xml:space="preserve">Contemporary Review</w:t>
      </w:r>
      <w:r>
        <w:t xml:space="preserve">. Ninguna de ellas sostiene por sí sola una cifra ni una conducta. La distribución de citas es plana: de las 210 citas del cuerpo, ningún autor supera el 4%, y Croskerry, Norman y Kahneman —las voces dominantes de la literatura sobre razonamiento clínico— suman el 8%. Las referencias con siete o más autores listan los seis primeros seguidos de «et al.»; los ensayos firmados por un grupo conservan el nombre del grupo.</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Akbarialiabad, H., Haghighi, A., &amp; Leachman, S. A. (2026). Crew resource management — Navigating AI's automation paradox. </w:t>
      </w:r>
      <w:r>
        <w:rPr>
          <w:i/>
          <w:iCs/>
        </w:rPr>
        <w:t xml:space="preserve">New England Journal of Medicine, 395</w:t>
      </w:r>
      <w:r>
        <w:t xml:space="preserve">(8), 731–734.</w:t>
      </w:r>
    </w:p>
    <w:p>
      <w:pPr>
        <w:pStyle w:val="BodyJ"/>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Biro, J., Handley, J. L., Cobb, N. K., Kottamasu, V., Collins, J., Krevat, S., et al. (2025). Accuracy and safety of AI-enabled scribe technology: Instrument validation study. </w:t>
      </w:r>
      <w:r>
        <w:rPr>
          <w:i/>
          <w:iCs/>
        </w:rPr>
        <w:t xml:space="preserve">Journal of Medical Internet Research, 27</w:t>
      </w:r>
      <w:r>
        <w:t xml:space="preserve">, e64993.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Kołodziej, P., Bugajski, M., Adami, H. O.,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Chaudhuri, D., Nei, A. M., Rochwerg, B., Balk, R. A., Asehnoune, K., Cadena, R., et al. (2024). 2024 focused update: Guidelines on use of corticosteroids in sepsis, acute respiratory distress syndrome, and community-acquired pneumonia. </w:t>
      </w:r>
      <w:r>
        <w:rPr>
          <w:i/>
          <w:iCs/>
        </w:rPr>
        <w:t xml:space="preserve">Critical Care Medicine, 52</w:t>
      </w:r>
      <w:r>
        <w:t xml:space="preserve">(5), e219–e233.</w:t>
      </w:r>
    </w:p>
    <w:p>
      <w:pPr>
        <w:pStyle w:val="BodyJ"/>
      </w:pPr>
      <w:r>
        <w:t xml:space="preserve">Clifford, W. K. (1877). The ethics of belief. </w:t>
      </w:r>
      <w:r>
        <w:rPr>
          <w:i/>
          <w:iCs/>
        </w:rPr>
        <w:t xml:space="preserve">Contemporary Review, 29</w:t>
      </w:r>
      <w:r>
        <w:t xml:space="preserve">, 289–309.</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Dequin, P.-F., Meziani, F., Quenot, J.-P., Kamel, T., Ricard, J.-D., Badie, J., et al. (2023). Hydrocortisone in severe community-acquired pneumonia. </w:t>
      </w:r>
      <w:r>
        <w:rPr>
          <w:i/>
          <w:iCs/>
        </w:rPr>
        <w:t xml:space="preserve">New England Journal of Medicine, 388</w:t>
      </w:r>
      <w:r>
        <w:t xml:space="preserve">(21), 1931–1941.</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Strong, E., Weng, Y., Kerman, H.,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Krasner, M. S., Epstein, R. M., Beckman, H., Suchman, A. L., Chapman, B., Mooney, C. J., et al. (2009). Association of an educational program in mindful communication with burnout, empathy, and attitudes among primary care physicians. </w:t>
      </w:r>
      <w:r>
        <w:rPr>
          <w:i/>
          <w:iCs/>
        </w:rPr>
        <w:t xml:space="preserve">JAMA, 302</w:t>
      </w:r>
      <w:r>
        <w:t xml:space="preserve">(12), 1284–1293.</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Landrigan, C. P., Rothschild, J. M., Cronin, J. W., Kaushal, R., Burdick, E., Katz, J. T., et al. (2004). Effect of reducing interns' work hours on serious medical errors in intensive care units. </w:t>
      </w:r>
      <w:r>
        <w:rPr>
          <w:i/>
          <w:iCs/>
        </w:rPr>
        <w:t xml:space="preserve">New England Journal of Medicine, 351</w:t>
      </w:r>
      <w:r>
        <w:t xml:space="preserve">(18), 1838–1848.</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Limb, C. J., &amp; Braun, A. R. (2008). Neural substrates of spontaneous musical performance: An fMRI study of jazz improvisation. </w:t>
      </w:r>
      <w:r>
        <w:rPr>
          <w:i/>
          <w:iCs/>
        </w:rPr>
        <w:t xml:space="preserve">PLoS ONE, 3</w:t>
      </w:r>
      <w:r>
        <w:t xml:space="preserve">(2), e1679.</w:t>
      </w:r>
    </w:p>
    <w:p>
      <w:pPr>
        <w:pStyle w:val="BodyJ"/>
      </w:pPr>
      <w:r>
        <w:t xml:space="preserve">Linder, J. A., Doctor, J. N., Friedberg, M. W., Reyes Nieva, H., Birks, C., Meeker, D., et al. (2014). Time of day and the decision to prescribe antibiotics. </w:t>
      </w:r>
      <w:r>
        <w:rPr>
          <w:i/>
          <w:iCs/>
        </w:rPr>
        <w:t xml:space="preserve">JAMA Internal Medicine, 174</w:t>
      </w:r>
      <w:r>
        <w:t xml:space="preserve">(12), 2029–2031.</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et al.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Maturana, H. (1990). </w:t>
      </w:r>
      <w:r>
        <w:rPr>
          <w:i/>
          <w:iCs/>
        </w:rPr>
        <w:t xml:space="preserve">Emociones y lenguaje en educación y política</w:t>
      </w:r>
      <w:r>
        <w:t xml:space="preserve">. Hachette / CED.</w:t>
      </w:r>
    </w:p>
    <w:p>
      <w:pPr>
        <w:pStyle w:val="BodyJ"/>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pPr>
      <w:r>
        <w:t xml:space="preserve">Maturana, H., &amp; Varela, F. (1984). </w:t>
      </w:r>
      <w:r>
        <w:rPr>
          <w:i/>
          <w:iCs/>
        </w:rPr>
        <w:t xml:space="preserve">El árbol del conocimiento: Las bases biológicas del entendimiento humano</w:t>
      </w:r>
      <w:r>
        <w:t xml:space="preserve">. Editorial Universitaria.</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Metlay, J. P., Waterer, G. W., Long, A. C., Anzueto, A., Brozek, J., Crothers, K., et al. (2019). Diagnosis and treatment of adults with community-acquired pneumonia: An official clinical practice guideline of the American Thoracic Society and Infectious Diseases Society of America. </w:t>
      </w:r>
      <w:r>
        <w:rPr>
          <w:i/>
          <w:iCs/>
        </w:rPr>
        <w:t xml:space="preserve">American Journal of Respiratory and Critical Care Medicine, 200</w:t>
      </w:r>
      <w:r>
        <w:t xml:space="preserve">(7), e45–e67.</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et al.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Pepys, M. B., &amp; Hirschfield, G. M. (2003). C-reactive protein: A critical update. </w:t>
      </w:r>
      <w:r>
        <w:rPr>
          <w:i/>
          <w:iCs/>
        </w:rPr>
        <w:t xml:space="preserve">Journal of Clinical Investigation, 111</w:t>
      </w:r>
      <w:r>
        <w:t xml:space="preserve">(12), 1805–1812.</w:t>
      </w:r>
    </w:p>
    <w:p>
      <w:pPr>
        <w:pStyle w:val="BodyJ"/>
      </w:pPr>
      <w:r>
        <w:t xml:space="preserve">Philibert, I. (2005). Sleep loss and performance in residents and nonphysicians: A meta-analytic examination. </w:t>
      </w:r>
      <w:r>
        <w:rPr>
          <w:i/>
          <w:iCs/>
        </w:rPr>
        <w:t xml:space="preserve">Sleep, 28</w:t>
      </w:r>
      <w:r>
        <w:t xml:space="preserve">(11), 1392–1402.</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et al.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et al.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Tierney, A. A., Gayre, G., Hoberman, B., Mattern, B., Ballesca, M., Kipnis, P., et al. (2024). Ambient artificial intelligence scribes to alleviate the burden of clinical documentation. </w:t>
      </w:r>
      <w:r>
        <w:rPr>
          <w:i/>
          <w:iCs/>
        </w:rPr>
        <w:t xml:space="preserve">NEJM Catalyst Innovations in Care Delivery, 5</w:t>
      </w:r>
      <w:r>
        <w:t xml:space="preserve">(3), CAT.23.0404.</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Varela, F. J. (1996). </w:t>
      </w:r>
      <w:r>
        <w:rPr>
          <w:i/>
          <w:iCs/>
        </w:rPr>
        <w:t xml:space="preserve">Ética y acción</w:t>
      </w:r>
      <w:r>
        <w:t xml:space="preserve">. Dolmen.</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Winograd, T., &amp; Flores, F. (1986). </w:t>
      </w:r>
      <w:r>
        <w:rPr>
          <w:i/>
          <w:iCs/>
        </w:rPr>
        <w:t xml:space="preserve">Understanding Computers and Cognition: A New Foundation for Design</w:t>
      </w:r>
      <w:r>
        <w:t xml:space="preserve">. Ablex.</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Wong, A., Otles, E., Donnelly, J. P., Krumm, A., McCullough, J., DeTroyer-Cooley, O.,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et al.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et al.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p>
      <w:pPr>
        <w:pStyle w:val="Heading1"/>
        <w:pageBreakBefore/>
        <w:spacing w:after="320" w:before="720"/>
      </w:pPr>
      <w:r>
        <w:rPr>
          <w:rFonts w:ascii="Georgia" w:cs="Georgia" w:eastAsia="Georgia" w:hAnsi="Georgia"/>
          <w:b/>
          <w:bCs/>
          <w:color w:val="2B2B2B"/>
          <w:sz w:val="34"/>
          <w:szCs w:val="34"/>
        </w:rPr>
        <w:t xml:space="preserve">Tarjeta: HII-D en sesenta segundos</w:t>
      </w:r>
    </w:p>
    <w:p>
      <w:pPr>
        <w:pStyle w:val="BodyJ"/>
      </w:pPr>
      <w:r>
        <w:t xml:space="preserve">Para recortar y llevar en el bolsillo del delantal. Cuatro preguntas y un criterio de reapertura; en voz alta en la visita de sala o por escrito antes de firmar un alta. La versión completa está en el capítulo 15 y en el Apéndice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HII-D en sesenta segundos</w:t>
            </w:r>
          </w:p>
        </w:tc>
      </w:tr>
      <w:tr>
        <w:tc>
          <w:tcPr>
            <w:tcW w:type="dxa" w:w="1750"/>
            <w:tcMar>
              <w:top w:type="dxa" w:w="60"/>
              <w:left w:type="dxa" w:w="100"/>
              <w:bottom w:type="dxa" w:w="60"/>
              <w:right w:type="dxa" w:w="100"/>
            </w:tcMar>
            <w:vAlign w:val="top"/>
          </w:tcPr>
          <w:p>
            <w:pPr>
              <w:spacing w:after="0"/>
            </w:pPr>
            <w:r>
              <w:rPr>
                <w:sz w:val="17"/>
                <w:szCs w:val="17"/>
              </w:rPr>
              <w:t xml:space="preserve">1. ¿Qué vi y qué me contaron?</w:t>
            </w:r>
            <w:r>
              <w:rPr>
                <w:sz w:val="17"/>
                <w:szCs w:val="17"/>
              </w:rPr>
              <w:t xml:space="preserve"> Un hecho decisivo, con fuente, hora y método.</w:t>
            </w:r>
          </w:p>
        </w:tc>
      </w:tr>
      <w:tr>
        <w:tc>
          <w:tcPr>
            <w:tcW w:type="dxa" w:w="1750"/>
            <w:tcMar>
              <w:top w:type="dxa" w:w="60"/>
              <w:left w:type="dxa" w:w="100"/>
              <w:bottom w:type="dxa" w:w="60"/>
              <w:right w:type="dxa" w:w="100"/>
            </w:tcMar>
            <w:vAlign w:val="top"/>
          </w:tcPr>
          <w:p>
            <w:pPr>
              <w:spacing w:after="0"/>
            </w:pPr>
            <w:r>
              <w:rPr>
                <w:sz w:val="17"/>
                <w:szCs w:val="17"/>
              </w:rPr>
              <w:t xml:space="preserve">2. ¿Qué creo y cuánto derecho tengo a creerlo?</w:t>
            </w:r>
            <w:r>
              <w:rPr>
                <w:sz w:val="17"/>
                <w:szCs w:val="17"/>
              </w:rPr>
              <w:t xml:space="preserve"> La inferencia con su grado: demostrado, altamente probable, probable, posible, no demostrado.</w:t>
            </w:r>
          </w:p>
        </w:tc>
      </w:tr>
      <w:tr>
        <w:tc>
          <w:tcPr>
            <w:tcW w:type="dxa" w:w="1750"/>
            <w:tcMar>
              <w:top w:type="dxa" w:w="60"/>
              <w:left w:type="dxa" w:w="100"/>
              <w:bottom w:type="dxa" w:w="60"/>
              <w:right w:type="dxa" w:w="100"/>
            </w:tcMar>
            <w:vAlign w:val="top"/>
          </w:tcPr>
          <w:p>
            <w:pPr>
              <w:spacing w:after="0"/>
            </w:pPr>
            <w:r>
              <w:rPr>
                <w:sz w:val="17"/>
                <w:szCs w:val="17"/>
              </w:rPr>
              <w:t xml:space="preserve">3. ¿Qué daño importante podría producir si estoy equivocado?</w:t>
            </w:r>
            <w:r>
              <w:rPr>
                <w:sz w:val="17"/>
                <w:szCs w:val="17"/>
              </w:rPr>
              <w:t xml:space="preserve"> La incertidumbre peligrosa, no la lista completa de dudas.</w:t>
            </w:r>
          </w:p>
        </w:tc>
      </w:tr>
      <w:tr>
        <w:tc>
          <w:tcPr>
            <w:tcW w:type="dxa" w:w="1750"/>
            <w:tcMar>
              <w:top w:type="dxa" w:w="60"/>
              <w:left w:type="dxa" w:w="100"/>
              <w:bottom w:type="dxa" w:w="60"/>
              <w:right w:type="dxa" w:w="100"/>
            </w:tcMar>
            <w:vAlign w:val="top"/>
          </w:tcPr>
          <w:p>
            <w:pPr>
              <w:spacing w:after="0"/>
            </w:pPr>
            <w:r>
              <w:rPr>
                <w:sz w:val="17"/>
                <w:szCs w:val="17"/>
              </w:rPr>
              <w:t xml:space="preserve">4. ¿Qué hago y qué me haría cambiar antes del próximo control?</w:t>
            </w:r>
            <w:r>
              <w:rPr>
                <w:sz w:val="17"/>
                <w:szCs w:val="17"/>
              </w:rPr>
              <w:t xml:space="preserve"> La decisión con su criterio de reapertura: qué cambio, quién lo detectará y cuándo.</w:t>
            </w:r>
          </w:p>
        </w:tc>
      </w:tr>
      <w:tr>
        <w:tc>
          <w:tcPr>
            <w:tcW w:type="dxa" w:w="1750"/>
            <w:tcMar>
              <w:top w:type="dxa" w:w="60"/>
              <w:left w:type="dxa" w:w="100"/>
              <w:bottom w:type="dxa" w:w="60"/>
              <w:right w:type="dxa" w:w="100"/>
            </w:tcMar>
            <w:vAlign w:val="top"/>
          </w:tcPr>
          <w:p>
            <w:pPr>
              <w:spacing w:after="0"/>
            </w:pPr>
            <w:r>
              <w:rPr>
                <w:sz w:val="17"/>
                <w:szCs w:val="17"/>
              </w:rPr>
              <w:t xml:space="preserve">Criterio de reapertura:</w:t>
            </w:r>
            <w:r>
              <w:rPr>
                <w:sz w:val="17"/>
                <w:szCs w:val="17"/>
              </w:rPr>
              <w:t xml:space="preserve"> «Reevaluar si …; responsable: …; plazo: …». Y una pregunta sobre el instrumento: ¿en qué condiciones estoy pensando esto?</w:t>
            </w:r>
          </w:p>
        </w:tc>
      </w:tr>
    </w:tbl>
    <w:p>
      <w:pPr>
        <w:spacing w:after="120"/>
      </w:pPr>
    </w:p>
    <w:p>
      <w:pPr>
        <w:pStyle w:val="BodyJ"/>
      </w:pPr>
      <w:r>
        <w:t xml:space="preserve">Léxico mínimo: demostrado · altamente probable · probable · posible · no demostrado · sin evidencia actual de · descartado, sólo con un método que excluya.</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547ffa466193ae8a6831616d9a319329ce124424.png"/><Relationship Id="rId11" Type="http://schemas.openxmlformats.org/officeDocument/2006/relationships/image" Target="media/26610aa061772b2e1fbf07f8b7b6f99f933cb4c5.png"/><Relationship Id="rId12" Type="http://schemas.openxmlformats.org/officeDocument/2006/relationships/image" Target="media/02d3e74212772fde21e2e90d2ea26962556e4017.png"/><Relationship Id="rId13" Type="http://schemas.openxmlformats.org/officeDocument/2006/relationships/image" Target="media/1775b34dd96753ca5cd57961ecce5f5404de2903.png"/><Relationship Id="rId14" Type="http://schemas.openxmlformats.org/officeDocument/2006/relationships/image" Target="media/44afd8313e07ff21b28636d481df0116d99aa3d5.png"/><Relationship Id="rId15" Type="http://schemas.openxmlformats.org/officeDocument/2006/relationships/image" Target="media/becdb6429d2cf2257707de4197013bff192731df.png"/><Relationship Id="rId16" Type="http://schemas.openxmlformats.org/officeDocument/2006/relationships/image" Target="media/17a9ed2fda4921f76faf8097edd6aae5f8795c4e.png"/><Relationship Id="rId17" Type="http://schemas.openxmlformats.org/officeDocument/2006/relationships/image" Target="media/0a061480972a44386bb30c6576b30e20f2fc107c.png"/><Relationship Id="rId18" Type="http://schemas.openxmlformats.org/officeDocument/2006/relationships/image" Target="media/057c76dcc7f7edda793f7c812f9586712c4f7cc2.png"/><Relationship Id="rId19" Type="http://schemas.openxmlformats.org/officeDocument/2006/relationships/image" Target="media/1f7bb6ab4d4522841298f995c42a5ada2b337f4b.png"/><Relationship Id="rId20" Type="http://schemas.openxmlformats.org/officeDocument/2006/relationships/image" Target="media/d82a5888acadc2c251f149205e55bb3e3238da5d.png"/><Relationship Id="rId21" Type="http://schemas.openxmlformats.org/officeDocument/2006/relationships/image" Target="media/44322c7b9137694ecb7bb61f90db43f7e1e05a15.png"/><Relationship Id="rId22" Type="http://schemas.openxmlformats.org/officeDocument/2006/relationships/image" Target="media/965d14b6494f78fd5ac98ad458cba42d6f25fa1f.png"/><Relationship Id="rId23" Type="http://schemas.openxmlformats.org/officeDocument/2006/relationships/image" Target="media/55b815c8354d43b8fafab23d68b781c9a466c19f.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2026-10-15T12:31:46.590Z</dcterms:created>
  <dcterms:modified xsi:type="dcterms:W3CDTF">2026-10-15T12:31:46.590Z</dcterms:modified>
</cp:coreProperties>
</file>

<file path=docProps/custom.xml><?xml version="1.0" encoding="utf-8"?>
<Properties xmlns="http://schemas.openxmlformats.org/officeDocument/2006/custom-properties" xmlns:vt="http://schemas.openxmlformats.org/officeDocument/2006/docPropsVTypes"/>
</file>