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145</w:t>
      </w:r>
    </w:p>
    <w:p>
      <w:pPr>
        <w:pStyle w:val="TocPart"/>
        <w:tabs>
          <w:tab w:val="right" w:pos="9026" w:leader="dot"/>
        </w:tabs>
      </w:pPr>
      <w:r>
        <w:t xml:space="preserve">Lista de figuras</w:t>
      </w:r>
      <w:r>
        <w:tab/>
      </w:r>
      <w:r>
        <w:rPr>
          <w:color w:val="8A8A8A"/>
        </w:rPr>
        <w:t xml:space="preserve">149</w:t>
      </w:r>
    </w:p>
    <w:p>
      <w:pPr>
        <w:pStyle w:val="TocPart"/>
        <w:tabs>
          <w:tab w:val="right" w:pos="9026" w:leader="dot"/>
        </w:tabs>
      </w:pPr>
      <w:r>
        <w:t xml:space="preserve">Nota metodológica y estatuto de las afirmaciones</w:t>
      </w:r>
      <w:r>
        <w:tab/>
      </w:r>
      <w:r>
        <w:rPr>
          <w:color w:val="8A8A8A"/>
        </w:rPr>
        <w:t xml:space="preserve">150</w:t>
      </w:r>
    </w:p>
    <w:p>
      <w:pPr>
        <w:pStyle w:val="TocPart"/>
        <w:tabs>
          <w:tab w:val="right" w:pos="9026" w:leader="dot"/>
        </w:tabs>
      </w:pPr>
      <w:r>
        <w:t xml:space="preserve">Referencias</w:t>
      </w:r>
      <w:r>
        <w:tab/>
      </w:r>
      <w:r>
        <w:rPr>
          <w:color w:val="8A8A8A"/>
        </w:rPr>
        <w:t xml:space="preserve">152</w:t>
      </w:r>
    </w:p>
    <w:p>
      <w:pPr>
        <w:pStyle w:val="TocPart"/>
        <w:tabs>
          <w:tab w:val="right" w:pos="9026" w:leader="dot"/>
        </w:tabs>
      </w:pPr>
      <w:r>
        <w:t xml:space="preserve">Tarjeta: HII-D en sesenta segundos</w:t>
      </w:r>
      <w:r>
        <w:tab/>
      </w:r>
      <w:r>
        <w:rPr>
          <w:color w:val="8A8A8A"/>
        </w:rPr>
        <w:t xml:space="preserve">162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de las herramientas que siguen, y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los turnos largos produjeron un 36% más de errores graves, y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(inductive risk)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el paso siguiente es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mientras que la actualización de 2024 de la Society of Critical Care Medicine, ya con ese ensayo sobre la mesa, los recomienda en la neumonía bacteriana grave hospitalizada (Metlay et al., 2019;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exactamente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demostrado.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Criterio de reapertura — 8, 12, 15, Interludio III, CC (viñeta 6), Ap A, Ap C</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Red de seguridad (safety-netting) — 11, CC (viñetas 3, 4 y 7)</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Segunda víctima — 14</w:t>
      </w:r>
    </w:p>
    <w:p>
      <w:pPr>
        <w:pStyle w:val="BodyJ"/>
        <w:numPr>
          <w:ilvl w:val="0"/>
          <w:numId w:val="6"/>
        </w:numPr>
      </w:pPr>
      <w:r>
        <w:t xml:space="preserve">Segundo lector — 5, 8, 17</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053aed5214e5817ca2bc7077bedd0d598f4e04b.png"/><Relationship Id="rId18" Type="http://schemas.openxmlformats.org/officeDocument/2006/relationships/image" Target="media/1970e22e163347f285599984ecb26af3f84ccbbb.png"/><Relationship Id="rId19" Type="http://schemas.openxmlformats.org/officeDocument/2006/relationships/image" Target="media/db6a8b0a96eb70fd2d1fff7501f5acaaae3a300e.png"/><Relationship Id="rId20" Type="http://schemas.openxmlformats.org/officeDocument/2006/relationships/image" Target="media/147914b6ed22858813c6914a5f828116ebfd39b0.png"/><Relationship Id="rId21" Type="http://schemas.openxmlformats.org/officeDocument/2006/relationships/image" Target="media/8fcc67cfcb45f0b31c60e24afdc6b86c2e8dd384.png"/><Relationship Id="rId22" Type="http://schemas.openxmlformats.org/officeDocument/2006/relationships/image" Target="media/4040ee3bac2dc1ccc36a8793c1f87e53f1ba14e3.png"/><Relationship Id="rId23" Type="http://schemas.openxmlformats.org/officeDocument/2006/relationships/image" Target="media/7e4817341cb61efe50da50135ded2304f7f1e12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2026-10-14T20:07:38.552Z</dcterms:created>
  <dcterms:modified xsi:type="dcterms:W3CDTF">2026-10-14T20:07:38.552Z</dcterms:modified>
</cp:coreProperties>
</file>

<file path=docProps/custom.xml><?xml version="1.0" encoding="utf-8"?>
<Properties xmlns="http://schemas.openxmlformats.org/officeDocument/2006/custom-properties" xmlns:vt="http://schemas.openxmlformats.org/officeDocument/2006/docPropsVTypes"/>
</file>