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15</w:t>
      </w:r>
    </w:p>
    <w:p>
      <w:pPr>
        <w:pStyle w:val="TocEntry"/>
        <w:tabs>
          <w:tab w:val="right" w:pos="9026" w:leader="dot"/>
        </w:tabs>
      </w:pPr>
      <w:r>
        <w:t xml:space="preserve">Capítulo 3. Incertidumbre: una condición estructural</w:t>
      </w:r>
      <w:r>
        <w:tab/>
      </w:r>
      <w:r>
        <w:rPr>
          <w:color w:val="8A8A8A"/>
        </w:rPr>
        <w:t xml:space="preserve">21</w:t>
      </w:r>
    </w:p>
    <w:p>
      <w:pPr>
        <w:pStyle w:val="TocEntry"/>
        <w:tabs>
          <w:tab w:val="right" w:pos="9026" w:leader="dot"/>
        </w:tabs>
      </w:pPr>
      <w:r>
        <w:t xml:space="preserve">Capítulo 4. Lenguaje clínico y densidad epistémica</w:t>
      </w:r>
      <w:r>
        <w:tab/>
      </w:r>
      <w:r>
        <w:rPr>
          <w:color w:val="8A8A8A"/>
        </w:rPr>
        <w:t xml:space="preserve">25</w:t>
      </w:r>
    </w:p>
    <w:p>
      <w:pPr>
        <w:pStyle w:val="TocEntry"/>
        <w:tabs>
          <w:tab w:val="right" w:pos="9026" w:leader="dot"/>
        </w:tabs>
      </w:pPr>
      <w:r>
        <w:t xml:space="preserve">Interludio I. La ficha de Carmen</w:t>
      </w:r>
      <w:r>
        <w:tab/>
      </w:r>
      <w:r>
        <w:rPr>
          <w:color w:val="8A8A8A"/>
        </w:rPr>
        <w:t xml:space="preserve">30</w:t>
      </w:r>
    </w:p>
    <w:p>
      <w:pPr>
        <w:pStyle w:val="TocPart"/>
        <w:tabs>
          <w:tab w:val="right" w:pos="9026" w:leader="dot"/>
        </w:tabs>
      </w:pPr>
      <w:r>
        <w:t xml:space="preserve">PARTE II. La mente que se observa</w:t>
      </w:r>
      <w:r>
        <w:tab/>
      </w:r>
      <w:r>
        <w:rPr>
          <w:color w:val="8A8A8A"/>
        </w:rPr>
        <w:t xml:space="preserve">31</w:t>
      </w:r>
    </w:p>
    <w:p>
      <w:pPr>
        <w:pStyle w:val="TocEntry"/>
        <w:tabs>
          <w:tab w:val="right" w:pos="9026" w:leader="dot"/>
        </w:tabs>
      </w:pPr>
      <w:r>
        <w:t xml:space="preserve">Capítulo 5. Metacognición: monitorear y regular el propio juicio</w:t>
      </w:r>
      <w:r>
        <w:tab/>
      </w:r>
      <w:r>
        <w:rPr>
          <w:color w:val="8A8A8A"/>
        </w:rPr>
        <w:t xml:space="preserve">32</w:t>
      </w:r>
    </w:p>
    <w:p>
      <w:pPr>
        <w:pStyle w:val="TocEntry"/>
        <w:tabs>
          <w:tab w:val="right" w:pos="9026" w:leader="dot"/>
        </w:tabs>
      </w:pPr>
      <w:r>
        <w:t xml:space="preserve">Capítulo 6. Pericia, intuición y conocimiento tácito</w:t>
      </w:r>
      <w:r>
        <w:tab/>
      </w:r>
      <w:r>
        <w:rPr>
          <w:color w:val="8A8A8A"/>
        </w:rPr>
        <w:t xml:space="preserve">38</w:t>
      </w:r>
    </w:p>
    <w:p>
      <w:pPr>
        <w:pStyle w:val="TocEntry"/>
        <w:tabs>
          <w:tab w:val="right" w:pos="9026" w:leader="dot"/>
        </w:tabs>
      </w:pPr>
      <w:r>
        <w:t xml:space="preserve">Capítulo 7. Error, sesgo y ecología del diagnóstico</w:t>
      </w:r>
      <w:r>
        <w:tab/>
      </w:r>
      <w:r>
        <w:rPr>
          <w:color w:val="8A8A8A"/>
        </w:rPr>
        <w:t xml:space="preserve">41</w:t>
      </w:r>
    </w:p>
    <w:p>
      <w:pPr>
        <w:pStyle w:val="TocEntry"/>
        <w:tabs>
          <w:tab w:val="right" w:pos="9026" w:leader="dot"/>
        </w:tabs>
      </w:pPr>
      <w:r>
        <w:t xml:space="preserve">Capítulo 8. Reflexión y desaceleración selectiva</w:t>
      </w:r>
      <w:r>
        <w:tab/>
      </w:r>
      <w:r>
        <w:rPr>
          <w:color w:val="8A8A8A"/>
        </w:rPr>
        <w:t xml:space="preserve">45</w:t>
      </w:r>
    </w:p>
    <w:p>
      <w:pPr>
        <w:pStyle w:val="TocEntry"/>
        <w:tabs>
          <w:tab w:val="right" w:pos="9026" w:leader="dot"/>
        </w:tabs>
      </w:pPr>
      <w:r>
        <w:t xml:space="preserve">Interludio II. Lo que el equipo pensó</w:t>
      </w:r>
      <w:r>
        <w:tab/>
      </w:r>
      <w:r>
        <w:rPr>
          <w:color w:val="8A8A8A"/>
        </w:rPr>
        <w:t xml:space="preserve">48</w:t>
      </w:r>
    </w:p>
    <w:p>
      <w:pPr>
        <w:pStyle w:val="TocPart"/>
        <w:tabs>
          <w:tab w:val="right" w:pos="9026" w:leader="dot"/>
        </w:tabs>
      </w:pPr>
      <w:r>
        <w:t xml:space="preserve">PARTE III. Decidir en el tiempo y con otros</w:t>
      </w:r>
      <w:r>
        <w:tab/>
      </w:r>
      <w:r>
        <w:rPr>
          <w:color w:val="8A8A8A"/>
        </w:rPr>
        <w:t xml:space="preserve">49</w:t>
      </w:r>
    </w:p>
    <w:p>
      <w:pPr>
        <w:pStyle w:val="TocEntry"/>
        <w:tabs>
          <w:tab w:val="right" w:pos="9026" w:leader="dot"/>
        </w:tabs>
      </w:pPr>
      <w:r>
        <w:t xml:space="preserve">Capítulo 9. La evidencia y el caso singular</w:t>
      </w:r>
      <w:r>
        <w:tab/>
      </w:r>
      <w:r>
        <w:rPr>
          <w:color w:val="8A8A8A"/>
        </w:rPr>
        <w:t xml:space="preserve">50</w:t>
      </w:r>
    </w:p>
    <w:p>
      <w:pPr>
        <w:pStyle w:val="TocEntry"/>
        <w:tabs>
          <w:tab w:val="right" w:pos="9026" w:leader="dot"/>
        </w:tabs>
      </w:pPr>
      <w:r>
        <w:t xml:space="preserve">Capítulo 10. Decidir sin certeza: umbrales, valores y lectura de la evidencia</w:t>
      </w:r>
      <w:r>
        <w:tab/>
      </w:r>
      <w:r>
        <w:rPr>
          <w:color w:val="8A8A8A"/>
        </w:rPr>
        <w:t xml:space="preserve">53</w:t>
      </w:r>
    </w:p>
    <w:p>
      <w:pPr>
        <w:pStyle w:val="TocEntry"/>
        <w:tabs>
          <w:tab w:val="right" w:pos="9026" w:leader="dot"/>
        </w:tabs>
      </w:pPr>
      <w:r>
        <w:t xml:space="preserve">Capítulo 11. Temporalidad, trayectoria y razonamiento contrafactual</w:t>
      </w:r>
      <w:r>
        <w:tab/>
      </w:r>
      <w:r>
        <w:rPr>
          <w:color w:val="8A8A8A"/>
        </w:rPr>
        <w:t xml:space="preserve">60</w:t>
      </w:r>
    </w:p>
    <w:p>
      <w:pPr>
        <w:pStyle w:val="TocEntry"/>
        <w:tabs>
          <w:tab w:val="right" w:pos="9026" w:leader="dot"/>
        </w:tabs>
      </w:pPr>
      <w:r>
        <w:t xml:space="preserve">Capítulo 12. La ficha clínica como instrumento de pensamiento</w:t>
      </w:r>
      <w:r>
        <w:tab/>
      </w:r>
      <w:r>
        <w:rPr>
          <w:color w:val="8A8A8A"/>
        </w:rPr>
        <w:t xml:space="preserve">63</w:t>
      </w:r>
    </w:p>
    <w:p>
      <w:pPr>
        <w:pStyle w:val="TocEntry"/>
        <w:tabs>
          <w:tab w:val="right" w:pos="9026" w:leader="dot"/>
        </w:tabs>
      </w:pPr>
      <w:r>
        <w:t xml:space="preserve">Capítulo 13. Pensar con otros: equipos, desacuerdo y comunicación de la incertidumbre</w:t>
      </w:r>
      <w:r>
        <w:tab/>
      </w:r>
      <w:r>
        <w:rPr>
          <w:color w:val="8A8A8A"/>
        </w:rPr>
        <w:t xml:space="preserve">67</w:t>
      </w:r>
    </w:p>
    <w:p>
      <w:pPr>
        <w:pStyle w:val="TocEntry"/>
        <w:tabs>
          <w:tab w:val="right" w:pos="9026" w:leader="dot"/>
        </w:tabs>
      </w:pPr>
      <w:r>
        <w:t xml:space="preserve">Interludio III. La decisión de Carmen</w:t>
      </w:r>
      <w:r>
        <w:tab/>
      </w:r>
      <w:r>
        <w:rPr>
          <w:color w:val="8A8A8A"/>
        </w:rPr>
        <w:t xml:space="preserve">72</w:t>
      </w:r>
    </w:p>
    <w:p>
      <w:pPr>
        <w:pStyle w:val="TocPart"/>
        <w:tabs>
          <w:tab w:val="right" w:pos="9026" w:leader="dot"/>
        </w:tabs>
      </w:pPr>
      <w:r>
        <w:t xml:space="preserve">PARTE IV. Una epistemología operativa</w:t>
      </w:r>
      <w:r>
        <w:tab/>
      </w:r>
      <w:r>
        <w:rPr>
          <w:color w:val="8A8A8A"/>
        </w:rPr>
        <w:t xml:space="preserve">74</w:t>
      </w:r>
    </w:p>
    <w:p>
      <w:pPr>
        <w:pStyle w:val="TocEntry"/>
        <w:tabs>
          <w:tab w:val="right" w:pos="9026" w:leader="dot"/>
        </w:tabs>
      </w:pPr>
      <w:r>
        <w:t xml:space="preserve">Capítulo 14. Humildad epistémica y responsabilidad clínica</w:t>
      </w:r>
      <w:r>
        <w:tab/>
      </w:r>
      <w:r>
        <w:rPr>
          <w:color w:val="8A8A8A"/>
        </w:rPr>
        <w:t xml:space="preserve">75</w:t>
      </w:r>
    </w:p>
    <w:p>
      <w:pPr>
        <w:pStyle w:val="TocEntry"/>
        <w:tabs>
          <w:tab w:val="right" w:pos="9026" w:leader="dot"/>
        </w:tabs>
      </w:pPr>
      <w:r>
        <w:t xml:space="preserve">Capítulo 15. El método HII-D: una epistemología operativa</w:t>
      </w:r>
      <w:r>
        <w:tab/>
      </w:r>
      <w:r>
        <w:rPr>
          <w:color w:val="8A8A8A"/>
        </w:rPr>
        <w:t xml:space="preserve">81</w:t>
      </w:r>
    </w:p>
    <w:p>
      <w:pPr>
        <w:pStyle w:val="TocEntry"/>
        <w:tabs>
          <w:tab w:val="right" w:pos="9026" w:leader="dot"/>
        </w:tabs>
      </w:pPr>
      <w:r>
        <w:t xml:space="preserve">Cuaderno de casos. Ocho viñetas para una lectura metacognitiva</w:t>
      </w:r>
      <w:r>
        <w:tab/>
      </w:r>
      <w:r>
        <w:rPr>
          <w:color w:val="8A8A8A"/>
        </w:rPr>
        <w:t xml:space="preserve">88</w:t>
      </w:r>
    </w:p>
    <w:p>
      <w:pPr>
        <w:pStyle w:val="TocEntry"/>
        <w:tabs>
          <w:tab w:val="right" w:pos="9026" w:leader="dot"/>
        </w:tabs>
      </w:pPr>
      <w:r>
        <w:t xml:space="preserve">Capítulo 16. Enseñar y organizar la metacognición clínica</w:t>
      </w:r>
      <w:r>
        <w:tab/>
      </w:r>
      <w:r>
        <w:rPr>
          <w:color w:val="8A8A8A"/>
        </w:rPr>
        <w:t xml:space="preserve">98</w:t>
      </w:r>
    </w:p>
    <w:p>
      <w:pPr>
        <w:pStyle w:val="TocEntry"/>
        <w:tabs>
          <w:tab w:val="right" w:pos="9026" w:leader="dot"/>
        </w:tabs>
      </w:pPr>
      <w:r>
        <w:t xml:space="preserve">Capítulo 17. La inteligencia artificial en el proceso clínico: roles, riesgos y defensas</w:t>
      </w:r>
      <w:r>
        <w:tab/>
      </w:r>
      <w:r>
        <w:rPr>
          <w:color w:val="8A8A8A"/>
        </w:rPr>
        <w:t xml:space="preserve">102</w:t>
      </w:r>
    </w:p>
    <w:p>
      <w:pPr>
        <w:pStyle w:val="TocEntry"/>
        <w:tabs>
          <w:tab w:val="right" w:pos="9026" w:leader="dot"/>
        </w:tabs>
      </w:pPr>
      <w:r>
        <w:t xml:space="preserve">Capítulo 18. La palabra exacta: lo que la poesía sabe del juicio clínico</w:t>
      </w:r>
      <w:r>
        <w:tab/>
      </w:r>
      <w:r>
        <w:rPr>
          <w:color w:val="8A8A8A"/>
        </w:rPr>
        <w:t xml:space="preserve">109</w:t>
      </w:r>
    </w:p>
    <w:p>
      <w:pPr>
        <w:pStyle w:val="TocPart"/>
        <w:tabs>
          <w:tab w:val="right" w:pos="9026" w:leader="dot"/>
        </w:tabs>
      </w:pPr>
      <w:r>
        <w:t xml:space="preserve">Conclusión. Una medicina lúcida</w:t>
      </w:r>
      <w:r>
        <w:tab/>
      </w:r>
      <w:r>
        <w:rPr>
          <w:color w:val="8A8A8A"/>
        </w:rPr>
        <w:t xml:space="preserve">113</w:t>
      </w:r>
    </w:p>
    <w:p>
      <w:pPr>
        <w:pStyle w:val="TocPart"/>
        <w:tabs>
          <w:tab w:val="right" w:pos="9026" w:leader="dot"/>
        </w:tabs>
      </w:pPr>
      <w:r>
        <w:t xml:space="preserve">Apéndice A. Hoja HII-D para discusión de casos</w:t>
      </w:r>
      <w:r>
        <w:tab/>
      </w:r>
      <w:r>
        <w:rPr>
          <w:color w:val="8A8A8A"/>
        </w:rPr>
        <w:t xml:space="preserve">115</w:t>
      </w:r>
    </w:p>
    <w:p>
      <w:pPr>
        <w:pStyle w:val="TocPart"/>
        <w:tabs>
          <w:tab w:val="right" w:pos="9026" w:leader="dot"/>
        </w:tabs>
      </w:pPr>
      <w:r>
        <w:t xml:space="preserve">Apéndice B. Léxico de certeza y pausa diagnóstica</w:t>
      </w:r>
      <w:r>
        <w:tab/>
      </w:r>
      <w:r>
        <w:rPr>
          <w:color w:val="8A8A8A"/>
        </w:rPr>
        <w:t xml:space="preserve">117</w:t>
      </w:r>
    </w:p>
    <w:p>
      <w:pPr>
        <w:pStyle w:val="TocPart"/>
        <w:tabs>
          <w:tab w:val="right" w:pos="9026" w:leader="dot"/>
        </w:tabs>
      </w:pPr>
      <w:r>
        <w:t xml:space="preserve">Apéndice C. Guía de implementación en un servicio clínico</w:t>
      </w:r>
      <w:r>
        <w:tab/>
      </w:r>
      <w:r>
        <w:rPr>
          <w:color w:val="8A8A8A"/>
        </w:rPr>
        <w:t xml:space="preserve">119</w:t>
      </w:r>
    </w:p>
    <w:p>
      <w:pPr>
        <w:pStyle w:val="TocPart"/>
        <w:tabs>
          <w:tab w:val="right" w:pos="9026" w:leader="dot"/>
        </w:tabs>
      </w:pPr>
      <w:r>
        <w:t xml:space="preserve">Glosario</w:t>
      </w:r>
      <w:r>
        <w:tab/>
      </w:r>
      <w:r>
        <w:rPr>
          <w:color w:val="8A8A8A"/>
        </w:rPr>
        <w:t xml:space="preserve">121</w:t>
      </w:r>
    </w:p>
    <w:p>
      <w:pPr>
        <w:pStyle w:val="TocPart"/>
        <w:tabs>
          <w:tab w:val="right" w:pos="9026" w:leader="dot"/>
        </w:tabs>
      </w:pPr>
      <w:r>
        <w:t xml:space="preserve">Índice analítico</w:t>
      </w:r>
      <w:r>
        <w:tab/>
      </w:r>
      <w:r>
        <w:rPr>
          <w:color w:val="8A8A8A"/>
        </w:rPr>
        <w:t xml:space="preserve">125</w:t>
      </w:r>
    </w:p>
    <w:p>
      <w:pPr>
        <w:pStyle w:val="TocPart"/>
        <w:tabs>
          <w:tab w:val="right" w:pos="9026" w:leader="dot"/>
        </w:tabs>
      </w:pPr>
      <w:r>
        <w:t xml:space="preserve">Nota metodológica y estatuto de las afirmaciones</w:t>
      </w:r>
      <w:r>
        <w:tab/>
      </w:r>
      <w:r>
        <w:rPr>
          <w:color w:val="8A8A8A"/>
        </w:rPr>
        <w:t xml:space="preserve">128</w:t>
      </w:r>
    </w:p>
    <w:p>
      <w:pPr>
        <w:pStyle w:val="TocPart"/>
        <w:tabs>
          <w:tab w:val="right" w:pos="9026" w:leader="dot"/>
        </w:tabs>
      </w:pPr>
      <w:r>
        <w:t xml:space="preserve">Referencias</w:t>
      </w:r>
      <w:r>
        <w:tab/>
      </w:r>
      <w:r>
        <w:rPr>
          <w:color w:val="8A8A8A"/>
        </w:rPr>
        <w:t xml:space="preserve">129</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y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—sus roles, sus riesgos y las defensas frente a ellos— y un cierre desde la poesía chilena —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1.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puede escribir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Conviene precisar, antes de seguir, qué estatuto tiene entonces la palabra "hecho" en este libro,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es una línea que el equipo traza, puede volver a trazar y debe poder mostrar dónde la trazó. Eso —y no compartimentos puros— es lo que la Figura 1 llama separación funcional y gradual.</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registrar los hechos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2.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conviene leerla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Conviene devolverla al centro. Peirce, al bautizar la abducción en sus lecciones de 1903, la describió como la única operación lógica que introduce ideas nuevas: la deducción prueba lo que ya estaba contenido en las premisas y la inducción generaliza lo ya observado, pero la hipótesis que organiza un caso no se extrae de los datos —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es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trabajamos sin verla (Bohm, 1996; Bohm &amp; Peat, 1987). Es exactamente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mostró,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 "TAC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 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este capítulo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de este capítulo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de este libro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hace 24 horas y con débito por sonda en descenso. Relato de ingreso textual: "esta vez la hernia no se dejó acomodar, el dolor era otro".</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mostraron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Conviene fijar la división del trabajo: el monitoreo detecta — la fluidez que se rompe, el dato que no encaja, la emoción que desentona con el caso —; el control decide qué hacer con la señal —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demasiado literalmente: la vigilancia del propio juicio es sólo en parte introspectiva. Muchas de sus mejores señales vienen de afuera —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la intuición es confiable cuando se formó en un entorno de validez alta — regularidades estables entre señales y desenlaces — y con oportunidad real de aprenderlas, es decir, feedback oportuno y veraz; sin esas dos condiciones la sensación de saber crece igual, pero sin correlato (Kahneman &amp; Klein, 2009).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al olvidar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exactamente el punto de este capítulo.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(capítulo 9), la decisión por umbrales donde los valores entran al cálculo y los ensayos se leen con su marco a la vista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Hagamos la aritmética explícita con Carmen usando cifras ilustrativas. Supongamos que el ensayo clínico de referencia demostró que operar electivamente reduce un 50% el riesgo relativo de sufrir una nueva obstrucción a dos años, partiendo de un riesgo basal de 20% en la cohorte estudiada: eso equivale a una reducción absoluta de 10 puntos porcentuales (es necesario operar a diez pacientes promedio para evitar una obstrucción). Pero Carmen no pertenece al promedio de ese estudio: tras cuatro episodios en doce meses —acelerándose en frecuencia y el último complicado con shock séptico—, su probabilidad basal de volver a obstruirse y sufrir una complicación grave es sustancialmente mayor, digamos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debemos estimar antes de recomendar —dos riesgos basales individualizados, el de la enfermedad sin intervención y el del quirófano— y demuestra por qué la muletilla "está indicado por evidencia" suele esconder ambas estimaciones.</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por eso,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Un resultado de investigación es un hecho sobre una población; su aplicabilidad a esta persona es una inferencia que debe hacerse explícita — traducir no es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¿Qué rasgo concreto de este caso modifica la inferencia poblacional — y puedo nombrarlo, o sólo lo intuyo?</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lectura de la evidencia</w:t>
      </w:r>
    </w:p>
    <w:p>
      <w:pPr>
        <w:pStyle w:val="BodyJ"/>
      </w:pPr>
      <w:r>
        <w:t xml:space="preserve">Supongamos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la decisión técnica se cruza con la bioética, y hasta la lectura de un ensayo resulta ser una decisión.</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Ilustremos esta asimetría de costos con los dos momentos de Carmen. En la madrugada del ingreso, con la paciente en shock pero con una tomografía sin necrosis ni perforación libre, entrar a pabellón en plena inestabilidad hemodinámica conllevaba una mortalidad perioperatoria altísima; como el cuadro cedió rápidamente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y que un quinto atascamiento reproduzca el shock séptico en su domicilio, lejos de una cama crítica. La anatomía radiológica es la misma; lo que desplazó el umbral terapéutico hacia la reparación electiva fue el nuevo peso pronóstico del error de omisión.</w:t>
      </w: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el riesgo inductivo de la sección anterior,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7.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que,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—con fragilidad clínica avanzada, deterioro cognitivo incipiente, dos hospitalizaciones por broncoaspiración en el semestre y una hija cuidadora exhausta— va a recuperar calidad de vida o funcionalidad gracias a la prótesis valvular es una inferencia completamente distinta, cuya validez exige incorporar otros hechos clínicos a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Conviene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exactamente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en la conversación donde la cirujana recomienda operar a Carmen y le devuelve la decisión (Interludio III), y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8.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corresponden a opiniones discutibles, sino a hechos clínicos nunca recabados: nadie preguntó con quién vive el paciente, la funcionalidad basal figura como "previamente autovalente" por simple arrastre documental sin evaluación objetiva, y las preferencias registradas son presunciones de la familia en lugar de la voz directa del enfermo. Segundo: completar las cuatro casillas rara vez cambia el aspecto técnico de la intervención, pero transforma de raíz la deliberación clínica: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el contexto global del paciente dentro del cálculo y ensayos leídos con su marco inferencial a la vista.</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El último ensayo "negativo" que cité: ¿mostró ausencia de efecto o ausencia de significación — y traté esa diferencia como si no existiera?</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y,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 "Observación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 Esta estructura explicita los cuatro pilares que validan al tiempo como prueba diagnóstica: qué se busca evaluar (la trayectoria del dolor y la tolerancia oral), en qué ventana temporal (4 a 8 horas), qué variables gatillan acción (con plazos y responsables definidos) y cuáles son los umbrales de salida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Khanna &amp; Najafi, 2017). Cuatro de cada cinco palabras de una evolución típica no fueron pensadas el día en que aparecen firmadas.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neoplasia avanzada activa.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afebril, pero con requerimiento de oxígeno que subió de 2 a 4 L/min en 48 horas, PCR estacionaria (180→165 mg/L) y un derrame pleural nuevo en la radiografía de tórax de control. Reescriba la evolución del día 5 aplicando la estructura HII-D.</w:t>
      </w:r>
    </w:p>
    <w:p>
      <w:pPr>
        <w:pStyle w:val="BodyJ"/>
      </w:pPr>
      <w:r>
        <w:rPr>
          <w:i/>
          <w:iCs/>
        </w:rPr>
        <w:t xml:space="preserve">Solución comentada.</w:t>
      </w:r>
      <w:r>
        <w:t xml:space="preserve"> "</w:t>
      </w: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 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aborda el conocimiento clínico como una propiedad distribuida en un equipo —médicos, enfermeras, técnicos, kinesiólogos, paciente, familia y sistemas de registro— y examina cómo esa información se degrada, se delibera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Volvamos al registro de enfermería de las 02:00. "Más quejumbrosa, rechaza la cena, diuresis en el límite" contiene tres hechos clínicos de pleno derecho que ninguna evolución médica de esa mañana recogió: una desviación aguda respecto del estado basal detectada por quien evalúa a la paciente cada dos horas y no una vez al día; un cambio conductual —dejar de comer cuando venía alimentándose bien— que constituye un signo clínico precoz y no una anécdota doméstica; y una pendiente fisiológica descendente que antecede por horas a la hipotensión manifiesta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qué integrante tiene el mejor puesto de observación para cada fenómeno; y el de enfermería es precisamente el intervalo de veinte horas entre una visita médica y la siguiente, que es cuando los pacientes hospitalizados comienzan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El rótulo "paciente estable" puede invisibilizar un requerimiento de oxígeno que se duplicó en silencio; "urocultivo positivo" suele perder en el camino la advertencia de que el paciente es usuario crónico de sonda y está asintomático; "TAC sin complicaciones agudas" se traduce inadvertidamente como "hernia no complicada", borrando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se localiza en dos puntos precisos: primero, en una </w:t>
      </w:r>
      <w:r>
        <w:rPr>
          <w:b/>
          <w:bCs/>
        </w:rPr>
        <w:t xml:space="preserve">incertidumbre</w:t>
      </w:r>
      <w:r>
        <w:t xml:space="preserve"> epistémica reducible respecto de la reserva fisiológica actual de la paciente (¿cuánto incrementa el riesgo perioperatorio el shock recién resuelto?, una duda que no se dirime con opiniones en la entrega de turno, sino mediante una evaluación funcional y preoperatoria formal); y segundo, en el </w:t>
      </w:r>
      <w:r>
        <w:rPr>
          <w:b/>
          <w:bCs/>
        </w:rPr>
        <w:t xml:space="preserve">umbral de decisión</w:t>
      </w:r>
      <w:r>
        <w:t xml:space="preserve"> (¿cuánto riesgo quirúrgico programado es razonable asumir hoy para evitar el riesgo incierto de una urgencia futura?, una ponderación que exige incorporar los </w:t>
      </w:r>
      <w:r>
        <w:rPr>
          <w:b/>
          <w:bCs/>
        </w:rPr>
        <w:t xml:space="preserve">valores</w:t>
      </w:r>
      <w:r>
        <w:t xml:space="preserve"> y temores de la propia Carmen, quien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Comienza transparentando la arquitectura del problema en cuatro estaciones:</w:t>
      </w:r>
    </w:p>
    <w:p>
      <w:pPr>
        <w:pStyle w:val="BodyJ"/>
      </w:pPr>
      <w:r>
        <w:t xml:space="preserve">—Le voy a explicar con calma qué sabemos con seguridad, qué creemos que puede pasar, qué cosas no podemos asegurarle y qué caminos tenemos. Lo que sabemos: usted tiene una hernia que en los últimos doce meses se ha atascado cuatro veces, y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sin que nadie pueda predecir en qué fecha ocurrirá. Lo que no sabemos: si la operación será técnicamente sencilla —porque su abdomen ya tiene cicatrices internas de antes— ni cómo se comportará exactamente su pulmón con la anestesia; ese riesgo quirúrgico existe y no es menor. Nuestras opciones son dos: programamos la cirugía ahora que usted ya recuperó fuerzas, de día y con todo el equipo preparado; o nos vamos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w:t>
      </w:r>
    </w:p>
    <w:p>
      <w:pPr>
        <w:pStyle w:val="BodyJ"/>
      </w:pPr>
      <w:r>
        <w:t xml:space="preserve">—Doctora, ¿y usted qué haría en mi lugar?</w:t>
      </w:r>
    </w:p>
    <w:p>
      <w:pPr>
        <w:pStyle w:val="BodyJ"/>
      </w:pPr>
      <w:r>
        <w:t xml:space="preserve">La cirujana no rehúye la recomendación ni usurpa la decisión:</w:t>
      </w:r>
    </w:p>
    <w:p>
      <w:pPr>
        <w:pStyle w:val="BodyJ"/>
      </w:pPr>
      <w:r>
        <w:t xml:space="preserve">—Yo le recomiendo operarse, Carmen, y le transparento mi razón: prefiero asumir un riesgo quirúrgico conocido, con usted compensada y en un pabellón programado, antes que exponerla a un nuevo episodio de urgencia que no controlamos. Pero la que vivió la angustia del shock fue usted, y quien tiene derecho a decidir a cuál de esos dos riesgos le teme más también es usted.</w:t>
      </w:r>
    </w:p>
    <w:p>
      <w:pPr>
        <w:pStyle w:val="BodyJ"/>
      </w:pPr>
      <w:r>
        <w:t xml:space="preserve">La hija interviene para preguntar si la operación "garantiza" que el problema nunca se repetirá.</w:t>
      </w:r>
    </w:p>
    <w:p>
      <w:pPr>
        <w:pStyle w:val="BodyJ"/>
      </w:pPr>
      <w:r>
        <w:t xml:space="preserve">—No —responde la cirujana sin rodeos—. Reduce muchísimo la probabilidad, pero en medicina nada la lleva a cero. Si le prometiera garantías absolutas, le estaría faltando a la verdad.</w:t>
      </w:r>
    </w:p>
    <w:p>
      <w:pPr>
        <w:pStyle w:val="BodyJ"/>
      </w:pPr>
      <w:r>
        <w:t xml:space="preserve">Carmen guarda silencio unos segundos y luego pronuncia el relato más largo que el equipo le ha escuchado en toda la hospitalización:</w:t>
      </w:r>
    </w:p>
    <w:p>
      <w:pPr>
        <w:pStyle w:val="BodyJ"/>
      </w:pPr>
      <w:r>
        <w:t xml:space="preserve">—Yo no quiero volver a pasar una noche como la que pasé al llegar. Pensé que me moría, y vi en la cara de mi hija que ella pensó lo mismo. Pero tampoco quiero que me operen por operar: en mi cirugía antigua demoré meses en poder enderezarme bien. Lo único que yo necesito saber, doctora, es si después de recuperarme voy a poder seguir cuidando a mi nieta en las tardes.</w:t>
      </w:r>
    </w:p>
    <w:p>
      <w:pPr>
        <w:pStyle w:val="BodyJ"/>
      </w:pPr>
      <w:r>
        <w:t xml:space="preserve">Esa pregunta no figuraba en ninguna calculadora de riesgo perioperatorio, pero era el criterio rector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 "Obstrucción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—orientada a preservar su rol funcional familiar y evitar una nueva urgencia vital— justifican reparación quirúrgica electiva tras optimización, asumiendo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exactamente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del capítulo 7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que este libro viene invocando desde el capítulo 6: es su condición de funcionamiento. La prudencia práctica integra, en el caso particular, lo que ningún algoritmo integra por nosotros — conocimiento causal, emoción leída como dato, valores del paciente y oportunidad: el momento de actuar ahora o esperar. Esa integración sólo permanece honesta si alguien vigila sus límites, y la humildad es exactamente eso: la phronesis vuelta sobre sí misma, la parte de la prudencia que sabe cuánta de la propia prudencia es conjetura. Con ella queda a la vista el hilo que el libro venía tendiendo: el capítulo 2 mostró la abducción — la conjetura que crea explicaciones —; el capítulo 5, la metacognición que la vigila mientras trabaja; la humildad es la disposición que la mantiene abierta cuando ya produjo una respuesta cómoda. Generar, vigilar, mantener abierto: tres nombres de una misma lealtad al caso.</w:t>
      </w:r>
    </w:p>
    <w:p>
      <w:pPr>
        <w:pStyle w:val="BodyJ"/>
      </w:pPr>
      <w:r>
        <w:t xml:space="preserve">Por eso este libro necesita la humildad no como ornamento ético sino como pieza estructural. La reevaluación del método HII-D (capítulo 15)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merece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mientras que la nota que muestra qué se sabía, qué se dudaba y cuándo se planeó reevaluar demuestra exactamente lo que el derecho sanitario pondera —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hacer el análisis de trayectoria del capítulo 7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9.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conviene decir exactamente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pero sin isquemia aguda en tomografía; este salto cualitativo de gravedad modifica el umbral terapéutico y justifica priorizar la reparación quirúrgica electiva tras su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postoperatoria no demuestra, por sí sola, que la indicación haya sido acertada —un desenlace feliz nunca valida retroactivamente un proceso defectuoso—; lo relevante es que la estructura de la decisión era racional y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Hombre con lesión medular completa, vejiga neurogénica, usuario crónico de sonda Foley y portador de una neoplasia avanzada en progresión. Tras un recambio traumático de sonda, presenta orina turbia, piuria en el sedimento y urocultivo positivo. Al examen se encuentra afebril, hemodinámicamente estable y sin cambios respecto de su condición basal. Sus marcadores inflamatorios sanguíneos están elevados, sin valores previos para comparar y con su enfermedad tumoral activa como causa concomitante. Registra antecedente de colonización e infecciones previas por enterobacteria productora de BLEE.</w:t>
      </w:r>
    </w:p>
    <w:p>
      <w:pPr>
        <w:pStyle w:val="BodyJ"/>
      </w:pPr>
      <w:r>
        <w:rPr>
          <w:i/>
          <w:iCs/>
        </w:rPr>
        <w:t xml:space="preserve">Hechos:</w:t>
      </w:r>
      <w:r>
        <w:t xml:space="preserve"> usuario crónico de catéter urinario con recambio reciente; piuria y urocultivo positivo; estabilidad hemodinámica y ausencia de fiebre; imposibilidad neuroanatómica de evaluar síntomas urinarios bajos clásicos; elevación de reactantes de fase aguda sin basal conocido en paciente con neoplasia activa; antecedente documentado de colonización por microorganismo productor de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opera como un gatillo para prescribir antes, sino exactamente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y se mantiene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produciría si me equivoco?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ahora y qué me haría cambiar? (Decisión)</w:t>
      </w:r>
      <w:r>
        <w:t xml:space="preserve"> Ingresar a cama monitorizada, instalar vía venosa, administrar antiagregación inicial según protocolo, programar ECG seriado estricto cada 15–30 minutos y gestionar rescate rápido de la troponina; activar hemodinamia de inmediato si el trazado evoluciona a supradesnivel o si el dolor se vuelve refractario. Se registra en la ficha: "SCA en evolución aún no demostrado; se inicia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operativamente como SCA probable bajo monitorización continua, priorizando la protección frente al error de omisión mientras la seriación electrocardiográfica y enzimática confirma o degrada la hipótesis."</w:t>
      </w:r>
    </w:p>
    <w:p>
      <w:pPr>
        <w:pStyle w:val="BodyJ"/>
      </w:pPr>
      <w:r>
        <w:rPr>
          <w:i/>
          <w:iCs/>
        </w:rPr>
        <w:t xml:space="preserve">Lectura metacognitiva.</w:t>
      </w:r>
      <w:r>
        <w:t xml:space="preserve"> El acierto clínico a las tres de la mañana no consistió en adivinar el diagnóstico definitivo, sino en tomar una decisión estratégica: comprar tiempo seguro mediante intervenciones de bajo riesgo y vigilancia de alta resolución. En los turnos de urgencia, el fallo catastrófico rara vez es intelectual (casi todo médico piensa en el infarto); suele ser logístico y de diseño: formular la hipótesis correcta ("probable SCA") pero dejar al paciente sin un circuito cerrado de reevaluación (¿quién le toma y quién mira el segundo ECG a los 15 minutos si el turno colapsa?). Fijar el criterio de reapertura con plazo y responsable equivale a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de duración (relato consistente); exámenes de laboratorio normales cuya fecha precede en dos meses al inicio del síntoma; sudoración nocturna y baja ponderal referidas con atribuciones causales benignas propuestas por la propia paciente; examen físico segmentario de hoy sin adenopatías periféricas ni visceromegalias palpables (exploración acotada por el tiempo de consulta).</w:t>
      </w:r>
    </w:p>
    <w:p>
      <w:pPr>
        <w:pStyle w:val="BodyJ"/>
      </w:pPr>
      <w:r>
        <w:rPr>
          <w:i/>
          <w:iCs/>
        </w:rPr>
        <w:t xml:space="preserve">Inferencia:</w:t>
      </w:r>
      <w:r>
        <w:t xml:space="preserve"> aunque por prevalencia en atención primaria la mayoría de los cuadros de fatiga corresponden a causas funcionales, carenciales o adaptativas, la coexistencia de fatiga prolongada, sudoración nocturna y baja de peso configura un síndrome constitucional que impide el cierre diagnóstico. Los exámenes traídos por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solicitar estudio actualizado dirigido (hemograma con frotis, VHS, PCR, TSH, glicemia, perfil hepático y renal, LDH), agendar control presencial en dos semanas con la misma médica para revisar resultados, y entregar por escrito una red de seguridad (safety-netting): adelantar la consulta de inmediato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Uno de los tropiezos más frecuentes en la consulta ambulatoria es la falsa tranquilidad inducida por evidencia caducada: "tiene exámenes normales recientes" es un hecho cierto cuya fecha de toma lo vuelve clínicamente irrelevante para el problema nuevo. La gran ventaja comparativa de la atención primaria —usar el tiempo longitudinal como herramienta diagnóstica— sólo opera con seguridad cuando se estructura con fecha de reevaluación y criterios explícitos de reconsulta; sin ese diseño, dejar pasar el tiempo es simplemente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el equipo de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mientras el cuadro infeccioso respiratorio es potencialmente tratable en lo inmediato, la pendiente funcional previa indica que el paciente se encuentra en una trayectoria irreversible de final de vida, con una sobrevida global estimable en semanas a pocos meses. En este escenario fisiológico, la frase "podría haber ventana para otra línea" no constituye una expectativa terapéutica fundada en su evolución real, sino la mención abstracta de un fármaco disponible en el arsenal técnico.</w:t>
      </w:r>
    </w:p>
    <w:p>
      <w:pPr>
        <w:pStyle w:val="BodyJ"/>
      </w:pPr>
      <w:r>
        <w:rPr>
          <w:i/>
          <w:iCs/>
        </w:rPr>
        <w:t xml:space="preserve">Incertidumbre:</w:t>
      </w:r>
      <w:r>
        <w:t xml:space="preserve"> el número exacto de días o semanas de vida es biológicamente incognoscible (incertidumbre aleatoria irreductible), por lo que sólo es honesto comunicar la dirección de la pendiente y los escenarios probables. Sin embargo, la incertidumbre crítica que domina el caso no es pronóstica, sino axiológica y de metas: ¿cómo desea vivir este hombre el tiempo que le resta y qué cargas terapéuticas está dispuesto a tolerar?</w:t>
      </w:r>
    </w:p>
    <w:p>
      <w:pPr>
        <w:pStyle w:val="BodyJ"/>
      </w:pPr>
      <w:r>
        <w:rPr>
          <w:i/>
          <w:iCs/>
        </w:rPr>
        <w:t xml:space="preserve">Decisión:</w:t>
      </w:r>
      <w:r>
        <w:t xml:space="preserve"> iniciar tratamiento antibiótico endovenoso y oxigenoterapia no invasiva con un objetivo explícito de alivio sintomático y eventual retorno a su hogar (medidas reversibles y proporcionadas); suspender toda discusión sobre nuevas quimioterapias; y realizar una reunión familiar estructurada para alinear el plan de cuidados con la voluntad del paciente, fijando una ventana de reevaluación clínica a las 72 horas según su respuesta funcional y su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inicia tratamiento antimicrobiano con metas de alivio sintomático, se comunica a la familia la trayectoria global sin fingir exactitud de plazos y se subordinan las medidas invasivas a las preferencias expresadas por el enfermo."</w:t>
      </w:r>
    </w:p>
    <w:p>
      <w:pPr>
        <w:pStyle w:val="BodyJ"/>
      </w:pPr>
      <w:r>
        <w:rPr>
          <w:i/>
          <w:iCs/>
        </w:rPr>
        <w:t xml:space="preserve">Lectura metacognitiva.</w:t>
      </w:r>
      <w:r>
        <w:t xml:space="preserve"> La medicina al final de la vida pone a prueba todas las capas de este libro: tienta al clínico a responder la pregunta "¿cuánto tiempo le queda?" con una cifra inventada (certeza retórica), o a escudarse en un "eso sólo Dios lo sabe" que desorienta a la familia (abandono comunicacional). Más importante aún, expone la confusión cotidiana entre lo técnicamente factible (indicar una cuarta línea oncológica o intubar) y lo clínicamente proporcionado. Como vimos en el capítulo 10, un juicio de proporcionalidad terapéutica riguroso exige ante todo honestidad epistémica: reconocer la trayectoria de declive basal como un hecho clínico duro y anclar el umbral de acción en los fines biográficos del paciente, no en la inercia de los recursos disponibles.</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diagnóstico completo siguiendo la disciplina de los capítulos 7 y 8: sin conformarse con pegar la etiqueta de un sesgo cognitivo y sin permitir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persistió en 112 lpm en el control de enfermería previo al alta, una hora después de haber recibido lorazepam y encontrándose ya emocionalmente tranquila (dato medido, registrado en la hoja de signos vitales y omitido en la nota médica); saturación de oxígeno de 94% a aire ambiental (un valor que alguien en el turno minimizó verbalmente como "esperable porque está hiperventilando", ignorando el hecho fisiológico básico de que la hiperventilación alveolar por ansiedad eleva la presión arterial de oxígeno y lleva la saturación hacia el 99–100%, jamás la reduce a 94%); uso actual de anticonceptivos orales combinados y antecedente de un viaje interurbano en bus de nueve horas tres días antes (dos factores de riesgo protrombóticos que estaban presentes en la historia reciente de la paciente, pero que nadie interrogó porque jamás se abrió una hipótesis vascular); y una etiqueta heredada desde la ventanilla de admisión ("crisis de pánico conocida") que ingresó a la ficha médica con rango de diagnóstico definitivo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gobernar exactamente este escenario de urgencias se diseñaron y validaron los criterios PERC (Pulmonary Embolism Rule-out Criteria), una regla de decisión clínica de ocho variables que permite excluir razonablemente un TEP sin solicitar dímero-D sólo cuando el paciente de baja sospecha no cumple ningún criterio (Kline et al., 2004). Esta paciente incumplía tres de los ocho puntos de corte: frecuencia cardiaca ≥100 lpm, saturación &lt;95% y uso de estrógenos exógenos. La regla de predicción clínica no falló esa noche; simplemente nunca fue convocada, porque el cierre prematuro impidió sospechar que había una amenaza orgánica que descartar.</w:t>
      </w:r>
    </w:p>
    <w:p>
      <w:pPr>
        <w:pStyle w:val="BodyJ"/>
      </w:pPr>
      <w:r>
        <w:rPr>
          <w:b/>
          <w:bCs/>
        </w:rPr>
        <w:t xml:space="preserve">Decisión de la primera noche:</w:t>
      </w:r>
      <w:r>
        <w:t xml:space="preserve"> administrar benzodiacepinas era defendible como prueba terapéutica sintomática inicial; dar el alta sin estudio adicional y sin una sola línea de signos de alarma (qué debía motivar su regreso urgente antes del "control en salud mental") constituyó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informativa de la madrugada: si la hipótesis de la crisis de pánico hubiese sido verdadera, el control farmacológico de la ansiedad debía normalizar la descarga simpática y descender el pulso. Formularse la pregunta de desaceleración antes de firmar el alta —"¿qué dato objetivo de esta paciente no queda explicado por una crisis de pánico?"— tenía en ese minuto su máxima rentabilidad y su mínimo costo: habría bastado hacer dos preguntas de anamnesis dirigida, aplicar la regla PERC al lado de la camilla y solicitar un dímero-D. Treinta y seis horas más tarde, esa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condición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uso de anticonceptivos orales: crisis de pánico posible, pero la taquicardia y la saturación de 94% no están explicadas; PERC no cumplido (frecuencia cardiaca, saturación, estrógenos): no procede el alta sin estudiar embolia pulmonar — dímero-D ahora y, si resulta elevado o la probabilidad clínica es intermedia, angioTAC; indicaciones escritas de reconsulta inmediata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es una observación experta sobre el único basal disponible, y la evidencia le da rango de señal — en series de atención primaria, la intuición del clínico de que "algo anda mal", frecuentemente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el equivalente pediátrico de la injusticia testimonial del capítulo 14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exactamente el caso donde el examen "poco confiable" obliga a más objetividad, no a menos: laboratorio e imagen deciden lo que la palpación no puede.</w:t>
      </w:r>
    </w:p>
    <w:p>
      <w:pPr>
        <w:pStyle w:val="BodyJ"/>
      </w:pPr>
      <w:r>
        <w:rPr>
          <w:i/>
          <w:iCs/>
        </w:rPr>
        <w:t xml:space="preserve">Decisión:</w:t>
      </w:r>
      <w:r>
        <w:t xml:space="preserve"> mismo estándar que para cualquier paciente con dolor abdominal y taquicardia — laboratorio completo, imagen según hallazgos, reevaluación programada— más un estándar adicional: documentar explícitamente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Esta viñeta es el capítulo 14 con mortalidad: la injusticia testimonial —descontar el relato por quién lo dice— aquí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del lactante que no habla a la paciente a la que no se le cree—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Visitas de sala y entregas de turno</w:t>
      </w:r>
    </w:p>
    <w:p>
      <w:pPr>
        <w:pStyle w:val="BodyJ"/>
      </w:pPr>
      <w:r>
        <w:t xml:space="preserve">Una visita de sala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La entrega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que este libro ya describió,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El capítulo 2 mostró que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este libro pide para cualquier afirmación — ¿funciona aquí, con estos pacientes, con esta prevalencia? Es la lección de la Parte III aplicada al software: una herramienta no hereda la validez de su marca, y la validación externa no es un trámite — es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exactamente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Conviene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nosotros,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la carga teórica de la observación del capítulo 1, a escala poblacional.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w:t>
      </w: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 sé razonar, delego repetidamente, dejo de ejercitar, la capacidad se deteriora—; </w:t>
      </w:r>
      <w:r>
        <w:rPr>
          <w:i/>
          <w:iCs/>
        </w:rPr>
        <w:t xml:space="preserve">never-skilling</w:t>
      </w:r>
      <w:r>
        <w:t xml:space="preserve"> — la IA estuvo disponible desde el inicio de la formación, la operación cognitiva nunca se ejecutó las veces necesarias, la competencia nunca se consolidó—; y </w:t>
      </w:r>
      <w:r>
        <w:rPr>
          <w:i/>
          <w:iCs/>
        </w:rPr>
        <w:t xml:space="preserve">mis-skilling</w:t>
      </w:r>
      <w:r>
        <w:t xml:space="preserve"> —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y una parte de este libro ya lo había descrito sin nombrar la IA. Escribir la nota clínica no es registrar un pensamiento terminado: seleccionar qué dato importa, jerarquizarlo y estructurarlo es parte del proceso mismo de pensar — la tesis del capítulo 12,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merece escribirse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la disciplina de este libro: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en este libro.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exactamente lo que el ensayo de Goh mostró que desaprovechamos;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Heading3"/>
        <w:spacing w:after="120" w:before="280"/>
      </w:pPr>
      <w:r>
        <w:rPr>
          <w:rFonts w:ascii="Georgia" w:cs="Georgia" w:eastAsia="Georgia" w:hAnsi="Georgia"/>
          <w:b/>
          <w:bCs/>
          <w:color w:val="2B2B2B"/>
          <w:sz w:val="25"/>
          <w:szCs w:val="25"/>
        </w:rPr>
        <w:t xml:space="preserve">La IA como espejo y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este libro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exactamente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capítulo 12 mostró el mecanismo: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es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10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Tres hilos de este libro conviene dejar anudados. El primero va de la abducción a la humildad: la conjetura que crea explicaciones, la vigilancia que la acompaña mientras trabaja y la disposición que la mantiene abierta cuando ya produjo una respuesta cómoda son tres momentos de una misma lealtad al caso, y la prudencia práctica —la phronesis— es su nombre antiguo. El segundo va del dato al contexto: la funcionalidad, el pronóstico de fondo y la red de apoyo son hechos clínicos de pleno derecho, y una decisión que los omitió no es más objetiva sino más incompleta. El tercero va de la ficha al razonador: escribir la nota es parte de pensar, y por eso la inteligencia artificial —que produce exactamente la prosa fluida contra la que este libro entrena: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8"/>
        </w:numPr>
      </w:pPr>
      <w:r>
        <w:t xml:space="preserve">¿Qué vi y qué me contaron? (un hecho decisivo, con fuente)</w:t>
      </w:r>
    </w:p>
    <w:p>
      <w:pPr>
        <w:pStyle w:val="BodyJ"/>
        <w:numPr>
          <w:ilvl w:val="0"/>
          <w:numId w:val="28"/>
        </w:numPr>
      </w:pPr>
      <w:r>
        <w:t xml:space="preserve">¿Qué creo y cuánto derecho tengo a creerlo? (inferencia con grado)</w:t>
      </w:r>
    </w:p>
    <w:p>
      <w:pPr>
        <w:pStyle w:val="BodyJ"/>
        <w:numPr>
          <w:ilvl w:val="0"/>
          <w:numId w:val="28"/>
        </w:numPr>
      </w:pPr>
      <w:r>
        <w:t xml:space="preserve">¿Qué daño importante podría producir si estoy equivocado? (la incertidumbre peligrosa)</w:t>
      </w:r>
    </w:p>
    <w:p>
      <w:pPr>
        <w:pStyle w:val="BodyJ"/>
        <w:numPr>
          <w:ilvl w:val="0"/>
          <w:numId w:val="28"/>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9"/>
        </w:numPr>
      </w:pPr>
      <w:r>
        <w:t xml:space="preserve">¿Puedo describir el caso sin usar el diagnóstico actual?</w:t>
      </w:r>
    </w:p>
    <w:p>
      <w:pPr>
        <w:pStyle w:val="BodyJ"/>
        <w:numPr>
          <w:ilvl w:val="0"/>
          <w:numId w:val="29"/>
        </w:numPr>
      </w:pPr>
      <w:r>
        <w:t xml:space="preserve">¿Qué dato sostiene más mi conclusión?</w:t>
      </w:r>
    </w:p>
    <w:p>
      <w:pPr>
        <w:pStyle w:val="BodyJ"/>
        <w:numPr>
          <w:ilvl w:val="0"/>
          <w:numId w:val="29"/>
        </w:numPr>
      </w:pPr>
      <w:r>
        <w:t xml:space="preserve">¿Ese dato es específico o sólo compatible?</w:t>
      </w:r>
    </w:p>
    <w:p>
      <w:pPr>
        <w:pStyle w:val="BodyJ"/>
        <w:numPr>
          <w:ilvl w:val="0"/>
          <w:numId w:val="29"/>
        </w:numPr>
      </w:pPr>
      <w:r>
        <w:t xml:space="preserve">¿Qué hallazgo no encaja?</w:t>
      </w:r>
    </w:p>
    <w:p>
      <w:pPr>
        <w:pStyle w:val="BodyJ"/>
        <w:numPr>
          <w:ilvl w:val="0"/>
          <w:numId w:val="29"/>
        </w:numPr>
      </w:pPr>
      <w:r>
        <w:t xml:space="preserve">¿Qué información estoy suponiendo que fue verificada?</w:t>
      </w:r>
    </w:p>
    <w:p>
      <w:pPr>
        <w:pStyle w:val="BodyJ"/>
        <w:numPr>
          <w:ilvl w:val="0"/>
          <w:numId w:val="29"/>
        </w:numPr>
      </w:pPr>
      <w:r>
        <w:t xml:space="preserve">¿Qué alternativa cambiaría la conducta inmediata?</w:t>
      </w:r>
    </w:p>
    <w:p>
      <w:pPr>
        <w:pStyle w:val="BodyJ"/>
        <w:numPr>
          <w:ilvl w:val="0"/>
          <w:numId w:val="29"/>
        </w:numPr>
      </w:pPr>
      <w:r>
        <w:t xml:space="preserve">¿Estoy usando la respuesta al tratamiento como prueba causal demasiado fuerte?</w:t>
      </w:r>
    </w:p>
    <w:p>
      <w:pPr>
        <w:pStyle w:val="BodyJ"/>
        <w:numPr>
          <w:ilvl w:val="0"/>
          <w:numId w:val="29"/>
        </w:numPr>
      </w:pPr>
      <w:r>
        <w:t xml:space="preserve">¿La gravedad es coherente con mi explicación?</w:t>
      </w:r>
    </w:p>
    <w:p>
      <w:pPr>
        <w:pStyle w:val="BodyJ"/>
        <w:numPr>
          <w:ilvl w:val="0"/>
          <w:numId w:val="29"/>
        </w:numPr>
      </w:pPr>
      <w:r>
        <w:t xml:space="preserve">¿Existe reconsulta, recurrencia o evolución inesperada?</w:t>
      </w:r>
    </w:p>
    <w:p>
      <w:pPr>
        <w:pStyle w:val="BodyJ"/>
        <w:numPr>
          <w:ilvl w:val="0"/>
          <w:numId w:val="29"/>
        </w:numPr>
      </w:pPr>
      <w:r>
        <w:t xml:space="preserve">¿Mi confianza proviene de evidencia o de familiaridad y fluidez?</w:t>
      </w:r>
    </w:p>
    <w:p>
      <w:pPr>
        <w:pStyle w:val="BodyJ"/>
        <w:numPr>
          <w:ilvl w:val="0"/>
          <w:numId w:val="29"/>
        </w:numPr>
      </w:pPr>
      <w:r>
        <w:t xml:space="preserve">¿Cuál es el costo de esperar y cuál el costo de actuar?</w:t>
      </w:r>
    </w:p>
    <w:p>
      <w:pPr>
        <w:pStyle w:val="BodyJ"/>
        <w:numPr>
          <w:ilvl w:val="0"/>
          <w:numId w:val="29"/>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de pleno derecho,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w:t>
      </w:r>
      <w:r>
        <w:t xml:space="preserve"> Cuanto más competente es un sistema automatizado, menos ejercita el humano las habilidades necesarias para detectar sus fallas — que es exactamente cuando más se las necesita (Abdulnour et al.).</w:t>
      </w:r>
    </w:p>
    <w:p>
      <w:pPr>
        <w:pStyle w:val="BodyJ"/>
      </w:pPr>
      <w:r>
        <w:rPr>
          <w:b/>
          <w:bCs/>
        </w:rPr>
        <w:t xml:space="preserve">Pausa diagnóstica.</w:t>
      </w:r>
      <w:r>
        <w:t xml:space="preserve"> Interrupción breve y selectiva del flujo clínico, activada por disparadores definidos (reconsulta, evolución discordante, transferencia),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del entorno.</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Fichas clínicas y plantillas — 12, 16, Ap C</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Fuentes del hecho clínico (matriz de procedencia) — 1</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Hindsight bias — 8, 11, 16, CC (viñeta 6)</w:t>
      </w:r>
    </w:p>
    <w:p>
      <w:pPr>
        <w:pStyle w:val="BodyJ"/>
        <w:numPr>
          <w:ilvl w:val="0"/>
          <w:numId w:val="6"/>
        </w:numPr>
      </w:pPr>
      <w:r>
        <w:t xml:space="preserve">HII-D (método) — 12, 15, Ap A; auditoría de IA con — 17</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10</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10</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artificial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de pleno derecho — 13</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3, 4 y 7)</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y temporalidad — 11, Interludio I</w:t>
      </w:r>
    </w:p>
    <w:p>
      <w:pPr>
        <w:pStyle w:val="BodyJ"/>
        <w:numPr>
          <w:ilvl w:val="0"/>
          <w:numId w:val="6"/>
        </w:numPr>
      </w:pPr>
      <w:r>
        <w:t xml:space="preserve">Umbrales de decisión — 10, Interludio III, CC (viñeta 3)</w:t>
      </w:r>
    </w:p>
    <w:p>
      <w:pPr>
        <w:pStyle w:val="BodyJ"/>
        <w:numPr>
          <w:ilvl w:val="0"/>
          <w:numId w:val="6"/>
        </w:numPr>
      </w:pPr>
      <w:r>
        <w:t xml:space="preserve">Validez del entorno e intuición (Kahneman y Klein) — 6</w:t>
      </w:r>
    </w:p>
    <w:p>
      <w:pPr>
        <w:pStyle w:val="BodyJ"/>
        <w:numPr>
          <w:ilvl w:val="0"/>
          <w:numId w:val="6"/>
        </w:numPr>
      </w:pPr>
      <w:r>
        <w:t xml:space="preserve">Validación local y monitoreo de herramientas de IA — 17</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agosto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et al. (2026). Crew resource management — Navigating AI's automation paradox. </w:t>
      </w:r>
      <w:r>
        <w:rPr>
          <w:i/>
          <w:iCs/>
        </w:rPr>
        <w:t xml:space="preserve">New England Journal of Medicine</w:t>
      </w:r>
      <w:r>
        <w:t xml:space="preserve">. Publicado en línea el 22 de julio de 2026.</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Eckert, L. O., Geerlings, S. E., Köves, B., Hooton, T. M., Juthani-Mehta, M., Knight, S. L., Saint, S., Schaeffer, A. J., Trautner, B., Wullt, B., &amp; Siemieniuk, R.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&amp; Mitnitski, A.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Wong, A., Otles, E., Donnelly, J. P.,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113efc768477994ed8ee35e212b877336beb9a2.png"/><Relationship Id="rId10" Type="http://schemas.openxmlformats.org/officeDocument/2006/relationships/image" Target="media/a53e3b8facc7477d003b5aa4ab87dbf2f76fb1a5.png"/><Relationship Id="rId11" Type="http://schemas.openxmlformats.org/officeDocument/2006/relationships/image" Target="media/6b94a04a3f8338e97d4c83ffb60273e4d654598e.png"/><Relationship Id="rId12" Type="http://schemas.openxmlformats.org/officeDocument/2006/relationships/image" Target="media/44afd8313e07ff21b28636d481df0116d99aa3d5.png"/><Relationship Id="rId13" Type="http://schemas.openxmlformats.org/officeDocument/2006/relationships/image" Target="media/28be4f41d00e1a8107b23f89e9f241bea0ec742a.png"/><Relationship Id="rId14" Type="http://schemas.openxmlformats.org/officeDocument/2006/relationships/image" Target="media/057c76dcc7f7edda793f7c812f9586712c4f7cc2.png"/><Relationship Id="rId15" Type="http://schemas.openxmlformats.org/officeDocument/2006/relationships/image" Target="media/3a3ca72b0a0269c2b706eca48513a9fcb7000998.png"/><Relationship Id="rId16" Type="http://schemas.openxmlformats.org/officeDocument/2006/relationships/image" Target="media/d82a5888acadc2c251f149205e55bb3e3238da5d.png"/><Relationship Id="rId17" Type="http://schemas.openxmlformats.org/officeDocument/2006/relationships/image" Target="media/157e2708729e7ec9ff290154cda60b40a7eda2d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2026-10-14T03:24:37.398Z</dcterms:created>
  <dcterms:modified xsi:type="dcterms:W3CDTF">2026-10-14T03:24:37.398Z</dcterms:modified>
</cp:coreProperties>
</file>

<file path=docProps/custom.xml><?xml version="1.0" encoding="utf-8"?>
<Properties xmlns="http://schemas.openxmlformats.org/officeDocument/2006/custom-properties" xmlns:vt="http://schemas.openxmlformats.org/officeDocument/2006/docPropsVTypes"/>
</file>