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b1b39d9bb5ad59c6ccd8559851a0cd311ca0b8"/>
    <w:p>
      <w:pPr>
        <w:pStyle w:val="Heading1"/>
      </w:pPr>
      <w:r>
        <w:t xml:space="preserve">Gestión 1 — Prólogo invitado: candidatos, orden de abordaje y método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un prólogo de 800–1.200 palabras firmado por una figura reconocida del razonamiento clínico, la educación médica o la epistemología médica en español, que le dé al manuscrito credencial académica y argumento de venta ante editoriales.</w:t>
      </w:r>
    </w:p>
    <w:p>
      <w:pPr>
        <w:pStyle w:val="BodyText"/>
      </w:pPr>
      <w:r>
        <w:rPr>
          <w:bCs/>
          <w:b/>
        </w:rPr>
        <w:t xml:space="preserve">Advertencia:</w:t>
      </w:r>
      <w:r>
        <w:t xml:space="preserve"> </w:t>
      </w:r>
      <w:r>
        <w:t xml:space="preserve">esta lista se armó con conocimiento público; antes de escribir, verifica vigencia, afiliación actual y correo institucional de cada persona. No he inventado direcciones de correo: los canales sugeridos son los públicos habituales (correo institucional, revista donde publican, congresos).</w:t>
      </w:r>
    </w:p>
    <w:bookmarkStart w:id="20" w:name="X8147fa57f9c82d8e64d738766540c176d5f6591"/>
    <w:p>
      <w:pPr>
        <w:pStyle w:val="Heading2"/>
      </w:pPr>
      <w:r>
        <w:t xml:space="preserve">Nivel A — ajuste perfecto de tema (epistemología clínica en español)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Alberto Lifshitz (México).</w:t>
      </w:r>
      <w:r>
        <w:t xml:space="preserve"> </w:t>
      </w:r>
      <w:r>
        <w:t xml:space="preserve">Internista, ex titular de Enseñanza en UNAM/IMSS; lleva décadas escribiendo en español exactamente sobre esto: juicio clínico, medicina clínica en la era tecnológica, educación médica. Es probablemente el prologuista vivo más citado del género en nuestra lengua.</w:t>
      </w:r>
      <w:r>
        <w:t xml:space="preserve"> </w:t>
      </w:r>
      <w:r>
        <w:rPr>
          <w:iCs/>
          <w:i/>
        </w:rPr>
        <w:t xml:space="preserve">Por qué él:</w:t>
      </w:r>
      <w:r>
        <w:t xml:space="preserve"> </w:t>
      </w:r>
      <w:r>
        <w:t xml:space="preserve">legitima el libro ante internistas y educadores de todo el continente.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Academia Nacional de Medicina de México; Gaceta Médica de México; Seminario sobre el Ejercicio Actual de la Medicina (UNAM).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Carlos Tajer (Argentina).</w:t>
      </w:r>
      <w:r>
        <w:t xml:space="preserve"> </w:t>
      </w:r>
      <w:r>
        <w:t xml:space="preserve">Cardiólogo, autor de ensayos sobre el pensamiento clínico, las emociones del médico y la lectura crítica de la evidencia. Escribe ensayo de verdad, no sólo papers: entendería el registro híbrido del libro.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Revista Argentina de Cardiología (fue editor), Hospital El Cruce, SAC.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Abel Novoa (España).</w:t>
      </w:r>
      <w:r>
        <w:t xml:space="preserve"> </w:t>
      </w:r>
      <w:r>
        <w:t xml:space="preserve">Médico de familia, máster en bioética y filosofía; fundador de la plataforma NoGracias; escribe sistemáticamente sobre epistemología de la medicina, incertidumbre y límites de la MBE.</w:t>
      </w:r>
      <w:r>
        <w:t xml:space="preserve"> </w:t>
      </w:r>
      <w:r>
        <w:rPr>
          <w:iCs/>
          <w:i/>
        </w:rPr>
        <w:t xml:space="preserve">Por qué él:</w:t>
      </w:r>
      <w:r>
        <w:t xml:space="preserve"> </w:t>
      </w:r>
      <w:r>
        <w:t xml:space="preserve">es el lector filosófico más exigente que el libro puede tener en español; su firma señala seriedad epistemológica.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blog NoGracias, congresos semFYC.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Juan Gérvas (España).</w:t>
      </w:r>
      <w:r>
        <w:t xml:space="preserve"> </w:t>
      </w:r>
      <w:r>
        <w:t xml:space="preserve">Médico general, prolífico y muy leído en APS hispana; décadas escribiendo sobre incertidumbre, sobrediagnóstico y prevención cuaternaria. Polarizante pero de enorme alcance.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Equipo CESCA, seminarios de innovación en atención primaria (SIAP) — responde correos con facilidad legendaria.</w:t>
      </w:r>
    </w:p>
    <w:bookmarkEnd w:id="20"/>
    <w:bookmarkStart w:id="21" w:name="Xee17c265b118354c7e997e62e6ee1c91bace393"/>
    <w:p>
      <w:pPr>
        <w:pStyle w:val="Heading2"/>
      </w:pPr>
      <w:r>
        <w:t xml:space="preserve">Nivel B — educación médica y razonamiento clínico académico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Sílvia Mamede (Brasil/Países Bajos).</w:t>
      </w:r>
      <w:r>
        <w:t xml:space="preserve"> </w:t>
      </w:r>
      <w:r>
        <w:t xml:space="preserve">La investigadora viva más citada en reflexión diagnóstica — el libro la cita repetidamente. Escribiría en inglés o portugués (traducible como</w:t>
      </w:r>
      <w:r>
        <w:t xml:space="preserve"> </w:t>
      </w:r>
      <w:r>
        <w:t xml:space="preserve">“</w:t>
      </w:r>
      <w:r>
        <w:t xml:space="preserve">prólogo a la edición en español</w:t>
      </w:r>
      <w:r>
        <w:t xml:space="preserve">”</w:t>
      </w:r>
      <w:r>
        <w:t xml:space="preserve">).</w:t>
      </w:r>
      <w:r>
        <w:t xml:space="preserve"> </w:t>
      </w:r>
      <w:r>
        <w:rPr>
          <w:iCs/>
          <w:i/>
        </w:rPr>
        <w:t xml:space="preserve">Por qué ella:</w:t>
      </w:r>
      <w:r>
        <w:t xml:space="preserve"> </w:t>
      </w:r>
      <w:r>
        <w:t xml:space="preserve">blinda el libro ante cualquier revisor académico.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Erasmus MC (iMERR); congresos AMEE/DEM. Riesgo: agenda; pedir con 8+ semanas.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Arnoldo Riquelme (Chile).</w:t>
      </w:r>
      <w:r>
        <w:t xml:space="preserve"> </w:t>
      </w:r>
      <w:r>
        <w:t xml:space="preserve">Gastroenterólogo UC, referente chileno en educación médica (ASOFAMECH, revista ARS Médica); cercano geográficamente para presentación del libro.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Centro de Educación Médica UC.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Alberto Alves de Lima (Argentina).</w:t>
      </w:r>
      <w:r>
        <w:t xml:space="preserve"> </w:t>
      </w:r>
      <w:r>
        <w:t xml:space="preserve">Director de docencia ICBA, investigador en evaluación de competencias clínicas (mini-CEX en español).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ICBA; SAEM.</w:t>
      </w:r>
    </w:p>
    <w:bookmarkEnd w:id="21"/>
    <w:bookmarkStart w:id="22" w:name="Xf07b6b1f0d11a70eaef7394ac6f1bad4fa0c423"/>
    <w:p>
      <w:pPr>
        <w:pStyle w:val="Heading2"/>
      </w:pPr>
      <w:r>
        <w:t xml:space="preserve">Nivel C — clínicos de prestigio (credencial asistencial)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Glenn Hernández (Chile).</w:t>
      </w:r>
      <w:r>
        <w:t xml:space="preserve"> </w:t>
      </w:r>
      <w:r>
        <w:t xml:space="preserve">Intensivista UC de proyección internacional (ANDROMEDA-SHOCK: perfusión y lactato — literalmente los ejemplos del libro). Un prólogo suyo diría</w:t>
      </w:r>
      <w:r>
        <w:t xml:space="preserve"> </w:t>
      </w:r>
      <w:r>
        <w:t xml:space="preserve">“</w:t>
      </w:r>
      <w:r>
        <w:t xml:space="preserve">esto sirve en la UCI de verdad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Departamento de Medicina Intensiva UC.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Franco Utili (Chile).</w:t>
      </w:r>
      <w:r>
        <w:t xml:space="preserve"> </w:t>
      </w:r>
      <w:r>
        <w:t xml:space="preserve">Internista-urgenciólogo UC, docente clínico muy querido; buen prologuista si se prefiere tono cercano sobre tono académico.</w:t>
      </w:r>
      <w:r>
        <w:t xml:space="preserve"> </w:t>
      </w:r>
      <w:r>
        <w:rPr>
          <w:iCs/>
          <w:i/>
        </w:rPr>
        <w:t xml:space="preserve">Canal:</w:t>
      </w:r>
      <w:r>
        <w:t xml:space="preserve"> </w:t>
      </w:r>
      <w:r>
        <w:t xml:space="preserve">Medicina UC.</w:t>
      </w:r>
    </w:p>
    <w:bookmarkEnd w:id="22"/>
    <w:bookmarkStart w:id="23" w:name="X867b9e47643c9bc96e8cef136ce6f40e17f1584"/>
    <w:p>
      <w:pPr>
        <w:pStyle w:val="Heading2"/>
      </w:pPr>
      <w:r>
        <w:t xml:space="preserve">Estrategia de abordaje (secuencial, no simultánea)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se aborda de a UNO por nivel, nunca dos del mismo nivel a la vez (que dos figuras descubran que fueron plan B mutuo mata ambas opciones). Espera 3 semanas antes de pasar al siguiente.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Orden sugerido:</w:t>
      </w:r>
      <w:r>
        <w:t xml:space="preserve"> </w:t>
      </w:r>
      <w:r>
        <w:t xml:space="preserve">Lifshitz → Tajer → Novoa (si el posicionamiento elegido es ensayo-epistemología) o Riquelme → Mamede (si es texto de educación médica). Si hay conexión personal tuya con cualquiera de la lista (docente, congreso, colega común), esa persona sube al primer lugar: el prólogo se consigue por cadena de confianza, no en frío.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Qué se envía:</w:t>
      </w:r>
      <w:r>
        <w:t xml:space="preserve"> </w:t>
      </w:r>
      <w:r>
        <w:t xml:space="preserve">la carta (archivo</w:t>
      </w:r>
      <w:r>
        <w:t xml:space="preserve"> </w:t>
      </w:r>
      <w:r>
        <w:rPr>
          <w:rStyle w:val="VerbatimChar"/>
        </w:rPr>
        <w:t xml:space="preserve">prologo_carta.md</w:t>
      </w:r>
      <w:r>
        <w:t xml:space="preserve">, ya cargada como borrador en tu Gmail) + el dossier de 2 páginas (</w:t>
      </w:r>
      <w:r>
        <w:rPr>
          <w:rStyle w:val="VerbatimChar"/>
        </w:rPr>
        <w:t xml:space="preserve">prologo_dossier.pdf</w:t>
      </w:r>
      <w:r>
        <w:t xml:space="preserve">) + oferta de manuscrito completo. Nunca el manuscrito completo de entrada: es una carga de 110 páginas no pedida.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Qué se ofrece:</w:t>
      </w:r>
      <w:r>
        <w:t xml:space="preserve"> </w:t>
      </w:r>
      <w:r>
        <w:t xml:space="preserve">plazo generoso (6 semanas), extensión acotada (800–1.200 palabras), libertad total de contenido (incluida la crítica — un prólogo con reparos honestos vale más que uno protocolar), nombre en portada, y ejemplares.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Personalización obligatoria:</w:t>
      </w:r>
      <w:r>
        <w:t xml:space="preserve"> </w:t>
      </w:r>
      <w:r>
        <w:t xml:space="preserve">el párrafo [POR QUÉ USTED] de la carta debe citar UNA obra concreta del candidato y conectarla con UN capítulo del libro. Sin eso, la tasa de respuesta cae a cero.</w:t>
      </w:r>
    </w:p>
    <w:bookmarkEnd w:id="23"/>
    <w:bookmarkStart w:id="24" w:name="registro-de-gestión-completar"/>
    <w:p>
      <w:pPr>
        <w:pStyle w:val="Heading2"/>
      </w:pPr>
      <w:r>
        <w:t xml:space="preserve">Registro de gestión (completar)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paso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2026-08-09T00:52:08Z</dcterms:created>
  <dcterms:modified xsi:type="dcterms:W3CDTF">2026-08-09T00:52:08Z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