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27</w:t>
      </w:r>
    </w:p>
    <w:p>
      <w:pPr>
        <w:pStyle w:val="TocPart"/>
        <w:tabs>
          <w:tab w:val="right" w:pos="9026" w:leader="dot"/>
        </w:tabs>
      </w:pPr>
      <w:r>
        <w:t xml:space="preserve">PARTE II. La mente que se observa</w:t>
      </w:r>
      <w:r>
        <w:tab/>
      </w:r>
      <w:r>
        <w:rPr>
          <w:color w:val="8A8A8A"/>
        </w:rPr>
        <w:t xml:space="preserve">28</w:t>
      </w:r>
    </w:p>
    <w:p>
      <w:pPr>
        <w:pStyle w:val="TocEntry"/>
        <w:tabs>
          <w:tab w:val="right" w:pos="9026" w:leader="dot"/>
        </w:tabs>
      </w:pPr>
      <w:r>
        <w:t xml:space="preserve">Capítulo 5. Metacognición: monitorear y regular el propio juicio</w:t>
      </w:r>
      <w:r>
        <w:tab/>
      </w:r>
      <w:r>
        <w:rPr>
          <w:color w:val="8A8A8A"/>
        </w:rPr>
        <w:t xml:space="preserve">29</w:t>
      </w:r>
    </w:p>
    <w:p>
      <w:pPr>
        <w:pStyle w:val="TocEntry"/>
        <w:tabs>
          <w:tab w:val="right" w:pos="9026" w:leader="dot"/>
        </w:tabs>
      </w:pPr>
      <w:r>
        <w:t xml:space="preserve">Capítulo 6. Pericia, intuición y conocimiento tácito</w:t>
      </w:r>
      <w:r>
        <w:tab/>
      </w:r>
      <w:r>
        <w:rPr>
          <w:color w:val="8A8A8A"/>
        </w:rPr>
        <w:t xml:space="preserve">34</w:t>
      </w:r>
    </w:p>
    <w:p>
      <w:pPr>
        <w:pStyle w:val="TocEntry"/>
        <w:tabs>
          <w:tab w:val="right" w:pos="9026" w:leader="dot"/>
        </w:tabs>
      </w:pPr>
      <w:r>
        <w:t xml:space="preserve">Capítulo 7. Error, sesgo y ecología del diagnóstico</w:t>
      </w:r>
      <w:r>
        <w:tab/>
      </w:r>
      <w:r>
        <w:rPr>
          <w:color w:val="8A8A8A"/>
        </w:rPr>
        <w:t xml:space="preserve">37</w:t>
      </w:r>
    </w:p>
    <w:p>
      <w:pPr>
        <w:pStyle w:val="TocEntry"/>
        <w:tabs>
          <w:tab w:val="right" w:pos="9026" w:leader="dot"/>
        </w:tabs>
      </w:pPr>
      <w:r>
        <w:t xml:space="preserve">Capítulo 8. Reflexión y desaceleración selectiva</w:t>
      </w:r>
      <w:r>
        <w:tab/>
      </w:r>
      <w:r>
        <w:rPr>
          <w:color w:val="8A8A8A"/>
        </w:rPr>
        <w:t xml:space="preserve">40</w:t>
      </w:r>
    </w:p>
    <w:p>
      <w:pPr>
        <w:pStyle w:val="TocEntry"/>
        <w:tabs>
          <w:tab w:val="right" w:pos="9026" w:leader="dot"/>
        </w:tabs>
      </w:pPr>
      <w:r>
        <w:t xml:space="preserve">Interludio II. Lo que el equipo pensó</w:t>
      </w:r>
      <w:r>
        <w:tab/>
      </w:r>
      <w:r>
        <w:rPr>
          <w:color w:val="8A8A8A"/>
        </w:rPr>
        <w:t xml:space="preserve">43</w:t>
      </w:r>
    </w:p>
    <w:p>
      <w:pPr>
        <w:pStyle w:val="TocPart"/>
        <w:tabs>
          <w:tab w:val="right" w:pos="9026" w:leader="dot"/>
        </w:tabs>
      </w:pPr>
      <w:r>
        <w:t xml:space="preserve">PARTE III. Decidir en el tiempo y con otros</w:t>
      </w:r>
      <w:r>
        <w:tab/>
      </w:r>
      <w:r>
        <w:rPr>
          <w:color w:val="8A8A8A"/>
        </w:rPr>
        <w:t xml:space="preserve">44</w:t>
      </w:r>
    </w:p>
    <w:p>
      <w:pPr>
        <w:pStyle w:val="TocEntry"/>
        <w:tabs>
          <w:tab w:val="right" w:pos="9026" w:leader="dot"/>
        </w:tabs>
      </w:pPr>
      <w:r>
        <w:t xml:space="preserve">Capítulo 9. La evidencia y el caso singular</w:t>
      </w:r>
      <w:r>
        <w:tab/>
      </w:r>
      <w:r>
        <w:rPr>
          <w:color w:val="8A8A8A"/>
        </w:rPr>
        <w:t xml:space="preserve">45</w:t>
      </w:r>
    </w:p>
    <w:p>
      <w:pPr>
        <w:pStyle w:val="TocEntry"/>
        <w:tabs>
          <w:tab w:val="right" w:pos="9026" w:leader="dot"/>
        </w:tabs>
      </w:pPr>
      <w:r>
        <w:t xml:space="preserve">Capítulo 10. Decidir sin certeza: umbrales, valores y lectura de la evidencia</w:t>
      </w:r>
      <w:r>
        <w:tab/>
      </w:r>
      <w:r>
        <w:rPr>
          <w:color w:val="8A8A8A"/>
        </w:rPr>
        <w:t xml:space="preserve">48</w:t>
      </w:r>
    </w:p>
    <w:p>
      <w:pPr>
        <w:pStyle w:val="TocEntry"/>
        <w:tabs>
          <w:tab w:val="right" w:pos="9026" w:leader="dot"/>
        </w:tabs>
      </w:pPr>
      <w:r>
        <w:t xml:space="preserve">Capítulo 11. Temporalidad, trayectoria y razonamiento contrafactual</w:t>
      </w:r>
      <w:r>
        <w:tab/>
      </w:r>
      <w:r>
        <w:rPr>
          <w:color w:val="8A8A8A"/>
        </w:rPr>
        <w:t xml:space="preserve">56</w:t>
      </w:r>
    </w:p>
    <w:p>
      <w:pPr>
        <w:pStyle w:val="TocEntry"/>
        <w:tabs>
          <w:tab w:val="right" w:pos="9026" w:leader="dot"/>
        </w:tabs>
      </w:pPr>
      <w:r>
        <w:t xml:space="preserve">Capítulo 12. La ficha clínica como instrumento de pensamiento</w:t>
      </w:r>
      <w:r>
        <w:tab/>
      </w:r>
      <w:r>
        <w:rPr>
          <w:color w:val="8A8A8A"/>
        </w:rPr>
        <w:t xml:space="preserve">59</w:t>
      </w:r>
    </w:p>
    <w:p>
      <w:pPr>
        <w:pStyle w:val="TocEntry"/>
        <w:tabs>
          <w:tab w:val="right" w:pos="9026" w:leader="dot"/>
        </w:tabs>
      </w:pPr>
      <w:r>
        <w:t xml:space="preserve">Capítulo 13. Pensar con otros: equipos, desacuerdo y comunicación de la incertidumbre</w:t>
      </w:r>
      <w:r>
        <w:tab/>
      </w:r>
      <w:r>
        <w:rPr>
          <w:color w:val="8A8A8A"/>
        </w:rPr>
        <w:t xml:space="preserve">63</w:t>
      </w:r>
    </w:p>
    <w:p>
      <w:pPr>
        <w:pStyle w:val="TocEntry"/>
        <w:tabs>
          <w:tab w:val="right" w:pos="9026" w:leader="dot"/>
        </w:tabs>
      </w:pPr>
      <w:r>
        <w:t xml:space="preserve">Interludio III. La decisión de Carmen</w:t>
      </w:r>
      <w:r>
        <w:tab/>
      </w:r>
      <w:r>
        <w:rPr>
          <w:color w:val="8A8A8A"/>
        </w:rPr>
        <w:t xml:space="preserve">68</w:t>
      </w:r>
    </w:p>
    <w:p>
      <w:pPr>
        <w:pStyle w:val="TocPart"/>
        <w:tabs>
          <w:tab w:val="right" w:pos="9026" w:leader="dot"/>
        </w:tabs>
      </w:pPr>
      <w:r>
        <w:t xml:space="preserve">PARTE IV. Una epistemología operativa</w:t>
      </w:r>
      <w:r>
        <w:tab/>
      </w:r>
      <w:r>
        <w:rPr>
          <w:color w:val="8A8A8A"/>
        </w:rPr>
        <w:t xml:space="preserve">69</w:t>
      </w:r>
    </w:p>
    <w:p>
      <w:pPr>
        <w:pStyle w:val="TocEntry"/>
        <w:tabs>
          <w:tab w:val="right" w:pos="9026" w:leader="dot"/>
        </w:tabs>
      </w:pPr>
      <w:r>
        <w:t xml:space="preserve">Capítulo 14. Humildad epistémica y responsabilidad clínica</w:t>
      </w:r>
      <w:r>
        <w:tab/>
      </w:r>
      <w:r>
        <w:rPr>
          <w:color w:val="8A8A8A"/>
        </w:rPr>
        <w:t xml:space="preserve">70</w:t>
      </w:r>
    </w:p>
    <w:p>
      <w:pPr>
        <w:pStyle w:val="TocEntry"/>
        <w:tabs>
          <w:tab w:val="right" w:pos="9026" w:leader="dot"/>
        </w:tabs>
      </w:pPr>
      <w:r>
        <w:t xml:space="preserve">Capítulo 15. El método HII-D: una epistemología operativa</w:t>
      </w:r>
      <w:r>
        <w:tab/>
      </w:r>
      <w:r>
        <w:rPr>
          <w:color w:val="8A8A8A"/>
        </w:rPr>
        <w:t xml:space="preserve">75</w:t>
      </w:r>
    </w:p>
    <w:p>
      <w:pPr>
        <w:pStyle w:val="TocEntry"/>
        <w:tabs>
          <w:tab w:val="right" w:pos="9026" w:leader="dot"/>
        </w:tabs>
      </w:pPr>
      <w:r>
        <w:t xml:space="preserve">Cuaderno de casos. Diez viñetas para una lectura metacognitiva</w:t>
      </w:r>
      <w:r>
        <w:tab/>
      </w:r>
      <w:r>
        <w:rPr>
          <w:color w:val="8A8A8A"/>
        </w:rPr>
        <w:t xml:space="preserve">81</w:t>
      </w:r>
    </w:p>
    <w:p>
      <w:pPr>
        <w:pStyle w:val="TocEntry"/>
        <w:tabs>
          <w:tab w:val="right" w:pos="9026" w:leader="dot"/>
        </w:tabs>
      </w:pPr>
      <w:r>
        <w:t xml:space="preserve">Capítulo 16. Enseñar y organizar la metacognición clínica</w:t>
      </w:r>
      <w:r>
        <w:tab/>
      </w:r>
      <w:r>
        <w:rPr>
          <w:color w:val="8A8A8A"/>
        </w:rPr>
        <w:t xml:space="preserve">89</w:t>
      </w:r>
    </w:p>
    <w:p>
      <w:pPr>
        <w:pStyle w:val="TocEntry"/>
        <w:tabs>
          <w:tab w:val="right" w:pos="9026" w:leader="dot"/>
        </w:tabs>
      </w:pPr>
      <w:r>
        <w:t xml:space="preserve">Capítulo 17. La inteligencia artificial en el proceso clínico: roles, riesgos y defensas</w:t>
      </w:r>
      <w:r>
        <w:tab/>
      </w:r>
      <w:r>
        <w:rPr>
          <w:color w:val="8A8A8A"/>
        </w:rPr>
        <w:t xml:space="preserve">93</w:t>
      </w:r>
    </w:p>
    <w:p>
      <w:pPr>
        <w:pStyle w:val="TocEntry"/>
        <w:tabs>
          <w:tab w:val="right" w:pos="9026" w:leader="dot"/>
        </w:tabs>
      </w:pPr>
      <w:r>
        <w:t xml:space="preserve">Capítulo 18. La palabra exacta: lo que la poesía sabe del juicio clínico</w:t>
      </w:r>
      <w:r>
        <w:tab/>
      </w:r>
      <w:r>
        <w:rPr>
          <w:color w:val="8A8A8A"/>
        </w:rPr>
        <w:t xml:space="preserve">99</w:t>
      </w:r>
    </w:p>
    <w:p>
      <w:pPr>
        <w:pStyle w:val="TocPart"/>
        <w:tabs>
          <w:tab w:val="right" w:pos="9026" w:leader="dot"/>
        </w:tabs>
      </w:pPr>
      <w:r>
        <w:t xml:space="preserve">Conclusión. Una medicina lúcida</w:t>
      </w:r>
      <w:r>
        <w:tab/>
      </w:r>
      <w:r>
        <w:rPr>
          <w:color w:val="8A8A8A"/>
        </w:rPr>
        <w:t xml:space="preserve">103</w:t>
      </w:r>
    </w:p>
    <w:p>
      <w:pPr>
        <w:pStyle w:val="TocPart"/>
        <w:tabs>
          <w:tab w:val="right" w:pos="9026" w:leader="dot"/>
        </w:tabs>
      </w:pPr>
      <w:r>
        <w:t xml:space="preserve">Apéndice A. Hoja HII-D para discusión de casos</w:t>
      </w:r>
      <w:r>
        <w:tab/>
      </w:r>
      <w:r>
        <w:rPr>
          <w:color w:val="8A8A8A"/>
        </w:rPr>
        <w:t xml:space="preserve">105</w:t>
      </w:r>
    </w:p>
    <w:p>
      <w:pPr>
        <w:pStyle w:val="TocPart"/>
        <w:tabs>
          <w:tab w:val="right" w:pos="9026" w:leader="dot"/>
        </w:tabs>
      </w:pPr>
      <w:r>
        <w:t xml:space="preserve">Apéndice B. Léxico de certeza y pausa diagnóstica</w:t>
      </w:r>
      <w:r>
        <w:tab/>
      </w:r>
      <w:r>
        <w:rPr>
          <w:color w:val="8A8A8A"/>
        </w:rPr>
        <w:t xml:space="preserve">107</w:t>
      </w:r>
    </w:p>
    <w:p>
      <w:pPr>
        <w:pStyle w:val="TocPart"/>
        <w:tabs>
          <w:tab w:val="right" w:pos="9026" w:leader="dot"/>
        </w:tabs>
      </w:pPr>
      <w:r>
        <w:t xml:space="preserve">Apéndice C. Guía de implementación en un servicio clínico</w:t>
      </w:r>
      <w:r>
        <w:tab/>
      </w:r>
      <w:r>
        <w:rPr>
          <w:color w:val="8A8A8A"/>
        </w:rPr>
        <w:t xml:space="preserve">109</w:t>
      </w:r>
    </w:p>
    <w:p>
      <w:pPr>
        <w:pStyle w:val="TocPart"/>
        <w:tabs>
          <w:tab w:val="right" w:pos="9026" w:leader="dot"/>
        </w:tabs>
      </w:pPr>
      <w:r>
        <w:t xml:space="preserve">Glosario</w:t>
      </w:r>
      <w:r>
        <w:tab/>
      </w:r>
      <w:r>
        <w:rPr>
          <w:color w:val="8A8A8A"/>
        </w:rPr>
        <w:t xml:space="preserve">111</w:t>
      </w:r>
    </w:p>
    <w:p>
      <w:pPr>
        <w:pStyle w:val="TocPart"/>
        <w:tabs>
          <w:tab w:val="right" w:pos="9026" w:leader="dot"/>
        </w:tabs>
      </w:pPr>
      <w:r>
        <w:t xml:space="preserve">Índice analítico</w:t>
      </w:r>
      <w:r>
        <w:tab/>
      </w:r>
      <w:r>
        <w:rPr>
          <w:color w:val="8A8A8A"/>
        </w:rPr>
        <w:t xml:space="preserve">115</w:t>
      </w:r>
    </w:p>
    <w:p>
      <w:pPr>
        <w:pStyle w:val="TocPart"/>
        <w:tabs>
          <w:tab w:val="right" w:pos="9026" w:leader="dot"/>
        </w:tabs>
      </w:pPr>
      <w:r>
        <w:t xml:space="preserve">Referencias</w:t>
      </w:r>
      <w:r>
        <w:tab/>
      </w:r>
      <w:r>
        <w:rPr>
          <w:color w:val="8A8A8A"/>
        </w:rPr>
        <w:t xml:space="preserve">118</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diez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ese cruce tiene forma epistémica antes que moral: tratar la indicación como una propiedad de la enfermedad y no como una relación entre la intervención y este enfermo. "La estenosis aórtica severa sintomática tiene indicación de reemplazo valvular" es una frase verdadera sobre una población. Que este hombre de 88 años —frágil, con deterioro cognitivo incipiente, dos hospitalizaciones en el semestre y una hija que ya no puede cuidarlo— vaya a vivir mejor con el reemplazo es otra afirmación, que exige otros hechos. Es la distinción del capítulo 9 entre el efecto promedio y el caso singular, ahora con su carga moral a la vista: lo que se pierde cuando se omite el contexto no es sólo precisión; es el paciente.</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7).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de intervención pendiente — cirugía, diálisis, ventilación mecánica, nueva línea oncológica. Dibuje cuatro casillas: indicaciones médicas, preferencias del paciente, calidad de vida, rasgos contextuales. Llénelas en cinco minutos con lo que sabe hoy, sin abrir la ficha. Luego ábrala y verifique: ¿qué casilla quedó vacía — y ese vacío es del caso o de su conocimiento del caso?</w:t>
      </w:r>
    </w:p>
    <w:p>
      <w:pPr>
        <w:pStyle w:val="BodyJ"/>
      </w:pPr>
      <w:r>
        <w:rPr>
          <w:i/>
          <w:iCs/>
        </w:rPr>
        <w:t xml:space="preserve">Solución comentada.</w:t>
      </w:r>
      <w:r>
        <w:t xml:space="preserve"> El ejercicio produce dos hallazgos con regularidad. Primero: la casilla de indicaciones se llena sola y las otras tres exhiben lagunas que no son opiniones faltantes sino hechos faltantes — nadie preguntó quién vive con el paciente; la funcionalidad basal dice "previamente autovalente" sin que nadie la haya explorado; las preferencias son una presunción de la familia, no una cita del enfermo. Segundo: las cuatro casillas rara vez cambian la intervención; cambian la conversación — con quién falta hablar, qué falta saber, qué está decidiendo el equipo por inercia. Y cuando las casillas están completas y la decisión sigue en disputa, eso también es información: el caso ya no necesita más exámenes; necesita deliberación y, a veces,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diez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me mataría al paciente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Diez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proporcionado — el juicio de proporcionalidad del capítulo 10, que aquí exige lo que más cuesta: un pronóstico honesto.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Viñeta 9.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10.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diez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del capítulo 4,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Es el anclaje del capítulo 7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del capítulo 6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del capítulo 5, sin siquiera un historial propio de errores que la eduque.</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el capítulo 12 mostró que la ficha produce lo visible, y una confabulación copiada se convierte en hecho heredado para el siguiente lector.</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Tres hallazgos son casi constantes.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del capítulo 4.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mismo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10,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del capítulo 4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aquello que el capítulo 2 llamó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(capítulo 5), la prosa fluida de los modelos de lenguaje (capítulo 17):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del capítulo 6 vuelta percepción. Pero es una belleza que sólo puede declararse retrospectivamente, y sólo si el proceso era defendible antes de conocer el desenlace (capítulo 10).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del capítulo 3.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le haría daño al paciente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11, CC (viñeta 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7), Ap A</w:t>
      </w:r>
    </w:p>
    <w:p>
      <w:pPr>
        <w:pStyle w:val="BodyJ"/>
        <w:numPr>
          <w:ilvl w:val="0"/>
          <w:numId w:val="6"/>
        </w:numPr>
      </w:pPr>
      <w:r>
        <w:t xml:space="preserve">Calibración — 5, 15, 16, Ap C</w:t>
      </w:r>
    </w:p>
    <w:p>
      <w:pPr>
        <w:pStyle w:val="BodyJ"/>
        <w:numPr>
          <w:ilvl w:val="0"/>
          <w:numId w:val="6"/>
        </w:numPr>
      </w:pPr>
      <w:r>
        <w:t xml:space="preserve">Carga teórica de la observación — 1</w:t>
      </w:r>
    </w:p>
    <w:p>
      <w:pPr>
        <w:pStyle w:val="BodyJ"/>
        <w:numPr>
          <w:ilvl w:val="0"/>
          <w:numId w:val="6"/>
        </w:numPr>
      </w:pPr>
      <w:r>
        <w:t xml:space="preserve">Cierre prematuro — 2, 7, CC (viñeta 8)</w:t>
      </w:r>
    </w:p>
    <w:p>
      <w:pPr>
        <w:pStyle w:val="BodyJ"/>
        <w:numPr>
          <w:ilvl w:val="0"/>
          <w:numId w:val="6"/>
        </w:numPr>
      </w:pPr>
      <w:r>
        <w:t xml:space="preserve">Cognición distribuida — 13</w:t>
      </w:r>
    </w:p>
    <w:p>
      <w:pPr>
        <w:pStyle w:val="BodyJ"/>
        <w:numPr>
          <w:ilvl w:val="0"/>
          <w:numId w:val="6"/>
        </w:numPr>
      </w:pPr>
      <w:r>
        <w:t xml:space="preserve">Comunicación de incertidumbre — 13, 14, CC (viñeta 7)</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13, 14, Interludio III</w:t>
      </w:r>
    </w:p>
    <w:p>
      <w:pPr>
        <w:pStyle w:val="BodyJ"/>
        <w:numPr>
          <w:ilvl w:val="0"/>
          <w:numId w:val="6"/>
        </w:numPr>
      </w:pPr>
      <w:r>
        <w:t xml:space="preserve">Deliberación moral (Gracia) — 10</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10)</w:t>
      </w:r>
    </w:p>
    <w:p>
      <w:pPr>
        <w:pStyle w:val="BodyJ"/>
        <w:numPr>
          <w:ilvl w:val="0"/>
          <w:numId w:val="6"/>
        </w:numPr>
      </w:pPr>
      <w:r>
        <w:t xml:space="preserve">Errores asimétricos — 10, CC (viñeta 5)</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w:t>
      </w:r>
    </w:p>
    <w:p>
      <w:pPr>
        <w:pStyle w:val="BodyJ"/>
        <w:numPr>
          <w:ilvl w:val="0"/>
          <w:numId w:val="6"/>
        </w:numPr>
      </w:pPr>
      <w:r>
        <w:t xml:space="preserve">Frecuencias naturales — 2, 10, 13</w:t>
      </w:r>
    </w:p>
    <w:p>
      <w:pPr>
        <w:pStyle w:val="BodyJ"/>
        <w:numPr>
          <w:ilvl w:val="0"/>
          <w:numId w:val="6"/>
        </w:numPr>
      </w:pPr>
      <w:r>
        <w:t xml:space="preserve">Grados de facticidad — 1</w:t>
      </w:r>
    </w:p>
    <w:p>
      <w:pPr>
        <w:pStyle w:val="BodyJ"/>
        <w:numPr>
          <w:ilvl w:val="0"/>
          <w:numId w:val="6"/>
        </w:numPr>
      </w:pPr>
      <w:r>
        <w:t xml:space="preserve">Hindsight bias — 8, 11, 16, CC (viñeta 8)</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 10)</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sensibilidad vs. sesgo — Int, 5; artificial — 17</w:t>
      </w:r>
    </w:p>
    <w:p>
      <w:pPr>
        <w:pStyle w:val="BodyJ"/>
        <w:numPr>
          <w:ilvl w:val="0"/>
          <w:numId w:val="6"/>
        </w:numPr>
      </w:pPr>
      <w:r>
        <w:t xml:space="preserve">Miedo y decisión (documentación defensiva, sobreestudio) — 3, 14</w:t>
      </w:r>
    </w:p>
    <w:p>
      <w:pPr>
        <w:pStyle w:val="BodyJ"/>
        <w:numPr>
          <w:ilvl w:val="0"/>
          <w:numId w:val="6"/>
        </w:numPr>
      </w:pPr>
      <w:r>
        <w:t xml:space="preserve">Observación activa — 10, 11</w:t>
      </w:r>
    </w:p>
    <w:p>
      <w:pPr>
        <w:pStyle w:val="BodyJ"/>
        <w:numPr>
          <w:ilvl w:val="0"/>
          <w:numId w:val="6"/>
        </w:numPr>
      </w:pPr>
      <w:r>
        <w:t xml:space="preserve">Pausa diagnóstica — 8, 16, Ap B, Ap C</w:t>
      </w:r>
    </w:p>
    <w:p>
      <w:pPr>
        <w:pStyle w:val="BodyJ"/>
        <w:numPr>
          <w:ilvl w:val="0"/>
          <w:numId w:val="6"/>
        </w:numPr>
      </w:pPr>
      <w:r>
        <w:t xml:space="preserve">Poesía y juicio clínico (Huidobro, Parra; belleza como señal y trampa) — 18</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Proporcionalidad terapéutica (Taboada) — 10, 15, CC (viñeta 7)</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5, 6 y 9)</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9)</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5)</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2026-08-09T03:01:03.853Z</dcterms:created>
  <dcterms:modified xsi:type="dcterms:W3CDTF">2026-08-09T03:01:03.854Z</dcterms:modified>
</cp:coreProperties>
</file>

<file path=docProps/custom.xml><?xml version="1.0" encoding="utf-8"?>
<Properties xmlns="http://schemas.openxmlformats.org/officeDocument/2006/custom-properties" xmlns:vt="http://schemas.openxmlformats.org/officeDocument/2006/docPropsVTypes"/>
</file>