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19</w:t>
      </w:r>
    </w:p>
    <w:p>
      <w:pPr>
        <w:pStyle w:val="TocEntry"/>
        <w:tabs>
          <w:tab w:val="right" w:pos="9026" w:leader="dot"/>
        </w:tabs>
      </w:pPr>
      <w:r>
        <w:t xml:space="preserve">Capítulo 4. Lenguaje clínico y densidad epistémica</w:t>
      </w:r>
      <w:r>
        <w:tab/>
      </w:r>
      <w:r>
        <w:rPr>
          <w:color w:val="8A8A8A"/>
        </w:rPr>
        <w:t xml:space="preserve">23</w:t>
      </w:r>
    </w:p>
    <w:p>
      <w:pPr>
        <w:pStyle w:val="TocEntry"/>
        <w:tabs>
          <w:tab w:val="right" w:pos="9026" w:leader="dot"/>
        </w:tabs>
      </w:pPr>
      <w:r>
        <w:t xml:space="preserve">Interludio I. La ficha de Carmen</w:t>
      </w:r>
      <w:r>
        <w:tab/>
      </w:r>
      <w:r>
        <w:rPr>
          <w:color w:val="8A8A8A"/>
        </w:rPr>
        <w:t xml:space="preserve">28</w:t>
      </w:r>
    </w:p>
    <w:p>
      <w:pPr>
        <w:pStyle w:val="TocPart"/>
        <w:tabs>
          <w:tab w:val="right" w:pos="9026" w:leader="dot"/>
        </w:tabs>
      </w:pPr>
      <w:r>
        <w:t xml:space="preserve">PARTE II. La mente que se observa</w:t>
      </w:r>
      <w:r>
        <w:tab/>
      </w:r>
      <w:r>
        <w:rPr>
          <w:color w:val="8A8A8A"/>
        </w:rPr>
        <w:t xml:space="preserve">29</w:t>
      </w:r>
    </w:p>
    <w:p>
      <w:pPr>
        <w:pStyle w:val="TocEntry"/>
        <w:tabs>
          <w:tab w:val="right" w:pos="9026" w:leader="dot"/>
        </w:tabs>
      </w:pPr>
      <w:r>
        <w:t xml:space="preserve">Capítulo 5. Metacognición: monitorear y regular el propio juicio</w:t>
      </w:r>
      <w:r>
        <w:tab/>
      </w:r>
      <w:r>
        <w:rPr>
          <w:color w:val="8A8A8A"/>
        </w:rPr>
        <w:t xml:space="preserve">30</w:t>
      </w:r>
    </w:p>
    <w:p>
      <w:pPr>
        <w:pStyle w:val="TocEntry"/>
        <w:tabs>
          <w:tab w:val="right" w:pos="9026" w:leader="dot"/>
        </w:tabs>
      </w:pPr>
      <w:r>
        <w:t xml:space="preserve">Capítulo 6. Pericia, intuición y conocimiento tácito</w:t>
      </w:r>
      <w:r>
        <w:tab/>
      </w:r>
      <w:r>
        <w:rPr>
          <w:color w:val="8A8A8A"/>
        </w:rPr>
        <w:t xml:space="preserve">36</w:t>
      </w:r>
    </w:p>
    <w:p>
      <w:pPr>
        <w:pStyle w:val="TocEntry"/>
        <w:tabs>
          <w:tab w:val="right" w:pos="9026" w:leader="dot"/>
        </w:tabs>
      </w:pPr>
      <w:r>
        <w:t xml:space="preserve">Capítulo 7. Error, sesgo y ecología del diagnóstico</w:t>
      </w:r>
      <w:r>
        <w:tab/>
      </w:r>
      <w:r>
        <w:rPr>
          <w:color w:val="8A8A8A"/>
        </w:rPr>
        <w:t xml:space="preserve">39</w:t>
      </w:r>
    </w:p>
    <w:p>
      <w:pPr>
        <w:pStyle w:val="TocEntry"/>
        <w:tabs>
          <w:tab w:val="right" w:pos="9026" w:leader="dot"/>
        </w:tabs>
      </w:pPr>
      <w:r>
        <w:t xml:space="preserve">Capítulo 8. Reflexión y desaceleración selectiva</w:t>
      </w:r>
      <w:r>
        <w:tab/>
      </w:r>
      <w:r>
        <w:rPr>
          <w:color w:val="8A8A8A"/>
        </w:rPr>
        <w:t xml:space="preserve">42</w:t>
      </w:r>
    </w:p>
    <w:p>
      <w:pPr>
        <w:pStyle w:val="TocEntry"/>
        <w:tabs>
          <w:tab w:val="right" w:pos="9026" w:leader="dot"/>
        </w:tabs>
      </w:pPr>
      <w:r>
        <w:t xml:space="preserve">Interludio II. Lo que el equipo pensó</w:t>
      </w:r>
      <w:r>
        <w:tab/>
      </w:r>
      <w:r>
        <w:rPr>
          <w:color w:val="8A8A8A"/>
        </w:rPr>
        <w:t xml:space="preserve">45</w:t>
      </w:r>
    </w:p>
    <w:p>
      <w:pPr>
        <w:pStyle w:val="TocPart"/>
        <w:tabs>
          <w:tab w:val="right" w:pos="9026" w:leader="dot"/>
        </w:tabs>
      </w:pPr>
      <w:r>
        <w:t xml:space="preserve">PARTE III. Decidir en el tiempo y con otros</w:t>
      </w:r>
      <w:r>
        <w:tab/>
      </w:r>
      <w:r>
        <w:rPr>
          <w:color w:val="8A8A8A"/>
        </w:rPr>
        <w:t xml:space="preserve">46</w:t>
      </w:r>
    </w:p>
    <w:p>
      <w:pPr>
        <w:pStyle w:val="TocEntry"/>
        <w:tabs>
          <w:tab w:val="right" w:pos="9026" w:leader="dot"/>
        </w:tabs>
      </w:pPr>
      <w:r>
        <w:t xml:space="preserve">Capítulo 9. La evidencia y el caso singular</w:t>
      </w:r>
      <w:r>
        <w:tab/>
      </w:r>
      <w:r>
        <w:rPr>
          <w:color w:val="8A8A8A"/>
        </w:rPr>
        <w:t xml:space="preserve">47</w:t>
      </w:r>
    </w:p>
    <w:p>
      <w:pPr>
        <w:pStyle w:val="TocEntry"/>
        <w:tabs>
          <w:tab w:val="right" w:pos="9026" w:leader="dot"/>
        </w:tabs>
      </w:pPr>
      <w:r>
        <w:t xml:space="preserve">Capítulo 10. Decidir sin certeza: umbrales, valores y lectura de la evidencia</w:t>
      </w:r>
      <w:r>
        <w:tab/>
      </w:r>
      <w:r>
        <w:rPr>
          <w:color w:val="8A8A8A"/>
        </w:rPr>
        <w:t xml:space="preserve">50</w:t>
      </w:r>
    </w:p>
    <w:p>
      <w:pPr>
        <w:pStyle w:val="TocEntry"/>
        <w:tabs>
          <w:tab w:val="right" w:pos="9026" w:leader="dot"/>
        </w:tabs>
      </w:pPr>
      <w:r>
        <w:t xml:space="preserve">Capítulo 11. Temporalidad, trayectoria y razonamiento contrafactual</w:t>
      </w:r>
      <w:r>
        <w:tab/>
      </w:r>
      <w:r>
        <w:rPr>
          <w:color w:val="8A8A8A"/>
        </w:rPr>
        <w:t xml:space="preserve">57</w:t>
      </w:r>
    </w:p>
    <w:p>
      <w:pPr>
        <w:pStyle w:val="TocEntry"/>
        <w:tabs>
          <w:tab w:val="right" w:pos="9026" w:leader="dot"/>
        </w:tabs>
      </w:pPr>
      <w:r>
        <w:t xml:space="preserve">Capítulo 12. La ficha clínica como instrumento de pensamiento</w:t>
      </w:r>
      <w:r>
        <w:tab/>
      </w:r>
      <w:r>
        <w:rPr>
          <w:color w:val="8A8A8A"/>
        </w:rPr>
        <w:t xml:space="preserve">60</w:t>
      </w:r>
    </w:p>
    <w:p>
      <w:pPr>
        <w:pStyle w:val="TocEntry"/>
        <w:tabs>
          <w:tab w:val="right" w:pos="9026" w:leader="dot"/>
        </w:tabs>
      </w:pPr>
      <w:r>
        <w:t xml:space="preserve">Capítulo 13. Pensar con otros: equipos, desacuerdo y comunicación de la incertidumbre</w:t>
      </w:r>
      <w:r>
        <w:tab/>
      </w:r>
      <w:r>
        <w:rPr>
          <w:color w:val="8A8A8A"/>
        </w:rPr>
        <w:t xml:space="preserve">64</w:t>
      </w:r>
    </w:p>
    <w:p>
      <w:pPr>
        <w:pStyle w:val="TocEntry"/>
        <w:tabs>
          <w:tab w:val="right" w:pos="9026" w:leader="dot"/>
        </w:tabs>
      </w:pPr>
      <w:r>
        <w:t xml:space="preserve">Interludio III. La decisión de Carmen</w:t>
      </w:r>
      <w:r>
        <w:tab/>
      </w:r>
      <w:r>
        <w:rPr>
          <w:color w:val="8A8A8A"/>
        </w:rPr>
        <w:t xml:space="preserve">69</w:t>
      </w:r>
    </w:p>
    <w:p>
      <w:pPr>
        <w:pStyle w:val="TocPart"/>
        <w:tabs>
          <w:tab w:val="right" w:pos="9026" w:leader="dot"/>
        </w:tabs>
      </w:pPr>
      <w:r>
        <w:t xml:space="preserve">PARTE IV. Una epistemología operativa</w:t>
      </w:r>
      <w:r>
        <w:tab/>
      </w:r>
      <w:r>
        <w:rPr>
          <w:color w:val="8A8A8A"/>
        </w:rPr>
        <w:t xml:space="preserve">70</w:t>
      </w:r>
    </w:p>
    <w:p>
      <w:pPr>
        <w:pStyle w:val="TocEntry"/>
        <w:tabs>
          <w:tab w:val="right" w:pos="9026" w:leader="dot"/>
        </w:tabs>
      </w:pPr>
      <w:r>
        <w:t xml:space="preserve">Capítulo 14. Humildad epistémica y responsabilidad clínica</w:t>
      </w:r>
      <w:r>
        <w:tab/>
      </w:r>
      <w:r>
        <w:rPr>
          <w:color w:val="8A8A8A"/>
        </w:rPr>
        <w:t xml:space="preserve">71</w:t>
      </w:r>
    </w:p>
    <w:p>
      <w:pPr>
        <w:pStyle w:val="TocEntry"/>
        <w:tabs>
          <w:tab w:val="right" w:pos="9026" w:leader="dot"/>
        </w:tabs>
      </w:pPr>
      <w:r>
        <w:t xml:space="preserve">Capítulo 15. El método HII-D: una epistemología operativa</w:t>
      </w:r>
      <w:r>
        <w:tab/>
      </w:r>
      <w:r>
        <w:rPr>
          <w:color w:val="8A8A8A"/>
        </w:rPr>
        <w:t xml:space="preserve">77</w:t>
      </w:r>
    </w:p>
    <w:p>
      <w:pPr>
        <w:pStyle w:val="TocEntry"/>
        <w:tabs>
          <w:tab w:val="right" w:pos="9026" w:leader="dot"/>
        </w:tabs>
      </w:pPr>
      <w:r>
        <w:t xml:space="preserve">Cuaderno de casos. Ocho viñetas para una lectura metacognitiva</w:t>
      </w:r>
      <w:r>
        <w:tab/>
      </w:r>
      <w:r>
        <w:rPr>
          <w:color w:val="8A8A8A"/>
        </w:rPr>
        <w:t xml:space="preserve">84</w:t>
      </w:r>
    </w:p>
    <w:p>
      <w:pPr>
        <w:pStyle w:val="TocEntry"/>
        <w:tabs>
          <w:tab w:val="right" w:pos="9026" w:leader="dot"/>
        </w:tabs>
      </w:pPr>
      <w:r>
        <w:t xml:space="preserve">Capítulo 16. Enseñar y organizar la metacognición clínica</w:t>
      </w:r>
      <w:r>
        <w:tab/>
      </w:r>
      <w:r>
        <w:rPr>
          <w:color w:val="8A8A8A"/>
        </w:rPr>
        <w:t xml:space="preserve">92</w:t>
      </w:r>
    </w:p>
    <w:p>
      <w:pPr>
        <w:pStyle w:val="TocEntry"/>
        <w:tabs>
          <w:tab w:val="right" w:pos="9026" w:leader="dot"/>
        </w:tabs>
      </w:pPr>
      <w:r>
        <w:t xml:space="preserve">Capítulo 17. La inteligencia artificial en el proceso clínico: roles, riesgos y defensas</w:t>
      </w:r>
      <w:r>
        <w:tab/>
      </w:r>
      <w:r>
        <w:rPr>
          <w:color w:val="8A8A8A"/>
        </w:rPr>
        <w:t xml:space="preserve">96</w:t>
      </w:r>
    </w:p>
    <w:p>
      <w:pPr>
        <w:pStyle w:val="TocEntry"/>
        <w:tabs>
          <w:tab w:val="right" w:pos="9026" w:leader="dot"/>
        </w:tabs>
      </w:pPr>
      <w:r>
        <w:t xml:space="preserve">Capítulo 18. La palabra exacta: lo que la poesía sabe del juicio clínico</w:t>
      </w:r>
      <w:r>
        <w:tab/>
      </w:r>
      <w:r>
        <w:rPr>
          <w:color w:val="8A8A8A"/>
        </w:rPr>
        <w:t xml:space="preserve">103</w:t>
      </w:r>
    </w:p>
    <w:p>
      <w:pPr>
        <w:pStyle w:val="TocPart"/>
        <w:tabs>
          <w:tab w:val="right" w:pos="9026" w:leader="dot"/>
        </w:tabs>
      </w:pPr>
      <w:r>
        <w:t xml:space="preserve">Conclusión. Una medicina lúcida</w:t>
      </w:r>
      <w:r>
        <w:tab/>
      </w:r>
      <w:r>
        <w:rPr>
          <w:color w:val="8A8A8A"/>
        </w:rPr>
        <w:t xml:space="preserve">107</w:t>
      </w:r>
    </w:p>
    <w:p>
      <w:pPr>
        <w:pStyle w:val="TocPart"/>
        <w:tabs>
          <w:tab w:val="right" w:pos="9026" w:leader="dot"/>
        </w:tabs>
      </w:pPr>
      <w:r>
        <w:t xml:space="preserve">Apéndice A. Hoja HII-D para discusión de casos</w:t>
      </w:r>
      <w:r>
        <w:tab/>
      </w:r>
      <w:r>
        <w:rPr>
          <w:color w:val="8A8A8A"/>
        </w:rPr>
        <w:t xml:space="preserve">109</w:t>
      </w:r>
    </w:p>
    <w:p>
      <w:pPr>
        <w:pStyle w:val="TocPart"/>
        <w:tabs>
          <w:tab w:val="right" w:pos="9026" w:leader="dot"/>
        </w:tabs>
      </w:pPr>
      <w:r>
        <w:t xml:space="preserve">Apéndice B. Léxico de certeza y pausa diagnóstica</w:t>
      </w:r>
      <w:r>
        <w:tab/>
      </w:r>
      <w:r>
        <w:rPr>
          <w:color w:val="8A8A8A"/>
        </w:rPr>
        <w:t xml:space="preserve">111</w:t>
      </w:r>
    </w:p>
    <w:p>
      <w:pPr>
        <w:pStyle w:val="TocPart"/>
        <w:tabs>
          <w:tab w:val="right" w:pos="9026" w:leader="dot"/>
        </w:tabs>
      </w:pPr>
      <w:r>
        <w:t xml:space="preserve">Apéndice C. Guía de implementación en un servicio clínico</w:t>
      </w:r>
      <w:r>
        <w:tab/>
      </w:r>
      <w:r>
        <w:rPr>
          <w:color w:val="8A8A8A"/>
        </w:rPr>
        <w:t xml:space="preserve">113</w:t>
      </w:r>
    </w:p>
    <w:p>
      <w:pPr>
        <w:pStyle w:val="TocPart"/>
        <w:tabs>
          <w:tab w:val="right" w:pos="9026" w:leader="dot"/>
        </w:tabs>
      </w:pPr>
      <w:r>
        <w:t xml:space="preserve">Glosario</w:t>
      </w:r>
      <w:r>
        <w:tab/>
      </w:r>
      <w:r>
        <w:rPr>
          <w:color w:val="8A8A8A"/>
        </w:rPr>
        <w:t xml:space="preserve">115</w:t>
      </w:r>
    </w:p>
    <w:p>
      <w:pPr>
        <w:pStyle w:val="TocPart"/>
        <w:tabs>
          <w:tab w:val="right" w:pos="9026" w:leader="dot"/>
        </w:tabs>
      </w:pPr>
      <w:r>
        <w:t xml:space="preserve">Índice analítico</w:t>
      </w:r>
      <w:r>
        <w:tab/>
      </w:r>
      <w:r>
        <w:rPr>
          <w:color w:val="8A8A8A"/>
        </w:rPr>
        <w:t xml:space="preserve">119</w:t>
      </w:r>
    </w:p>
    <w:p>
      <w:pPr>
        <w:pStyle w:val="TocPart"/>
        <w:tabs>
          <w:tab w:val="right" w:pos="9026" w:leader="dot"/>
        </w:tabs>
      </w:pPr>
      <w:r>
        <w:t xml:space="preserve">Nota metodológica y estatuto de las afirmaciones</w:t>
      </w:r>
      <w:r>
        <w:tab/>
      </w:r>
      <w:r>
        <w:rPr>
          <w:color w:val="8A8A8A"/>
        </w:rPr>
        <w:t xml:space="preserve">122</w:t>
      </w:r>
    </w:p>
    <w:p>
      <w:pPr>
        <w:pStyle w:val="TocPart"/>
        <w:tabs>
          <w:tab w:val="right" w:pos="9026" w:leader="dot"/>
        </w:tabs>
      </w:pPr>
      <w:r>
        <w:t xml:space="preserve">Referencias</w:t>
      </w:r>
      <w:r>
        <w:tab/>
      </w:r>
      <w:r>
        <w:rPr>
          <w:color w:val="8A8A8A"/>
        </w:rPr>
        <w:t xml:space="preserve">123</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1.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puede escribir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Conviene precisar, antes de seguir,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es una línea que el equipo traza, puede volver a trazar y debe poder mostrar dónde la trazó. Eso —y no compartimentos puros— es lo que la Figura 1 llama separación funcional y gradual.</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2.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conviene leerla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razonable: tromboembolismo pulmonar (el EPOC es factor de riesgo, y las sibilancias escasas no explican la hipoxemia), neumotórax sobre bulas, insuficiencia cardiaca izquierda, neumonía en evolución, anemia, arritmia, derrame pleural, crisis de pánico superpuesta. La reformulación clave suele ser: "disnea desproporcionada a la obstrucción auscultada" — un problema distinto de "EPOC descompensado que no responde", porque abre el espacio donde viven el TEP y el neumotórax en vez de invitar a subir la dosis de lo mismo. Nótese el orden deliberado: primero volumen sin censura —la censura temprana es el mecanismo íntimo del cierre prematuro—, después poda severa. Tres minutos de generación cuestan menos que un día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Conviene fijar la división del trabajo: el monitoreo detecta — la fluidez que se rompe, el dato que no encaja, la emoción que desentona con el caso —; el control decide qué hacer con la señal —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demasiado literalmente: la vigilancia del propio juicio es sólo en parte introspectiva. Muchas de sus mejores señales vienen de afuera —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la intuición es confiable cuando se formó en un entorno de validez alta — regularidades estables entre señales y desenlaces — y con oportunidad real de aprenderlas, es decir, feedback oportuno y veraz; sin esas dos condiciones la sensación de saber crece igual, pero sin correlato (Kahneman &amp; Klein, 2009).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El ensayo clínico dice: "la reparación electiva de hernia incisional reduce la recurrencia obstructiva en pacientes comparables". La paciente de la cama 7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Conviene hacer la aritmética con Carmen, con cifras inventadas para el ejercicio. Supongamos que un ensayo de reparación electiva frente a manejo expectante mostró una reducción relativa de 50% en la recurrencia obstructiva a dos años, con un riesgo basal de 20% en la población estudiada: diez puntos absolutos, uno de cada diez pacientes operados evita una recurrencia. Carmen no es esa población: con cuatro episodios en doce meses y el último con shock, su riesgo basal plausible es mucho mayor — digamos 60% —, y la misma reducción relativa vale entonces treinta puntos absolutos, casi uno de cada tres. Pero su riesgo quirúrgico también se aleja del promedio del ensayo: EPOC, un shock reciente, un abdomen reoperado. El daño absoluto escala junto con el beneficio. La aritmética no decide por nadie; muestra qué hay que estimar antes de decidir — dos riesgos basales, no uno — y por qué "está indicado por evidencia" es una frase que esconde ambas estimaciones.</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7.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ese cruce tiene forma epistémica antes que moral: tratar la indicación como una propiedad de la enfermedad y no como una relación entre la intervención y este enfermo. "La estenosis aórtica severa sintomática tiene indicación de reemplazo valvular" es una frase verdadera sobre una población. Que este hombre de 88 años —frágil, con deterioro cognitivo incipiente, dos hospitalizaciones en el semestre y una hija que ya no puede cuidarlo— vaya a vivir mejor con el reemplazo es otra afirmación, que exige otros hechos. Es la distinción del capítulo 9 entre el efecto promedio y el caso singular, ahora con su carga moral a la vista: lo que se pierde cuando se omite el contexto no es sólo precisión; es el paciente.</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8.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de intervención pendiente — cirugía, diálisis, ventilación mecánica, nueva línea oncológica. Dibuje cuatro casillas: indicaciones médicas, preferencias del paciente, calidad de vida, rasgos contextuales. Llénelas en cinco minutos con lo que sabe hoy, sin abrir la ficha. Luego ábrala y verifique: ¿qué casilla quedó vacía — y ese vacío es del caso o de su conocimiento del caso?</w:t>
      </w:r>
    </w:p>
    <w:p>
      <w:pPr>
        <w:pStyle w:val="BodyJ"/>
      </w:pPr>
      <w:r>
        <w:rPr>
          <w:i/>
          <w:iCs/>
        </w:rPr>
        <w:t xml:space="preserve">Solución comentada.</w:t>
      </w:r>
      <w:r>
        <w:t xml:space="preserve"> El ejercicio suele producir dos hallazgos. Primero: la casilla de indicaciones se llena sola y las otras tres exhiben lagunas que no son opiniones faltantes sino hechos faltantes — nadie preguntó quién vive con el paciente; la funcionalidad basal dice "previamente autovalente" sin que nadie la haya explorado; las preferencias son una presunción de la familia, no una cita del enfermo. Segundo: las cuatro casillas rara vez cambian la intervención; cambian la conversación — con quién falta hablar, qué falta saber, qué está decidiendo el equipo por inercia. Y cuando las casillas están completas y la decisión sigue en disputa, eso también es información: el caso ya no necesita más exámenes; necesita deliberación y, a veces,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Khanna &amp; Najafi, 2017). Cuatro de cada cinco palabras de una evolución típica no fueron pensadas el día en que aparecen firmadas.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Vuelva a la nota de las 2:00. "Más quejumbrosa, rechaza la cena, diuresis límite" contiene tres hechos de pleno derecho que ninguna nota médica de ese día posee: un cambio respecto del basal observado por quien ve a la paciente cada dos horas y no una vez al día; una conducta —rechazar la comida en alguien que venía comiendo— que es dato y no anécdota; y una tendencia que precede en horas a la cifra que activará la alarma. Es la observación profesional de la tabla del capítulo 1 en su forma más valiosa: la serie temporal corta, que sólo enfermería posee. Lo que la frase de las 8:00 hizo —"sin novedades"— no fue mentir: fue aplicar a esa fuente un estándar de relevancia que no se aplica a la propia. La cognición distribuida empieza por conceder a cada integrante su acceso privilegiado, y el de enfermería es el tiempo entre visitas médicas — exactamente donde los pacientes se deterioran.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se queda callada un momento y después habla más de lo que había hablado en tres semanas: "Yo no quiero otra noche como esa. Pensé que me moría, y mi hija también. Pero tampoco quiero que me abran si no hace falta: la otra vez tardé meses en pararme derecha. Lo que necesito saber es si después de esto voy a poder seguir cuidando a mi nieta". La pregunta no figuraba en ninguna escala de riesgo quirúrgico y era la que ordenaba todas las demás; la cirujana la anotó antes de responder.</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nosotros — conocimiento causal, emoción leída como dato, valores del paciente y oportunidad: el momento de actuar ahora o esperar. Esa integración sólo permanece honesta si alguien vigila sus límites, y la humildad es exactamente eso: la phronesis vuelta sobre sí misma, la parte de la prudencia que sabe cuánta de la propia prudencia es conjetura. Con ella queda a la vista el hilo que el libro venía tendiendo: el capítulo 2 mostró la abducción — la conjetura que crea explicaciones —; el capítulo 5, la metacognición que la vigila mientras trabaja; la humildad es la disposición que la mantiene abierta cuando ya produjo una respuesta cómoda. Generar, vigilar, mantener abierto: tres nombres de una misma lealtad al caso.</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 La regla general merece escribirse: una ficha que borra el testimonio del paciente no es sólo injusta — es epistemológicamente más pobre, y una frase medular que no conserva la voz del enfermo cuando esa voz es el dato está incompleta según su propio estándar.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9.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conviene decir exactamente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En el control del mes, Carmen puso su propia frase medular: "Esta vez el dolor venía con explicación, y eso lo cambia todo".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daño importante podría producir si estoy equivocado?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proporcionado — el juicio de proporcionalidad del capítulo 10, que aquí exige lo que más cuesta: un pronóstico honesto.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analiza un error completo, con la disciplina de los capítulos 7 y 8: sin usar nombres de sesgos y sin dejar que el desenlace conocido juzgue lo que era razonable saber en cada momento.</w:t>
      </w:r>
    </w:p>
    <w:p>
      <w:pPr>
        <w:pStyle w:val="BodyJ"/>
      </w:pPr>
      <w:r>
        <w:rPr>
          <w:i/>
          <w:iCs/>
        </w:rPr>
        <w:t xml:space="preserve">El caso.</w:t>
      </w:r>
      <w:r>
        <w:t xml:space="preserve"> Mujer de 29 años consulta en urgencias a las 23:40 por disnea súbita de dos horas, palpitaciones y "sensación de que me voy a morir". Antecedente de trastorno de pánico en tratamiento; la nota de triage dice "paciente ansiosa, crisis de pánico conocida". Frecuencia cardiaca 118, saturación 94% ambiental, examen "sin hallazgos". Nota médica: "Crisis de pánico en paciente con antecedente. Lorazepam sublingual. Alta con control en salud mental". A las 36 horas reconsulta traída por su pareja tras un síncope en el baño: tromboembolismo pulmonar bilateral con sobrecarga ventricular derecha. Sobrevive tras trombólisis.</w:t>
      </w:r>
    </w:p>
    <w:p>
      <w:pPr>
        <w:pStyle w:val="BodyJ"/>
      </w:pPr>
      <w:r>
        <w:rPr>
          <w:i/>
          <w:iCs/>
        </w:rPr>
        <w:t xml:space="preserve">Reconstrucción por capas.</w:t>
      </w:r>
      <w:r>
        <w:t xml:space="preserve"> </w:t>
      </w:r>
      <w:r>
        <w:rPr>
          <w:b/>
          <w:bCs/>
        </w:rPr>
        <w:t xml:space="preserve">Hechos disponibles la primera noche:</w:t>
      </w:r>
      <w:r>
        <w:t xml:space="preserve"> disnea súbita (relato, con inicio preciso); taquicardia de 118 al ingreso y de 112 al alta, una hora después de la benzodiacepina (dato medido, registrado y no interpretado); saturación 94% (medida; "normal para una paciente que hiperventila", se dijo en voz alta — pero la hiperventilación sube la saturación, no la baja); uso de anticonceptivos orales combinados y un viaje en bus de nueve horas tres días antes (dos hechos que existían y que nadie preguntó, porque la pregunta que los convoca —"¿qué más podría ser?"— no se formuló); y una etiqueta heredada del triage, "crisis de pánico conocida", que entró a la nota médica con estatus de diagnóstico antes de que el médico viera a la paciente. </w:t>
      </w:r>
      <w:r>
        <w:rPr>
          <w:b/>
          <w:bCs/>
        </w:rPr>
        <w:t xml:space="preserve">Inferencia de la primera noche:</w:t>
      </w:r>
      <w:r>
        <w:t xml:space="preserve"> "crisis de pánico" — escrita como hecho; fuerza real: posible, apoyada en el antecedente y en la coincidencia de la queja con la etiqueta. </w:t>
      </w:r>
      <w:r>
        <w:rPr>
          <w:b/>
          <w:bCs/>
        </w:rPr>
        <w:t xml:space="preserve">Incertidumbre nunca escrita:</w:t>
      </w:r>
      <w:r>
        <w:t xml:space="preserve"> ¿qué explica una taquicardia que persiste con la paciente ya tranquila, y una saturación que no corresponde a una crisis de ansiedad? Existe una regla de decisión creada exactamente para este momento —los criterios PERC: ocho condiciones que, si se cumplen todas, permiten no estudiar una embolia en pacientes de baja probabilidad (Kline et al., 2004)—, y la paciente incumplía tres: frecuencia cardiaca, saturación y uso de estrógenos. La regla no falló: no se aplicó, porque nadie creyó que hubiera algo que descartar. </w:t>
      </w:r>
      <w:r>
        <w:rPr>
          <w:b/>
          <w:bCs/>
        </w:rPr>
        <w:t xml:space="preserve">Decisión de la primera noche:</w:t>
      </w:r>
      <w:r>
        <w:t xml:space="preserve"> ansiolisis y alta; defendible como tratamiento sintomático, indefendible como cierre: ninguna línea de la nota decía qué debía hacer volver a la paciente antes del "control en salud mental".</w:t>
      </w:r>
    </w:p>
    <w:p>
      <w:pPr>
        <w:pStyle w:val="BodyJ"/>
      </w:pPr>
      <w:r>
        <w:rPr>
          <w:i/>
          <w:iCs/>
        </w:rPr>
        <w:t xml:space="preserve">Dónde estuvo la oportunidad.</w:t>
      </w:r>
      <w:r>
        <w:t xml:space="preserve"> En el control de signos previo al alta. Una taquicardia de 112 en una paciente sedada y calmada era la discordancia informativa de la noche: el tratamiento correcto de la hipótesis correcta debía normalizar la frecuencia, no sólo la angustia. La pregunta de pase —"¿qué no explica el pánico?"— tenía ahí su máximo valor y su costo mínimo: dos preguntas de anamnesis, una regla de ocho ítems, quizá un dímero-D. A las 36 horas, la pregunta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uso de anticonceptivos orales: crisis de pánico posible, pero la taquicardia y la saturación de 94% no están explicadas; PERC positivo — dímero-D antes de decidir el alta; si se difiere, reconsulta inmediata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14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14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ronda</w:t>
      </w:r>
    </w:p>
    <w:p>
      <w:pPr>
        <w:pStyle w:val="BodyJ"/>
      </w:pPr>
      <w:r>
        <w:t xml:space="preserve">Describa por escrito la ronda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pase de turno— y estime el costo en minutos por ronda.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ronda,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(ronda,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El capítulo 2 mostró que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Es la lección de la Parte III aplicada al software: una herramienta no hereda la validez de su marca, y la validación externa no es un trámite —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la carga teórica de la observación del capítulo 1, a escala poblacional.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w:t>
      </w: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 sé razonar, delego repetidamente, dejo de ejercitar, la capacidad se deteriora—; </w:t>
      </w:r>
      <w:r>
        <w:rPr>
          <w:i/>
          <w:iCs/>
        </w:rPr>
        <w:t xml:space="preserve">never-skilling</w:t>
      </w:r>
      <w:r>
        <w:t xml:space="preserve"> — la IA estuvo disponible desde el inicio de la formación, la operación cognitiva nunca se ejecutó las veces necesarias, la competencia nunca se consolidó—; y </w:t>
      </w:r>
      <w:r>
        <w:rPr>
          <w:i/>
          <w:iCs/>
        </w:rPr>
        <w:t xml:space="preserve">mis-skilling</w:t>
      </w:r>
      <w:r>
        <w:t xml:space="preserve"> —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y una parte de este libro ya lo había descrito sin nombrar la IA. Escribir la nota clínica no es registrar un pensamiento terminado: seleccionar qué dato importa, jerarquizarlo y estructurarlo es parte del proceso mismo de pensar — la tesis del capítulo 12,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merece escribirse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Heading3"/>
        <w:spacing w:after="120" w:before="280"/>
      </w:pPr>
      <w:r>
        <w:rPr>
          <w:rFonts w:ascii="Georgia" w:cs="Georgia" w:eastAsia="Georgia" w:hAnsi="Georgia"/>
          <w:b/>
          <w:bCs/>
          <w:color w:val="2B2B2B"/>
          <w:sz w:val="25"/>
          <w:szCs w:val="25"/>
        </w:rPr>
        <w:t xml:space="preserve">La IA como espejo y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capítulo 12 mostró el mecanismo: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Tres hilos de este libro conviene dejar anudados. El primero va de la abducción a la humildad: la conjetura que crea explicaciones, la vigilancia que la acompaña mientras trabaja y la disposición que la mantiene abierta cuando ya produjo una respuesta cómoda son tres momentos de una misma lealtad al caso, y la prudencia práctica —la phronesis— es su nombre antiguo. El segundo va del dato al contexto: la funcionalidad, el pronóstico de fondo y la red de apoyo son hechos clínicos de pleno derecho, y una decisión que los omitió no es más objetiva sino más incompleta. El tercero va de la ficha al razonador: escribir la nota es parte de pensar, y por eso la inteligencia artificial —que produce exactamente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exactamente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16, Ap C</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Hindsight bias — 8, 11, 16, CC (viñeta 6)</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artificial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de pleno derecho — 13</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3)</w:t>
      </w:r>
    </w:p>
    <w:p>
      <w:pPr>
        <w:pStyle w:val="BodyJ"/>
        <w:numPr>
          <w:ilvl w:val="0"/>
          <w:numId w:val="6"/>
        </w:numPr>
      </w:pPr>
      <w:r>
        <w:t xml:space="preserve">Validez del entorno e intuición (Kahneman y Klein) — 6</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agosto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4413ef35eda850ea69e2ef1e71317b65997b97.png"/><Relationship Id="rId10" Type="http://schemas.openxmlformats.org/officeDocument/2006/relationships/image" Target="media/8f7fc95f3881b440dc7179b5574840ea7ea9981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6053aed5214e5817ca2bc7077bedd0d598f4e04b.png"/><Relationship Id="rId16" Type="http://schemas.openxmlformats.org/officeDocument/2006/relationships/image" Target="media/147914b6ed22858813c6914a5f828116ebfd39b0.png"/><Relationship Id="rId17" Type="http://schemas.openxmlformats.org/officeDocument/2006/relationships/image" Target="media/4040ee3bac2dc1ccc36a8793c1f87e53f1ba14e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2026-10-14T01:40:20.153Z</dcterms:created>
  <dcterms:modified xsi:type="dcterms:W3CDTF">2026-10-14T01:40:20.153Z</dcterms:modified>
</cp:coreProperties>
</file>

<file path=docProps/custom.xml><?xml version="1.0" encoding="utf-8"?>
<Properties xmlns="http://schemas.openxmlformats.org/officeDocument/2006/custom-properties" xmlns:vt="http://schemas.openxmlformats.org/officeDocument/2006/docPropsVTypes"/>
</file>