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La evidencia y el caso singular</w:t>
      </w:r>
      <w:r>
        <w:tab/>
      </w:r>
      <w:r>
        <w:rPr>
          <w:color w:val="8A8A8A"/>
        </w:rPr>
        <w:t xml:space="preserve">45</w:t>
      </w:r>
    </w:p>
    <w:p>
      <w:pPr>
        <w:pStyle w:val="TocEntry"/>
        <w:tabs>
          <w:tab w:val="right" w:pos="9026" w:leader="dot"/>
        </w:tabs>
      </w:pPr>
      <w:r>
        <w:t xml:space="preserve">Capítulo 10. Decidir sin certeza: umbrales, valores y lectura de la evidencia</w:t>
      </w:r>
      <w:r>
        <w:tab/>
      </w:r>
      <w:r>
        <w:rPr>
          <w:color w:val="8A8A8A"/>
        </w:rPr>
        <w:t xml:space="preserve">48</w:t>
      </w:r>
    </w:p>
    <w:p>
      <w:pPr>
        <w:pStyle w:val="TocEntry"/>
        <w:tabs>
          <w:tab w:val="right" w:pos="9026" w:leader="dot"/>
        </w:tabs>
      </w:pPr>
      <w:r>
        <w:t xml:space="preserve">Capítulo 11. Temporalidad, trayectoria y razonamiento contrafactual</w:t>
      </w:r>
      <w:r>
        <w:tab/>
      </w:r>
      <w:r>
        <w:rPr>
          <w:color w:val="8A8A8A"/>
        </w:rPr>
        <w:t xml:space="preserve">56</w:t>
      </w:r>
    </w:p>
    <w:p>
      <w:pPr>
        <w:pStyle w:val="TocEntry"/>
        <w:tabs>
          <w:tab w:val="right" w:pos="9026" w:leader="dot"/>
        </w:tabs>
      </w:pPr>
      <w:r>
        <w:t xml:space="preserve">Capítulo 12. La ficha clínica como instrumento de pensamiento</w:t>
      </w:r>
      <w:r>
        <w:tab/>
      </w:r>
      <w:r>
        <w:rPr>
          <w:color w:val="8A8A8A"/>
        </w:rPr>
        <w:t xml:space="preserve">59</w:t>
      </w:r>
    </w:p>
    <w:p>
      <w:pPr>
        <w:pStyle w:val="TocEntry"/>
        <w:tabs>
          <w:tab w:val="right" w:pos="9026" w:leader="dot"/>
        </w:tabs>
      </w:pPr>
      <w:r>
        <w:t xml:space="preserve">Capítulo 13. Pensar con otros: equipos, desacuerdo y comunicación de la incertidumbre</w:t>
      </w:r>
      <w:r>
        <w:tab/>
      </w:r>
      <w:r>
        <w:rPr>
          <w:color w:val="8A8A8A"/>
        </w:rPr>
        <w:t xml:space="preserve">63</w:t>
      </w:r>
    </w:p>
    <w:p>
      <w:pPr>
        <w:pStyle w:val="TocEntry"/>
        <w:tabs>
          <w:tab w:val="right" w:pos="9026" w:leader="dot"/>
        </w:tabs>
      </w:pPr>
      <w:r>
        <w:t xml:space="preserve">Interludio III. La decisión de Carmen</w:t>
      </w:r>
      <w:r>
        <w:tab/>
      </w:r>
      <w:r>
        <w:rPr>
          <w:color w:val="8A8A8A"/>
        </w:rPr>
        <w:t xml:space="preserve">68</w:t>
      </w:r>
    </w:p>
    <w:p>
      <w:pPr>
        <w:pStyle w:val="TocPart"/>
        <w:tabs>
          <w:tab w:val="right" w:pos="9026" w:leader="dot"/>
        </w:tabs>
      </w:pPr>
      <w:r>
        <w:t xml:space="preserve">PARTE IV. Una epistemología operativa</w:t>
      </w:r>
      <w:r>
        <w:tab/>
      </w:r>
      <w:r>
        <w:rPr>
          <w:color w:val="8A8A8A"/>
        </w:rPr>
        <w:t xml:space="preserve">69</w:t>
      </w:r>
    </w:p>
    <w:p>
      <w:pPr>
        <w:pStyle w:val="TocEntry"/>
        <w:tabs>
          <w:tab w:val="right" w:pos="9026" w:leader="dot"/>
        </w:tabs>
      </w:pPr>
      <w:r>
        <w:t xml:space="preserve">Capítulo 14. Humildad epistémica y responsabilidad clínica</w:t>
      </w:r>
      <w:r>
        <w:tab/>
      </w:r>
      <w:r>
        <w:rPr>
          <w:color w:val="8A8A8A"/>
        </w:rPr>
        <w:t xml:space="preserve">70</w:t>
      </w:r>
    </w:p>
    <w:p>
      <w:pPr>
        <w:pStyle w:val="TocEntry"/>
        <w:tabs>
          <w:tab w:val="right" w:pos="9026" w:leader="dot"/>
        </w:tabs>
      </w:pPr>
      <w:r>
        <w:t xml:space="preserve">Capítulo 15. El método HII-D: una epistemología operativa</w:t>
      </w:r>
      <w:r>
        <w:tab/>
      </w:r>
      <w:r>
        <w:rPr>
          <w:color w:val="8A8A8A"/>
        </w:rPr>
        <w:t xml:space="preserve">75</w:t>
      </w:r>
    </w:p>
    <w:p>
      <w:pPr>
        <w:pStyle w:val="TocEntry"/>
        <w:tabs>
          <w:tab w:val="right" w:pos="9026" w:leader="dot"/>
        </w:tabs>
      </w:pPr>
      <w:r>
        <w:t xml:space="preserve">Cuaderno de casos. Diez viñetas para una lectura metacognitiva</w:t>
      </w:r>
      <w:r>
        <w:tab/>
      </w:r>
      <w:r>
        <w:rPr>
          <w:color w:val="8A8A8A"/>
        </w:rPr>
        <w:t xml:space="preserve">81</w:t>
      </w:r>
    </w:p>
    <w:p>
      <w:pPr>
        <w:pStyle w:val="TocEntry"/>
        <w:tabs>
          <w:tab w:val="right" w:pos="9026" w:leader="dot"/>
        </w:tabs>
      </w:pPr>
      <w:r>
        <w:t xml:space="preserve">Capítulo 16. Enseñar y organizar la metacognición clínica</w:t>
      </w:r>
      <w:r>
        <w:tab/>
      </w:r>
      <w:r>
        <w:rPr>
          <w:color w:val="8A8A8A"/>
        </w:rPr>
        <w:t xml:space="preserve">89</w:t>
      </w:r>
    </w:p>
    <w:p>
      <w:pPr>
        <w:pStyle w:val="TocEntry"/>
        <w:tabs>
          <w:tab w:val="right" w:pos="9026" w:leader="dot"/>
        </w:tabs>
      </w:pPr>
      <w:r>
        <w:t xml:space="preserve">Capítulo 17. La inteligencia artificial en el proceso clínico: roles, riesgos y defensas</w:t>
      </w:r>
      <w:r>
        <w:tab/>
      </w:r>
      <w:r>
        <w:rPr>
          <w:color w:val="8A8A8A"/>
        </w:rPr>
        <w:t xml:space="preserve">93</w:t>
      </w:r>
    </w:p>
    <w:p>
      <w:pPr>
        <w:pStyle w:val="TocEntry"/>
        <w:tabs>
          <w:tab w:val="right" w:pos="9026" w:leader="dot"/>
        </w:tabs>
      </w:pPr>
      <w:r>
        <w:t xml:space="preserve">Capítulo 18. La palabra exacta: lo que la poesía sabe del juicio clínico</w:t>
      </w:r>
      <w:r>
        <w:tab/>
      </w:r>
      <w:r>
        <w:rPr>
          <w:color w:val="8A8A8A"/>
        </w:rPr>
        <w:t xml:space="preserve">101</w:t>
      </w:r>
    </w:p>
    <w:p>
      <w:pPr>
        <w:pStyle w:val="TocPart"/>
        <w:tabs>
          <w:tab w:val="right" w:pos="9026" w:leader="dot"/>
        </w:tabs>
      </w:pPr>
      <w:r>
        <w:t xml:space="preserve">Conclusión. Una medicina lúcida</w:t>
      </w:r>
      <w:r>
        <w:tab/>
      </w:r>
      <w:r>
        <w:rPr>
          <w:color w:val="8A8A8A"/>
        </w:rPr>
        <w:t xml:space="preserve">105</w:t>
      </w:r>
    </w:p>
    <w:p>
      <w:pPr>
        <w:pStyle w:val="TocPart"/>
        <w:tabs>
          <w:tab w:val="right" w:pos="9026" w:leader="dot"/>
        </w:tabs>
      </w:pPr>
      <w:r>
        <w:t xml:space="preserve">Apéndice A. Hoja HII-D para discusión de casos</w:t>
      </w:r>
      <w:r>
        <w:tab/>
      </w:r>
      <w:r>
        <w:rPr>
          <w:color w:val="8A8A8A"/>
        </w:rPr>
        <w:t xml:space="preserve">107</w:t>
      </w:r>
    </w:p>
    <w:p>
      <w:pPr>
        <w:pStyle w:val="TocPart"/>
        <w:tabs>
          <w:tab w:val="right" w:pos="9026" w:leader="dot"/>
        </w:tabs>
      </w:pPr>
      <w:r>
        <w:t xml:space="preserve">Apéndice B. Léxico de certeza y pausa diagnóstica</w:t>
      </w:r>
      <w:r>
        <w:tab/>
      </w:r>
      <w:r>
        <w:rPr>
          <w:color w:val="8A8A8A"/>
        </w:rPr>
        <w:t xml:space="preserve">109</w:t>
      </w:r>
    </w:p>
    <w:p>
      <w:pPr>
        <w:pStyle w:val="TocPart"/>
        <w:tabs>
          <w:tab w:val="right" w:pos="9026" w:leader="dot"/>
        </w:tabs>
      </w:pPr>
      <w:r>
        <w:t xml:space="preserve">Apéndice C. Guía de implementación en un servicio clínico</w:t>
      </w:r>
      <w:r>
        <w:tab/>
      </w:r>
      <w:r>
        <w:rPr>
          <w:color w:val="8A8A8A"/>
        </w:rPr>
        <w:t xml:space="preserve">111</w:t>
      </w:r>
    </w:p>
    <w:p>
      <w:pPr>
        <w:pStyle w:val="TocPart"/>
        <w:tabs>
          <w:tab w:val="right" w:pos="9026" w:leader="dot"/>
        </w:tabs>
      </w:pPr>
      <w:r>
        <w:t xml:space="preserve">Glosario</w:t>
      </w:r>
      <w:r>
        <w:tab/>
      </w:r>
      <w:r>
        <w:rPr>
          <w:color w:val="8A8A8A"/>
        </w:rPr>
        <w:t xml:space="preserve">113</w:t>
      </w:r>
    </w:p>
    <w:p>
      <w:pPr>
        <w:pStyle w:val="TocPart"/>
        <w:tabs>
          <w:tab w:val="right" w:pos="9026" w:leader="dot"/>
        </w:tabs>
      </w:pPr>
      <w:r>
        <w:t xml:space="preserve">Índice analítico</w:t>
      </w:r>
      <w:r>
        <w:tab/>
      </w:r>
      <w:r>
        <w:rPr>
          <w:color w:val="8A8A8A"/>
        </w:rPr>
        <w:t xml:space="preserve">117</w:t>
      </w:r>
    </w:p>
    <w:p>
      <w:pPr>
        <w:pStyle w:val="TocPart"/>
        <w:tabs>
          <w:tab w:val="right" w:pos="9026" w:leader="dot"/>
        </w:tabs>
      </w:pPr>
      <w:r>
        <w:t xml:space="preserve">Referencias</w:t>
      </w:r>
      <w:r>
        <w:tab/>
      </w:r>
      <w:r>
        <w:rPr>
          <w:color w:val="8A8A8A"/>
        </w:rPr>
        <w:t xml:space="preserve">120</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diez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produce dos hallazgos con regularidad.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diez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El capítulo 2 mostró que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Es la lección de la Parte III aplicada al software: una herramienta no hereda la validez de su marca, y la validación externa no es un trámite —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del capítulo 4,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del capítulo 7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del capítulo 6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la carga teórica de la observación del capítulo 1, a escala poblacional.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del capítulo 5, sin siquiera un historial propio de errores que la eduque.</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w:t>
      </w: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y una parte de este libro ya lo había descrito sin nombrar la IA. Escribir la nota clínica no es registrar un pensamiento terminado: seleccionar qué dato importa, jerarquizarlo y estructurarlo es parte del proceso mismo de pensar — la tesis del capítulo 12,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del capítulo 7,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el capítulo 12 mostró que la ficha produce lo visible, y una confabulación copiada se convierte en hecho heredado para el siguiente lector —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Tres hallazgos son casi constantes.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del capítulo 4.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14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17):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le haría daño al paciente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11, CC (viñeta 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7),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Comunicación de incertidumbre — 13, 14,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13, 14, Interludio III</w:t>
      </w:r>
    </w:p>
    <w:p>
      <w:pPr>
        <w:pStyle w:val="BodyJ"/>
        <w:numPr>
          <w:ilvl w:val="0"/>
          <w:numId w:val="6"/>
        </w:numPr>
      </w:pPr>
      <w:r>
        <w:t xml:space="preserve">Deliberación moral (Gracia) — 10</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16, CC (viñeta 8)</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 10)</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17</w:t>
      </w:r>
    </w:p>
    <w:p>
      <w:pPr>
        <w:pStyle w:val="BodyJ"/>
        <w:numPr>
          <w:ilvl w:val="0"/>
          <w:numId w:val="6"/>
        </w:numPr>
      </w:pPr>
      <w:r>
        <w:t xml:space="preserve">Miedo y decisión (documentación defensiva, sobreestudio) — 3, 14</w:t>
      </w:r>
    </w:p>
    <w:p>
      <w:pPr>
        <w:pStyle w:val="BodyJ"/>
        <w:numPr>
          <w:ilvl w:val="0"/>
          <w:numId w:val="6"/>
        </w:numPr>
      </w:pPr>
      <w:r>
        <w:t xml:space="preserve">Nota clínica generada por IA (degradación del registro) — 17</w:t>
      </w:r>
    </w:p>
    <w:p>
      <w:pPr>
        <w:pStyle w:val="BodyJ"/>
        <w:numPr>
          <w:ilvl w:val="0"/>
          <w:numId w:val="6"/>
        </w:numPr>
      </w:pPr>
      <w:r>
        <w:t xml:space="preserve">Observación activa — 10,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15,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2026-08-09T03:11:06.244Z</dcterms:created>
  <dcterms:modified xsi:type="dcterms:W3CDTF">2026-08-09T03:11:06.244Z</dcterms:modified>
</cp:coreProperties>
</file>

<file path=docProps/custom.xml><?xml version="1.0" encoding="utf-8"?>
<Properties xmlns="http://schemas.openxmlformats.org/officeDocument/2006/custom-properties" xmlns:vt="http://schemas.openxmlformats.org/officeDocument/2006/docPropsVTypes"/>
</file>