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34</w:t>
      </w:r>
    </w:p>
    <w:p>
      <w:pPr>
        <w:pStyle w:val="TocEntry"/>
        <w:tabs>
          <w:tab w:val="right" w:pos="9026" w:leader="dot"/>
        </w:tabs>
      </w:pPr>
      <w:r>
        <w:t xml:space="preserve">Capítulo 5. Metacognición: monitorear y regular el propio juicio</w:t>
      </w:r>
      <w:r>
        <w:tab/>
      </w:r>
      <w:r>
        <w:rPr>
          <w:color w:val="8A8A8A"/>
        </w:rPr>
        <w:t xml:space="preserve">35</w:t>
      </w:r>
    </w:p>
    <w:p>
      <w:pPr>
        <w:pStyle w:val="TocEntry"/>
        <w:tabs>
          <w:tab w:val="right" w:pos="9026" w:leader="dot"/>
        </w:tabs>
      </w:pPr>
      <w:r>
        <w:t xml:space="preserve">Capítulo 6. Pericia, intuición y conocimiento tácito</w:t>
      </w:r>
      <w:r>
        <w:tab/>
      </w:r>
      <w:r>
        <w:rPr>
          <w:color w:val="8A8A8A"/>
        </w:rPr>
        <w:t xml:space="preserve">41</w:t>
      </w:r>
    </w:p>
    <w:p>
      <w:pPr>
        <w:pStyle w:val="TocEntry"/>
        <w:tabs>
          <w:tab w:val="right" w:pos="9026" w:leader="dot"/>
        </w:tabs>
      </w:pPr>
      <w:r>
        <w:t xml:space="preserve">Capítulo 7. Error, sesgo y ecología del diagnóstico</w:t>
      </w:r>
      <w:r>
        <w:tab/>
      </w:r>
      <w:r>
        <w:rPr>
          <w:color w:val="8A8A8A"/>
        </w:rPr>
        <w:t xml:space="preserve">45</w:t>
      </w:r>
    </w:p>
    <w:p>
      <w:pPr>
        <w:pStyle w:val="TocEntry"/>
        <w:tabs>
          <w:tab w:val="right" w:pos="9026" w:leader="dot"/>
        </w:tabs>
      </w:pPr>
      <w:r>
        <w:t xml:space="preserve">Capítulo 8. Desacelerar: cuándo, en qué estado y con qué mente</w:t>
      </w:r>
      <w:r>
        <w:tab/>
      </w:r>
      <w:r>
        <w:rPr>
          <w:color w:val="8A8A8A"/>
        </w:rPr>
        <w:t xml:space="preserve">49</w:t>
      </w:r>
    </w:p>
    <w:p>
      <w:pPr>
        <w:pStyle w:val="TocEntry"/>
        <w:tabs>
          <w:tab w:val="right" w:pos="9026" w:leader="dot"/>
        </w:tabs>
      </w:pPr>
      <w:r>
        <w:t xml:space="preserve">Interludio II. Lo que el equipo pensó</w:t>
      </w:r>
      <w:r>
        <w:tab/>
      </w:r>
      <w:r>
        <w:rPr>
          <w:color w:val="8A8A8A"/>
        </w:rPr>
        <w:t xml:space="preserve">55</w:t>
      </w:r>
    </w:p>
    <w:p>
      <w:pPr>
        <w:pStyle w:val="TocPart"/>
        <w:tabs>
          <w:tab w:val="right" w:pos="9026" w:leader="dot"/>
        </w:tabs>
      </w:pPr>
      <w:r>
        <w:t xml:space="preserve">PARTE III. Decidir en el tiempo y con otros</w:t>
      </w:r>
      <w:r>
        <w:tab/>
      </w:r>
      <w:r>
        <w:rPr>
          <w:color w:val="8A8A8A"/>
        </w:rPr>
        <w:t xml:space="preserve">57</w:t>
      </w:r>
    </w:p>
    <w:p>
      <w:pPr>
        <w:pStyle w:val="TocEntry"/>
        <w:tabs>
          <w:tab w:val="right" w:pos="9026" w:leader="dot"/>
        </w:tabs>
      </w:pPr>
      <w:r>
        <w:t xml:space="preserve">Capítulo 9. La evidencia y el caso singular</w:t>
      </w:r>
      <w:r>
        <w:tab/>
      </w:r>
      <w:r>
        <w:rPr>
          <w:color w:val="8A8A8A"/>
        </w:rPr>
        <w:t xml:space="preserve">58</w:t>
      </w:r>
    </w:p>
    <w:p>
      <w:pPr>
        <w:pStyle w:val="TocEntry"/>
        <w:tabs>
          <w:tab w:val="right" w:pos="9026" w:leader="dot"/>
        </w:tabs>
      </w:pPr>
      <w:r>
        <w:t xml:space="preserve">Capítulo 10. Decidir sin certeza: umbrales, valores y bioética</w:t>
      </w:r>
      <w:r>
        <w:tab/>
      </w:r>
      <w:r>
        <w:rPr>
          <w:color w:val="8A8A8A"/>
        </w:rPr>
        <w:t xml:space="preserve">63</w:t>
      </w:r>
    </w:p>
    <w:p>
      <w:pPr>
        <w:pStyle w:val="TocEntry"/>
        <w:tabs>
          <w:tab w:val="right" w:pos="9026" w:leader="dot"/>
        </w:tabs>
      </w:pPr>
      <w:r>
        <w:t xml:space="preserve">Capítulo 11. Temporalidad, trayectoria y razonamiento contrafactual</w:t>
      </w:r>
      <w:r>
        <w:tab/>
      </w:r>
      <w:r>
        <w:rPr>
          <w:color w:val="8A8A8A"/>
        </w:rPr>
        <w:t xml:space="preserve">70</w:t>
      </w:r>
    </w:p>
    <w:p>
      <w:pPr>
        <w:pStyle w:val="TocEntry"/>
        <w:tabs>
          <w:tab w:val="right" w:pos="9026" w:leader="dot"/>
        </w:tabs>
      </w:pPr>
      <w:r>
        <w:t xml:space="preserve">Capítulo 12. La ficha clínica como instrumento de pensamiento</w:t>
      </w:r>
      <w:r>
        <w:tab/>
      </w:r>
      <w:r>
        <w:rPr>
          <w:color w:val="8A8A8A"/>
        </w:rPr>
        <w:t xml:space="preserve">74</w:t>
      </w:r>
    </w:p>
    <w:p>
      <w:pPr>
        <w:pStyle w:val="TocEntry"/>
        <w:tabs>
          <w:tab w:val="right" w:pos="9026" w:leader="dot"/>
        </w:tabs>
      </w:pPr>
      <w:r>
        <w:t xml:space="preserve">Capítulo 13. Pensar con otros: equipos, desacuerdo y comunicación de la incertidumbre</w:t>
      </w:r>
      <w:r>
        <w:tab/>
      </w:r>
      <w:r>
        <w:rPr>
          <w:color w:val="8A8A8A"/>
        </w:rPr>
        <w:t xml:space="preserve">81</w:t>
      </w:r>
    </w:p>
    <w:p>
      <w:pPr>
        <w:pStyle w:val="TocEntry"/>
        <w:tabs>
          <w:tab w:val="right" w:pos="9026" w:leader="dot"/>
        </w:tabs>
      </w:pPr>
      <w:r>
        <w:t xml:space="preserve">Interludio III. La decisión de Carmen</w:t>
      </w:r>
      <w:r>
        <w:tab/>
      </w:r>
      <w:r>
        <w:rPr>
          <w:color w:val="8A8A8A"/>
        </w:rPr>
        <w:t xml:space="preserve">86</w:t>
      </w:r>
    </w:p>
    <w:p>
      <w:pPr>
        <w:pStyle w:val="TocPart"/>
        <w:tabs>
          <w:tab w:val="right" w:pos="9026" w:leader="dot"/>
        </w:tabs>
      </w:pPr>
      <w:r>
        <w:t xml:space="preserve">PARTE IV. Una epistemología operativa</w:t>
      </w:r>
      <w:r>
        <w:tab/>
      </w:r>
      <w:r>
        <w:rPr>
          <w:color w:val="8A8A8A"/>
        </w:rPr>
        <w:t xml:space="preserve">88</w:t>
      </w:r>
    </w:p>
    <w:p>
      <w:pPr>
        <w:pStyle w:val="TocEntry"/>
        <w:tabs>
          <w:tab w:val="right" w:pos="9026" w:leader="dot"/>
        </w:tabs>
      </w:pPr>
      <w:r>
        <w:t xml:space="preserve">Capítulo 14. Humildad epistémica y responsabilidad clínica</w:t>
      </w:r>
      <w:r>
        <w:tab/>
      </w:r>
      <w:r>
        <w:rPr>
          <w:color w:val="8A8A8A"/>
        </w:rPr>
        <w:t xml:space="preserve">89</w:t>
      </w:r>
    </w:p>
    <w:p>
      <w:pPr>
        <w:pStyle w:val="TocEntry"/>
        <w:tabs>
          <w:tab w:val="right" w:pos="9026" w:leader="dot"/>
        </w:tabs>
      </w:pPr>
      <w:r>
        <w:t xml:space="preserve">Capítulo 15. El método HII-D: una epistemología operativa</w:t>
      </w:r>
      <w:r>
        <w:tab/>
      </w:r>
      <w:r>
        <w:rPr>
          <w:color w:val="8A8A8A"/>
        </w:rPr>
        <w:t xml:space="preserve">95</w:t>
      </w:r>
    </w:p>
    <w:p>
      <w:pPr>
        <w:pStyle w:val="TocEntry"/>
        <w:tabs>
          <w:tab w:val="right" w:pos="9026" w:leader="dot"/>
        </w:tabs>
      </w:pPr>
      <w:r>
        <w:t xml:space="preserve">Cuaderno de casos. Ocho viñetas para una lectura metacognitiva</w:t>
      </w:r>
      <w:r>
        <w:tab/>
      </w:r>
      <w:r>
        <w:rPr>
          <w:color w:val="8A8A8A"/>
        </w:rPr>
        <w:t xml:space="preserve">102</w:t>
      </w:r>
    </w:p>
    <w:p>
      <w:pPr>
        <w:pStyle w:val="TocEntry"/>
        <w:tabs>
          <w:tab w:val="right" w:pos="9026" w:leader="dot"/>
        </w:tabs>
      </w:pPr>
      <w:r>
        <w:t xml:space="preserve">Capítulo 16. Enseñar y organizar la metacognición clínica</w:t>
      </w:r>
      <w:r>
        <w:tab/>
      </w:r>
      <w:r>
        <w:rPr>
          <w:color w:val="8A8A8A"/>
        </w:rPr>
        <w:t xml:space="preserve">111</w:t>
      </w:r>
    </w:p>
    <w:p>
      <w:pPr>
        <w:pStyle w:val="TocEntry"/>
        <w:tabs>
          <w:tab w:val="right" w:pos="9026" w:leader="dot"/>
        </w:tabs>
      </w:pPr>
      <w:r>
        <w:t xml:space="preserve">Capítulo 17. La inteligencia artificial en el proceso clínico: roles, riesgos y defensas</w:t>
      </w:r>
      <w:r>
        <w:tab/>
      </w:r>
      <w:r>
        <w:rPr>
          <w:color w:val="8A8A8A"/>
        </w:rPr>
        <w:t xml:space="preserve">115</w:t>
      </w:r>
    </w:p>
    <w:p>
      <w:pPr>
        <w:pStyle w:val="TocEntry"/>
        <w:tabs>
          <w:tab w:val="right" w:pos="9026" w:leader="dot"/>
        </w:tabs>
      </w:pPr>
      <w:r>
        <w:t xml:space="preserve">Capítulo 18. La palabra exacta: lo que la poesía sabe del juicio clínico</w:t>
      </w:r>
      <w:r>
        <w:tab/>
      </w:r>
      <w:r>
        <w:rPr>
          <w:color w:val="8A8A8A"/>
        </w:rPr>
        <w:t xml:space="preserve">123</w:t>
      </w:r>
    </w:p>
    <w:p>
      <w:pPr>
        <w:pStyle w:val="TocPart"/>
        <w:tabs>
          <w:tab w:val="right" w:pos="9026" w:leader="dot"/>
        </w:tabs>
      </w:pPr>
      <w:r>
        <w:t xml:space="preserve">Conclusión. Una medicina lúcida</w:t>
      </w:r>
      <w:r>
        <w:tab/>
      </w:r>
      <w:r>
        <w:rPr>
          <w:color w:val="8A8A8A"/>
        </w:rPr>
        <w:t xml:space="preserve">127</w:t>
      </w:r>
    </w:p>
    <w:p>
      <w:pPr>
        <w:pStyle w:val="TocPart"/>
        <w:tabs>
          <w:tab w:val="right" w:pos="9026" w:leader="dot"/>
        </w:tabs>
      </w:pPr>
      <w:r>
        <w:t xml:space="preserve">Apéndice A. Hoja HII-D para discusión de casos</w:t>
      </w:r>
      <w:r>
        <w:tab/>
      </w:r>
      <w:r>
        <w:rPr>
          <w:color w:val="8A8A8A"/>
        </w:rPr>
        <w:t xml:space="preserve">129</w:t>
      </w:r>
    </w:p>
    <w:p>
      <w:pPr>
        <w:pStyle w:val="TocPart"/>
        <w:tabs>
          <w:tab w:val="right" w:pos="9026" w:leader="dot"/>
        </w:tabs>
      </w:pPr>
      <w:r>
        <w:t xml:space="preserve">Apéndice B. Léxico de certeza y pausa diagnóstica</w:t>
      </w:r>
      <w:r>
        <w:tab/>
      </w:r>
      <w:r>
        <w:rPr>
          <w:color w:val="8A8A8A"/>
        </w:rPr>
        <w:t xml:space="preserve">131</w:t>
      </w:r>
    </w:p>
    <w:p>
      <w:pPr>
        <w:pStyle w:val="TocPart"/>
        <w:tabs>
          <w:tab w:val="right" w:pos="9026" w:leader="dot"/>
        </w:tabs>
      </w:pPr>
      <w:r>
        <w:t xml:space="preserve">Apéndice C. Guía de implementación en un servicio clínico</w:t>
      </w:r>
      <w:r>
        <w:tab/>
      </w:r>
      <w:r>
        <w:rPr>
          <w:color w:val="8A8A8A"/>
        </w:rPr>
        <w:t xml:space="preserve">133</w:t>
      </w:r>
    </w:p>
    <w:p>
      <w:pPr>
        <w:pStyle w:val="TocPart"/>
        <w:tabs>
          <w:tab w:val="right" w:pos="9026" w:leader="dot"/>
        </w:tabs>
      </w:pPr>
      <w:r>
        <w:t xml:space="preserve">Glosario</w:t>
      </w:r>
      <w:r>
        <w:tab/>
      </w:r>
      <w:r>
        <w:rPr>
          <w:color w:val="8A8A8A"/>
        </w:rPr>
        <w:t xml:space="preserve">135</w:t>
      </w:r>
    </w:p>
    <w:p>
      <w:pPr>
        <w:pStyle w:val="TocPart"/>
        <w:tabs>
          <w:tab w:val="right" w:pos="9026" w:leader="dot"/>
        </w:tabs>
      </w:pPr>
      <w:r>
        <w:t xml:space="preserve">Índice analítico</w:t>
      </w:r>
      <w:r>
        <w:tab/>
      </w:r>
      <w:r>
        <w:rPr>
          <w:color w:val="8A8A8A"/>
        </w:rPr>
        <w:t xml:space="preserve">140</w:t>
      </w:r>
    </w:p>
    <w:p>
      <w:pPr>
        <w:pStyle w:val="TocPart"/>
        <w:tabs>
          <w:tab w:val="right" w:pos="9026" w:leader="dot"/>
        </w:tabs>
      </w:pPr>
      <w:r>
        <w:t xml:space="preserve">Nota metodológica y estatuto de las afirmaciones</w:t>
      </w:r>
      <w:r>
        <w:tab/>
      </w:r>
      <w:r>
        <w:rPr>
          <w:color w:val="8A8A8A"/>
        </w:rPr>
        <w:t xml:space="preserve">144</w:t>
      </w:r>
    </w:p>
    <w:p>
      <w:pPr>
        <w:pStyle w:val="TocPart"/>
        <w:tabs>
          <w:tab w:val="right" w:pos="9026" w:leader="dot"/>
        </w:tabs>
      </w:pPr>
      <w:r>
        <w:t xml:space="preserve">Referencias</w:t>
      </w:r>
      <w:r>
        <w:tab/>
      </w:r>
      <w:r>
        <w:rPr>
          <w:color w:val="8A8A8A"/>
        </w:rPr>
        <w:t xml:space="preserve">145</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Lea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Este libro ordena ese trabajo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Antes de seguir, hay que precisar qué estatuto tiene entonces la palabra «hecho» en este libro,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de este capítulo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este libro no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este libro vuelve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Este capítulo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señaló,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exige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este capítulo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de este capítulo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de este libro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hace 24 horas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¿Cuál fue mi última predicción concreta —un cultivo, una imagen, una evolución— y la contrasté con el resultado cuando llegó, o sólo recuerdo las que acerté?</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BodyJ"/>
      </w:pPr>
      <w:r>
        <w:t xml:space="preserve">Varela, cuya obra con Maturana el capítulo 1 ya convocó, agrega una corrección que este libro debe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este libro no debe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exactamente el punto de este capítulo.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Este libro ha hablado de disposiciones —humildad, curiosidad, lealtad al caso— como si estuvieran siempre disponibles. No lo están. Dependen de tres cosas que ningún modelo del razonamiento clínico incluye y que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internos de cuidados intensivos a turnos tradicionales de más de veinticuatro horas o a turnos acotados a dieciséis, los turnos largos produjeron un 36% más de errores graves, y los errores diagnósticos graves se multiplicaron por más de cinco (Landrigan et al., 2004).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por eso debe figurar entre los hechos.</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Por eso la lista de disparadores de esta sección tiene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de este libro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8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este capítulo ya usó,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Este libro toma del Zen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de este capítulo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Esta es la reconstrucción.</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se activaron dos disparadores concretos: la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Marcela, la enfermera de urgencias, que midió el llene capilar de cinco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314575"/>
                          </a:xfrm>
                          <a:prstGeom prst="rect">
                            <a:avLst/>
                          </a:prstGeom>
                        </pic:spPr>
                      </pic:pic>
                    </a:graphicData>
                  </a:graphic>
                </wp:inline>
              </w:drawing>
            </w:r>
          </w:p>
          <w:p>
            <w:pPr>
              <w:pStyle w:val="Caption"/>
            </w:pPr>
            <w:r>
              <w:t xml:space="preserve">Figura 9. La misma reducción relativa, dos beneficios absolutos: con cifras ilustrativas, operar electivamente evita una obstrucción por cada diez pacientes del ensayo y casi una por cada tres pacientes como Carmen. El riesgo quirúrgico de Carmen también se aleja del promedio, y esa segunda estimación suele quedar sin hacer.</w:t>
            </w:r>
          </w:p>
        </w:tc>
      </w:tr>
    </w:tbl>
    <w:p>
      <w:pPr>
        <w:spacing w:after="60"/>
      </w:pPr>
    </w:p>
    <w:p>
      <w:pPr>
        <w:pStyle w:val="BodyJ"/>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10.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 ni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El último ensayo «negativo» que cité: ¿mostró ausencia de efecto o ausencia de significación — y traté esa diferencia como si no existiera?</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pPr>
      <w:r>
        <w:t xml:space="preserve">Suponga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la decisión técnica se cruza con la bioética.</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11.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pPr>
      <w:r>
        <w:t xml:space="preserve">Los dos momentos de Carmen ilustran esta asimetría de costos. En la madrugada del ingreso, con la paciente en shock pero con una tomografía sin necrosis ni perforación libre, entrar a pabellón en plena inestabilidad hemodinámica conllevaba una mortalidad perioperatoria altísima. Como el cuadro cedió rápido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12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12.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sostuvo que atraviesa toda la ciencia con consecuencias prácticas. Cuánta evidencia se exige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13.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y el contexto global del paciente dentro del cálculo.</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De mi paciente más grave de hoy: ¿sé cómo funcionaba antes de enfermar, con quién vive y qué espera del tratamiento — y está escrito en alguna parte?</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Por eso una predicción útil lleva su plazo escrito: no «PCR en descenso», sino «PCR en descenso al cuarto día».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BodyJ"/>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del taller de este capítulo se convierte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los umbrales de salida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palabras de una evolución típica no fueron pensadas el día en que aparecen firmadas.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14.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el paso siguiente es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BodyJ"/>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que este capítulo ya advirtió —la nota que crece sin pensar— no se corre aquí: la ficha de proceso no escribe más; escribe lo que hoy no se escribe nunca.</w:t>
      </w:r>
    </w:p>
    <w:p>
      <w:pPr>
        <w:pStyle w:val="BodyJ"/>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Reescriba la evolución del día 5 aplicando la estructura HII-D.</w:t>
      </w:r>
    </w:p>
    <w:p>
      <w:pPr>
        <w:pStyle w:val="BodyJ"/>
      </w:pPr>
      <w:r>
        <w:rPr>
          <w:i/>
          <w:iCs/>
        </w:rPr>
        <w:t xml:space="preserve">Solución comentada.</w:t>
      </w:r>
      <w:r>
        <w:t xml:space="preserve"> La evolución desfosilizada:</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pPr>
      <w:r>
        <w:t xml:space="preserve">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12B. Conjugue los verbos</w:t>
      </w:r>
    </w:p>
    <w:p>
      <w:pPr>
        <w:pStyle w:val="BodyJ"/>
      </w:pPr>
      <w:r>
        <w:t xml:space="preserve">Tome su última evolución de una línea —«X en tratamiento, estable»— y escriba primero las preguntas que esconde (al menos seis). Después, reescríbala como ficha de proceso en no más de ocho líneas, con los verbos: sospecho, dudé, descarto, priorizo, infiero, realizo, comprobaré, repetiré, aprendí.</w:t>
      </w:r>
    </w:p>
    <w:p>
      <w:pPr>
        <w:pStyle w:val="BodyJ"/>
      </w:pPr>
      <w:r>
        <w:rPr>
          <w:i/>
          <w:iCs/>
        </w:rPr>
        <w:t xml:space="preserve">Solución comentada.</w:t>
      </w:r>
      <w:r>
        <w:t xml:space="preserve"> No hay solución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historia clínica completa, es el esqueleto de las decisiones. Y si cabe en dos, probablemente faltan verbos: una nota sin «dudé» ni «comprobaré» es una ficha de resultados con otro formato.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exactamente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pPr>
      <w:r>
        <w:t xml:space="preserve">Hay que decirlo de entrada,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que creer algo sin evidencia suficiente es siempre, en todo lugar y para cualquiera, un acto reprochable (Clifford, 1877).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hay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que este libro viene invocando desde el capítulo 6: es su condición de funcionamiento. La prudencia práctica integra, en el caso particular, lo que ningún algoritmo integra por el clínico —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pPr>
      <w:r>
        <w:t xml:space="preserve">Por eso este libro necesita la humildad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15.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Es el paciente de la cama 12 del capítulo 8, el mismo cuya ficha el capítulo 12 ordenó en la matriz HII-D; aquí, en la versión que cabe en una entrega de turno. Hombre con lesión medular completa, vejiga neurogénica, sonda Foley permanente y un cáncer renal metastásico en progresión. Tras un recambio traumático de sonda presenta orina turbia, piuria y urocultivo positivo; está afebril, estable y sin cambios respecto de su basal. Los marcadores inflamatorios están elevados, sin valores previos y con el tumor como causa concomitante, y tiene antecedente de colonización por enterobacteria productora de BLEE.</w:t>
      </w:r>
    </w:p>
    <w:p>
      <w:pPr>
        <w:pStyle w:val="BodyJ"/>
      </w:pPr>
      <w:r>
        <w:rPr>
          <w:i/>
          <w:iCs/>
        </w:rPr>
        <w:t xml:space="preserve">Hechos:</w:t>
      </w:r>
      <w:r>
        <w:t xml:space="preserve"> recambio reciente de sonda; piuria y urocultivo positivo; afebril y estable; síntomas urinarios bajos no evaluables por el nivel lesional; reactantes elevados sin basal, con cáncer renal metastásico activo; colonización documentada por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produciría si me equivoco?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ahora y qué me haría cambiar?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condición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el caso donde el examen «poco confiable» obliga a más objetividad, no a menos: laboratorio e imagen deciden lo que la palpación no puede.</w:t>
      </w:r>
    </w:p>
    <w:p>
      <w:pPr>
        <w:pStyle w:val="BodyJ"/>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por eso, una decisión epistémica antes que administrativa.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Visitas de sala y entregas de turno</w:t>
      </w:r>
    </w:p>
    <w:p>
      <w:pPr>
        <w:pStyle w:val="BodyJ"/>
      </w:pPr>
      <w:r>
        <w:t xml:space="preserve">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pPr>
      <w:r>
        <w:t xml:space="preserve">La entrega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Una herramienta no hereda la validez de su marca, y la validación externa no es un trámite, sino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el clínico,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16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4267200"/>
                          </a:xfrm>
                          <a:prstGeom prst="rect">
                            <a:avLst/>
                          </a:prstGeom>
                        </pic:spPr>
                      </pic:pic>
                    </a:graphicData>
                  </a:graphic>
                </wp:inline>
              </w:drawing>
            </w:r>
          </w:p>
          <w:p>
            <w:pPr>
              <w:pStyle w:val="Caption"/>
            </w:pPr>
            <w:r>
              <w:t xml:space="preserve">Figura 16. Parentescos: cada riesgo de la IA clínica junto al sesgo que este libro ya había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la disciplina de este libro: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que este libro puede proponer con su propio vocabulario. Un escriba ambiental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este libro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sino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El mapa del comienzo (Figura 1) tendió tres hilos —las capas, el arco que va de la abducción a la humildad y el lenguaje que las conserva—; tres nudos de ese tejido quedan a la vista. El primero va de la abducción a la humildad. La conjetura que crea explicaciones, la vigilancia que la acompaña mientras trabaja y la disposición que la mantiene abierta cuando ya produjo una respuesta cómoda son tres momentos de una misma lealtad al caso; la prudencia práctica —la phronesis— es su nombre antiguo.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este libro entrena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daño importante podría producir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Conversaciones para la acción.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Ética de la creencia.</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Estado del razonador.</w:t>
      </w:r>
      <w:r>
        <w:t xml:space="preserve"> Condiciones en que se produce un juicio clínico —sueño, horas de turno, hora del día, ánimo, preocupaciones ajenas al caso—, tratadas como un hecho de la capa H sobre la confiabilidad del instrumento que infiere y como disparador de pausa o de segundo lector. Pensar cuesta, y el costo no es constante.</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Mente del principiante (shoshin).</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w:t>
      </w:r>
      <w:r>
        <w:t xml:space="preserve"> Cuanto más competente es un sistema automatizado, menos ejercita el humano las habilidades necesarias para detectar sus fallas — que es cuando más se las necesita (Abdulnour et al.).</w:t>
      </w:r>
    </w:p>
    <w:p>
      <w:pPr>
        <w:pStyle w:val="BodyJ"/>
      </w:pPr>
      <w:r>
        <w:rPr>
          <w:b/>
          <w:bCs/>
        </w:rPr>
        <w:t xml:space="preserve">Pausa diagnóstica.</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del entorno.</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 saber hacer y quiebre (Varela) — 6</w:t>
      </w:r>
    </w:p>
    <w:p>
      <w:pPr>
        <w:pStyle w:val="BodyJ"/>
        <w:numPr>
          <w:ilvl w:val="0"/>
          <w:numId w:val="6"/>
        </w:numPr>
      </w:pPr>
      <w:r>
        <w:t xml:space="preserve">Conversaciones para la acción (Flores y Winograd) — 13</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Ética de la creencia (Clifford); pensar bien como deber primordial — 14, C</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 de proceso vs. ficha de resultados (los verbos del razonamiento) — 12; Taller 12B</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Fuentes del hecho clínico (matriz de procedencia) — 1</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Hindsight bias — 8, 11, 16, CC (viñeta 6)</w:t>
      </w:r>
    </w:p>
    <w:p>
      <w:pPr>
        <w:pStyle w:val="BodyJ"/>
        <w:numPr>
          <w:ilvl w:val="0"/>
          <w:numId w:val="6"/>
        </w:numPr>
      </w:pPr>
      <w:r>
        <w:t xml:space="preserve">HII-D (método) — 12, 15, Ap A; auditoría de IA con — 17</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Improvisación y saber hacer (jazz; Limb y Braun) — 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Mente del principiante (Zen, shoshin) — 8</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clínico — 13</w:t>
      </w:r>
    </w:p>
    <w:p>
      <w:pPr>
        <w:pStyle w:val="BodyJ"/>
        <w:numPr>
          <w:ilvl w:val="0"/>
          <w:numId w:val="6"/>
        </w:numPr>
      </w:pPr>
      <w:r>
        <w:t xml:space="preserve">Objetividad entre paréntesis y observador (Maturana) — 1; emociones como dominio de acción — 8</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Pronóstico e incertidumbre de plazo — CC (viñeta 5)</w:t>
      </w:r>
    </w:p>
    <w:p>
      <w:pPr>
        <w:pStyle w:val="BodyJ"/>
        <w:numPr>
          <w:ilvl w:val="0"/>
          <w:numId w:val="6"/>
        </w:numPr>
      </w:pPr>
      <w:r>
        <w:t xml:space="preserve">Proteína C reactiva: cinética y lectura temporal — 11, 12</w:t>
      </w:r>
    </w:p>
    <w:p>
      <w:pPr>
        <w:pStyle w:val="BodyJ"/>
        <w:numPr>
          <w:ilvl w:val="0"/>
          <w:numId w:val="6"/>
        </w:numPr>
      </w:pPr>
      <w:r>
        <w:t xml:space="preserve">Proporcionalidad terapéutica (Taboada) — 10, 15, CC (viñeta 5)</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3, 4 y 7)</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 y geografía (hospital insular, evacuación aeromédica) — 11</w:t>
      </w:r>
    </w:p>
    <w:p>
      <w:pPr>
        <w:pStyle w:val="BodyJ"/>
        <w:numPr>
          <w:ilvl w:val="0"/>
          <w:numId w:val="6"/>
        </w:numPr>
      </w:pPr>
      <w:r>
        <w:t xml:space="preserve">Umbrales de decisión — 10, Interludio III, CC (viñeta 3)</w:t>
      </w:r>
    </w:p>
    <w:p>
      <w:pPr>
        <w:pStyle w:val="BodyJ"/>
        <w:numPr>
          <w:ilvl w:val="0"/>
          <w:numId w:val="6"/>
        </w:numPr>
      </w:pPr>
      <w:r>
        <w:t xml:space="preserve">Validez del entorno e intuición (Kahneman y Klein) — 6</w:t>
      </w:r>
    </w:p>
    <w:p>
      <w:pPr>
        <w:pStyle w:val="BodyJ"/>
        <w:numPr>
          <w:ilvl w:val="0"/>
          <w:numId w:val="6"/>
        </w:numPr>
      </w:pPr>
      <w:r>
        <w:t xml:space="preserve">Validación local y monitoreo de herramientas de IA — 17</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et al. (2026). Crew resource management — Navigating AI's automation paradox. </w:t>
      </w:r>
      <w:r>
        <w:rPr>
          <w:i/>
          <w:iCs/>
        </w:rPr>
        <w:t xml:space="preserve">New England Journal of Medicine</w:t>
      </w:r>
      <w:r>
        <w:t xml:space="preserve">. Publicado en línea el 22 de julio de 2026.</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&amp; Ratwani, R. M.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Reignier, J., Heming, N., Plantefève, G., Souweine, B., Voiriot, G., Colin, G., Frat, J.-P., Mira, J.-P., Barbarot, N., François, B., Louis, G., Gibot, S., Guitton, C., … Le Gouge, A.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&amp; Quill, T. E.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Lilly, C. M., Stone, P. H., Lockley, S. W., Bates, D. W., &amp; Czeisler, C. A.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&amp; Fox, C. R.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Eckert, L. O., Geerlings, S. E., Köves, B., Hooton, T. M., Juthani-Mehta, M., Knight, S. L., Saint, S., Schaeffer, A. J., Trautner, B., Wullt, B., &amp; Siemieniuk, R.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&amp; Mitnitski, A.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Liu, V., &amp; Lee, K.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9113efc768477994ed8ee35e212b877336beb9a2.png"/><Relationship Id="rId11" Type="http://schemas.openxmlformats.org/officeDocument/2006/relationships/image" Target="media/a53e3b8facc7477d003b5aa4ab87dbf2f76fb1a5.png"/><Relationship Id="rId12" Type="http://schemas.openxmlformats.org/officeDocument/2006/relationships/image" Target="media/6b94a04a3f8338e97d4c83ffb60273e4d654598e.png"/><Relationship Id="rId13" Type="http://schemas.openxmlformats.org/officeDocument/2006/relationships/image" Target="media/1775b34dd96753ca5cd57961ecce5f5404de2903.png"/><Relationship Id="rId14" Type="http://schemas.openxmlformats.org/officeDocument/2006/relationships/image" Target="media/44afd8313e07ff21b28636d481df0116d99aa3d5.png"/><Relationship Id="rId15" Type="http://schemas.openxmlformats.org/officeDocument/2006/relationships/image" Target="media/28be4f41d00e1a8107b23f89e9f241bea0ec742a.png"/><Relationship Id="rId16" Type="http://schemas.openxmlformats.org/officeDocument/2006/relationships/image" Target="media/17a9ed2fda4921f76faf8097edd6aae5f8795c4e.png"/><Relationship Id="rId17" Type="http://schemas.openxmlformats.org/officeDocument/2006/relationships/image" Target="media/65799fc52a199127ee3d272eb5e9586dc51683eb.png"/><Relationship Id="rId18" Type="http://schemas.openxmlformats.org/officeDocument/2006/relationships/image" Target="media/3a3ca72b0a0269c2b706eca48513a9fcb7000998.png"/><Relationship Id="rId19" Type="http://schemas.openxmlformats.org/officeDocument/2006/relationships/image" Target="media/057c76dcc7f7edda793f7c812f9586712c4f7cc2.png"/><Relationship Id="rId20" Type="http://schemas.openxmlformats.org/officeDocument/2006/relationships/image" Target="media/db6a8b0a96eb70fd2d1fff7501f5acaaae3a300e.png"/><Relationship Id="rId21" Type="http://schemas.openxmlformats.org/officeDocument/2006/relationships/image" Target="media/d82a5888acadc2c251f149205e55bb3e3238da5d.png"/><Relationship Id="rId22" Type="http://schemas.openxmlformats.org/officeDocument/2006/relationships/image" Target="media/8fcc67cfcb45f0b31c60e24afdc6b86c2e8dd384.png"/><Relationship Id="rId23" Type="http://schemas.openxmlformats.org/officeDocument/2006/relationships/image" Target="media/157e2708729e7ec9ff290154cda60b40a7eda2da.png"/><Relationship Id="rId24" Type="http://schemas.openxmlformats.org/officeDocument/2006/relationships/image" Target="media/7e4817341cb61efe50da50135ded2304f7f1e12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2026-10-14T06:46:46.113Z</dcterms:created>
  <dcterms:modified xsi:type="dcterms:W3CDTF">2026-10-14T06:46:46.114Z</dcterms:modified>
</cp:coreProperties>
</file>

<file path=docProps/custom.xml><?xml version="1.0" encoding="utf-8"?>
<Properties xmlns="http://schemas.openxmlformats.org/officeDocument/2006/custom-properties" xmlns:vt="http://schemas.openxmlformats.org/officeDocument/2006/docPropsVTypes"/>
</file>