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33</w:t>
      </w:r>
    </w:p>
    <w:p>
      <w:pPr>
        <w:pStyle w:val="TocEntry"/>
        <w:tabs>
          <w:tab w:val="right" w:pos="9026" w:leader="dot"/>
        </w:tabs>
      </w:pPr>
      <w:r>
        <w:t xml:space="preserve">Capítulo 5. Metacognición: monitorear y regular el propio juicio</w:t>
      </w:r>
      <w:r>
        <w:tab/>
      </w:r>
      <w:r>
        <w:rPr>
          <w:color w:val="8A8A8A"/>
        </w:rPr>
        <w:t xml:space="preserve">34</w:t>
      </w:r>
    </w:p>
    <w:p>
      <w:pPr>
        <w:pStyle w:val="TocEntry"/>
        <w:tabs>
          <w:tab w:val="right" w:pos="9026" w:leader="dot"/>
        </w:tabs>
      </w:pPr>
      <w:r>
        <w:t xml:space="preserve">Capítulo 6. Pericia, intuición y conocimiento tácito</w:t>
      </w:r>
      <w:r>
        <w:tab/>
      </w:r>
      <w:r>
        <w:rPr>
          <w:color w:val="8A8A8A"/>
        </w:rPr>
        <w:t xml:space="preserve">40</w:t>
      </w:r>
    </w:p>
    <w:p>
      <w:pPr>
        <w:pStyle w:val="TocEntry"/>
        <w:tabs>
          <w:tab w:val="right" w:pos="9026" w:leader="dot"/>
        </w:tabs>
      </w:pPr>
      <w:r>
        <w:t xml:space="preserve">Capítulo 7. Error, sesgo y ecología del diagnóstico</w:t>
      </w:r>
      <w:r>
        <w:tab/>
      </w:r>
      <w:r>
        <w:rPr>
          <w:color w:val="8A8A8A"/>
        </w:rPr>
        <w:t xml:space="preserve">43</w:t>
      </w:r>
    </w:p>
    <w:p>
      <w:pPr>
        <w:pStyle w:val="TocEntry"/>
        <w:tabs>
          <w:tab w:val="right" w:pos="9026" w:leader="dot"/>
        </w:tabs>
      </w:pPr>
      <w:r>
        <w:t xml:space="preserve">Capítulo 8. Reflexión y desaceleración selectiva</w:t>
      </w:r>
      <w:r>
        <w:tab/>
      </w:r>
      <w:r>
        <w:rPr>
          <w:color w:val="8A8A8A"/>
        </w:rPr>
        <w:t xml:space="preserve">47</w:t>
      </w:r>
    </w:p>
    <w:p>
      <w:pPr>
        <w:pStyle w:val="TocEntry"/>
        <w:tabs>
          <w:tab w:val="right" w:pos="9026" w:leader="dot"/>
        </w:tabs>
      </w:pPr>
      <w:r>
        <w:t xml:space="preserve">Interludio II. Lo que el equipo pensó</w:t>
      </w:r>
      <w:r>
        <w:tab/>
      </w:r>
      <w:r>
        <w:rPr>
          <w:color w:val="8A8A8A"/>
        </w:rPr>
        <w:t xml:space="preserve">52</w:t>
      </w:r>
    </w:p>
    <w:p>
      <w:pPr>
        <w:pStyle w:val="TocPart"/>
        <w:tabs>
          <w:tab w:val="right" w:pos="9026" w:leader="dot"/>
        </w:tabs>
      </w:pPr>
      <w:r>
        <w:t xml:space="preserve">PARTE III. Decidir en el tiempo y con otros</w:t>
      </w:r>
      <w:r>
        <w:tab/>
      </w:r>
      <w:r>
        <w:rPr>
          <w:color w:val="8A8A8A"/>
        </w:rPr>
        <w:t xml:space="preserve">53</w:t>
      </w:r>
    </w:p>
    <w:p>
      <w:pPr>
        <w:pStyle w:val="TocEntry"/>
        <w:tabs>
          <w:tab w:val="right" w:pos="9026" w:leader="dot"/>
        </w:tabs>
      </w:pPr>
      <w:r>
        <w:t xml:space="preserve">Capítulo 9. La evidencia y el caso singular</w:t>
      </w:r>
      <w:r>
        <w:tab/>
      </w:r>
      <w:r>
        <w:rPr>
          <w:color w:val="8A8A8A"/>
        </w:rPr>
        <w:t xml:space="preserve">54</w:t>
      </w:r>
    </w:p>
    <w:p>
      <w:pPr>
        <w:pStyle w:val="TocEntry"/>
        <w:tabs>
          <w:tab w:val="right" w:pos="9026" w:leader="dot"/>
        </w:tabs>
      </w:pPr>
      <w:r>
        <w:t xml:space="preserve">Capítulo 10. Decidir sin certeza: umbrales, valores y lectura de la evidencia</w:t>
      </w:r>
      <w:r>
        <w:tab/>
      </w:r>
      <w:r>
        <w:rPr>
          <w:color w:val="8A8A8A"/>
        </w:rPr>
        <w:t xml:space="preserve">58</w:t>
      </w:r>
    </w:p>
    <w:p>
      <w:pPr>
        <w:pStyle w:val="TocEntry"/>
        <w:tabs>
          <w:tab w:val="right" w:pos="9026" w:leader="dot"/>
        </w:tabs>
      </w:pPr>
      <w:r>
        <w:t xml:space="preserve">Capítulo 11. Temporalidad, trayectoria y razonamiento contrafactual</w:t>
      </w:r>
      <w:r>
        <w:tab/>
      </w:r>
      <w:r>
        <w:rPr>
          <w:color w:val="8A8A8A"/>
        </w:rPr>
        <w:t xml:space="preserve">66</w:t>
      </w:r>
    </w:p>
    <w:p>
      <w:pPr>
        <w:pStyle w:val="TocEntry"/>
        <w:tabs>
          <w:tab w:val="right" w:pos="9026" w:leader="dot"/>
        </w:tabs>
      </w:pPr>
      <w:r>
        <w:t xml:space="preserve">Capítulo 12. La ficha clínica como instrumento de pensamiento</w:t>
      </w:r>
      <w:r>
        <w:tab/>
      </w:r>
      <w:r>
        <w:rPr>
          <w:color w:val="8A8A8A"/>
        </w:rPr>
        <w:t xml:space="preserve">69</w:t>
      </w:r>
    </w:p>
    <w:p>
      <w:pPr>
        <w:pStyle w:val="TocEntry"/>
        <w:tabs>
          <w:tab w:val="right" w:pos="9026" w:leader="dot"/>
        </w:tabs>
      </w:pPr>
      <w:r>
        <w:t xml:space="preserve">Capítulo 13. Pensar con otros: equipos, desacuerdo y comunicación de la incertidumbre</w:t>
      </w:r>
      <w:r>
        <w:tab/>
      </w:r>
      <w:r>
        <w:rPr>
          <w:color w:val="8A8A8A"/>
        </w:rPr>
        <w:t xml:space="preserve">74</w:t>
      </w:r>
    </w:p>
    <w:p>
      <w:pPr>
        <w:pStyle w:val="TocEntry"/>
        <w:tabs>
          <w:tab w:val="right" w:pos="9026" w:leader="dot"/>
        </w:tabs>
      </w:pPr>
      <w:r>
        <w:t xml:space="preserve">Interludio III. La decisión de Carmen</w:t>
      </w:r>
      <w:r>
        <w:tab/>
      </w:r>
      <w:r>
        <w:rPr>
          <w:color w:val="8A8A8A"/>
        </w:rPr>
        <w:t xml:space="preserve">79</w:t>
      </w:r>
    </w:p>
    <w:p>
      <w:pPr>
        <w:pStyle w:val="TocPart"/>
        <w:tabs>
          <w:tab w:val="right" w:pos="9026" w:leader="dot"/>
        </w:tabs>
      </w:pPr>
      <w:r>
        <w:t xml:space="preserve">PARTE IV. Una epistemología operativa</w:t>
      </w:r>
      <w:r>
        <w:tab/>
      </w:r>
      <w:r>
        <w:rPr>
          <w:color w:val="8A8A8A"/>
        </w:rPr>
        <w:t xml:space="preserve">81</w:t>
      </w:r>
    </w:p>
    <w:p>
      <w:pPr>
        <w:pStyle w:val="TocEntry"/>
        <w:tabs>
          <w:tab w:val="right" w:pos="9026" w:leader="dot"/>
        </w:tabs>
      </w:pPr>
      <w:r>
        <w:t xml:space="preserve">Capítulo 14. Humildad epistémica y responsabilidad clínica</w:t>
      </w:r>
      <w:r>
        <w:tab/>
      </w:r>
      <w:r>
        <w:rPr>
          <w:color w:val="8A8A8A"/>
        </w:rPr>
        <w:t xml:space="preserve">82</w:t>
      </w:r>
    </w:p>
    <w:p>
      <w:pPr>
        <w:pStyle w:val="TocEntry"/>
        <w:tabs>
          <w:tab w:val="right" w:pos="9026" w:leader="dot"/>
        </w:tabs>
      </w:pPr>
      <w:r>
        <w:t xml:space="preserve">Capítulo 15. El método HII-D: una epistemología operativa</w:t>
      </w:r>
      <w:r>
        <w:tab/>
      </w:r>
      <w:r>
        <w:rPr>
          <w:color w:val="8A8A8A"/>
        </w:rPr>
        <w:t xml:space="preserve">88</w:t>
      </w:r>
    </w:p>
    <w:p>
      <w:pPr>
        <w:pStyle w:val="TocEntry"/>
        <w:tabs>
          <w:tab w:val="right" w:pos="9026" w:leader="dot"/>
        </w:tabs>
      </w:pPr>
      <w:r>
        <w:t xml:space="preserve">Cuaderno de casos. Ocho viñetas para una lectura metacognitiva</w:t>
      </w:r>
      <w:r>
        <w:tab/>
      </w:r>
      <w:r>
        <w:rPr>
          <w:color w:val="8A8A8A"/>
        </w:rPr>
        <w:t xml:space="preserve">95</w:t>
      </w:r>
    </w:p>
    <w:p>
      <w:pPr>
        <w:pStyle w:val="TocEntry"/>
        <w:tabs>
          <w:tab w:val="right" w:pos="9026" w:leader="dot"/>
        </w:tabs>
      </w:pPr>
      <w:r>
        <w:t xml:space="preserve">Capítulo 16. Enseñar y organizar la metacognición clínica</w:t>
      </w:r>
      <w:r>
        <w:tab/>
      </w:r>
      <w:r>
        <w:rPr>
          <w:color w:val="8A8A8A"/>
        </w:rPr>
        <w:t xml:space="preserve">105</w:t>
      </w:r>
    </w:p>
    <w:p>
      <w:pPr>
        <w:pStyle w:val="TocEntry"/>
        <w:tabs>
          <w:tab w:val="right" w:pos="9026" w:leader="dot"/>
        </w:tabs>
      </w:pPr>
      <w:r>
        <w:t xml:space="preserve">Capítulo 17. La inteligencia artificial en el proceso clínico: roles, riesgos y defensas</w:t>
      </w:r>
      <w:r>
        <w:tab/>
      </w:r>
      <w:r>
        <w:rPr>
          <w:color w:val="8A8A8A"/>
        </w:rPr>
        <w:t xml:space="preserve">109</w:t>
      </w:r>
    </w:p>
    <w:p>
      <w:pPr>
        <w:pStyle w:val="TocEntry"/>
        <w:tabs>
          <w:tab w:val="right" w:pos="9026" w:leader="dot"/>
        </w:tabs>
      </w:pPr>
      <w:r>
        <w:t xml:space="preserve">Capítulo 18. La palabra exacta: lo que la poesía sabe del juicio clínico</w:t>
      </w:r>
      <w:r>
        <w:tab/>
      </w:r>
      <w:r>
        <w:rPr>
          <w:color w:val="8A8A8A"/>
        </w:rPr>
        <w:t xml:space="preserve">117</w:t>
      </w:r>
    </w:p>
    <w:p>
      <w:pPr>
        <w:pStyle w:val="TocPart"/>
        <w:tabs>
          <w:tab w:val="right" w:pos="9026" w:leader="dot"/>
        </w:tabs>
      </w:pPr>
      <w:r>
        <w:t xml:space="preserve">Conclusión. Una medicina lúcida</w:t>
      </w:r>
      <w:r>
        <w:tab/>
      </w:r>
      <w:r>
        <w:rPr>
          <w:color w:val="8A8A8A"/>
        </w:rPr>
        <w:t xml:space="preserve">121</w:t>
      </w:r>
    </w:p>
    <w:p>
      <w:pPr>
        <w:pStyle w:val="TocPart"/>
        <w:tabs>
          <w:tab w:val="right" w:pos="9026" w:leader="dot"/>
        </w:tabs>
      </w:pPr>
      <w:r>
        <w:t xml:space="preserve">Apéndice A. Hoja HII-D para discusión de casos</w:t>
      </w:r>
      <w:r>
        <w:tab/>
      </w:r>
      <w:r>
        <w:rPr>
          <w:color w:val="8A8A8A"/>
        </w:rPr>
        <w:t xml:space="preserve">123</w:t>
      </w:r>
    </w:p>
    <w:p>
      <w:pPr>
        <w:pStyle w:val="TocPart"/>
        <w:tabs>
          <w:tab w:val="right" w:pos="9026" w:leader="dot"/>
        </w:tabs>
      </w:pPr>
      <w:r>
        <w:t xml:space="preserve">Apéndice B. Léxico de certeza y pausa diagnóstica</w:t>
      </w:r>
      <w:r>
        <w:tab/>
      </w:r>
      <w:r>
        <w:rPr>
          <w:color w:val="8A8A8A"/>
        </w:rPr>
        <w:t xml:space="preserve">125</w:t>
      </w:r>
    </w:p>
    <w:p>
      <w:pPr>
        <w:pStyle w:val="TocPart"/>
        <w:tabs>
          <w:tab w:val="right" w:pos="9026" w:leader="dot"/>
        </w:tabs>
      </w:pPr>
      <w:r>
        <w:t xml:space="preserve">Apéndice C. Guía de implementación en un servicio clínico</w:t>
      </w:r>
      <w:r>
        <w:tab/>
      </w:r>
      <w:r>
        <w:rPr>
          <w:color w:val="8A8A8A"/>
        </w:rPr>
        <w:t xml:space="preserve">127</w:t>
      </w:r>
    </w:p>
    <w:p>
      <w:pPr>
        <w:pStyle w:val="TocPart"/>
        <w:tabs>
          <w:tab w:val="right" w:pos="9026" w:leader="dot"/>
        </w:tabs>
      </w:pPr>
      <w:r>
        <w:t xml:space="preserve">Glosario</w:t>
      </w:r>
      <w:r>
        <w:tab/>
      </w:r>
      <w:r>
        <w:rPr>
          <w:color w:val="8A8A8A"/>
        </w:rPr>
        <w:t xml:space="preserve">129</w:t>
      </w:r>
    </w:p>
    <w:p>
      <w:pPr>
        <w:pStyle w:val="TocPart"/>
        <w:tabs>
          <w:tab w:val="right" w:pos="9026" w:leader="dot"/>
        </w:tabs>
      </w:pPr>
      <w:r>
        <w:t xml:space="preserve">Índice analítico</w:t>
      </w:r>
      <w:r>
        <w:tab/>
      </w:r>
      <w:r>
        <w:rPr>
          <w:color w:val="8A8A8A"/>
        </w:rPr>
        <w:t xml:space="preserve">133</w:t>
      </w:r>
    </w:p>
    <w:p>
      <w:pPr>
        <w:pStyle w:val="TocPart"/>
        <w:tabs>
          <w:tab w:val="right" w:pos="9026" w:leader="dot"/>
        </w:tabs>
      </w:pPr>
      <w:r>
        <w:t xml:space="preserve">Nota metodológica y estatuto de las afirmaciones</w:t>
      </w:r>
      <w:r>
        <w:tab/>
      </w:r>
      <w:r>
        <w:rPr>
          <w:color w:val="8A8A8A"/>
        </w:rPr>
        <w:t xml:space="preserve">137</w:t>
      </w:r>
    </w:p>
    <w:p>
      <w:pPr>
        <w:pStyle w:val="TocPart"/>
        <w:tabs>
          <w:tab w:val="right" w:pos="9026" w:leader="dot"/>
        </w:tabs>
      </w:pPr>
      <w:r>
        <w:t xml:space="preserve">Referencias</w:t>
      </w:r>
      <w:r>
        <w:tab/>
      </w:r>
      <w:r>
        <w:rPr>
          <w:color w:val="8A8A8A"/>
        </w:rPr>
        <w:t xml:space="preserve">138</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—sus roles, sus riesgos y las defensas frente a ellos—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62225"/>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puede escribir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Conviene precisar, antes de seguir,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es una línea que el equipo traza, puede volver a trazar y debe poder mostrar dónde la trazó. Eso —y no compartimentos puros— es lo que la Figura 2 llama separación funcional y gradual.</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registrar los hechos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conviene leerla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 "TAC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 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1337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hace 24 horas y con débito por sonda en descenso. Relato de ingreso textual: "esta vez la hernia no se dejó acomodar, el dolor era otro".</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mostraron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Conviene fijar la división del trabajo: el monitoreo detecta — la fluidez que se rompe, el dato que no encaja, la emoción que desentona con el caso —; el control decide qué hacer con la señal —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demasiado literalmente: la vigilancia del propio juicio es sólo en parte introspectiva. Muchas de sus mejores señales vienen de afuera —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la intuición es confiable cuando se formó en un entorno de validez alta — regularidades estables entre señales y desenlaces — y con oportunidad real de aprenderlas, es decir, feedback oportuno y veraz; sin esas dos condiciones la sensación de saber crece igual, pero sin correlato (Kahneman &amp; Klein, 2009).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al olvidar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Este libro ha hablado de disposiciones —humildad, curiosidad, lealtad al caso— como si estuvieran siempre disponibles. No lo están. Dependen de tres cosas que ningún modelo del razonamiento clínico incluye y que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internos de cuidados intensivos a turnos tradicionales de más de veinticuatro horas o a turnos acotados a dieciséis, los turnos largos produjeron un 36% más de errores graves, y los errores diagnósticos graves se multiplicaron por más de cinco (Landrigan et al., 2004). El efecto no exige noches: en más de 21.000 consultas por infección respiratoria, la probabilidad de salir con un antibiótico subió hora a hora dentro de la misma sesión de policlínico, con independencia del paciente y del diagnóstico, hasta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es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de este libro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exactamente la razón para diseñar.</w:t>
      </w:r>
    </w:p>
    <w:p>
      <w:pPr>
        <w:pStyle w:val="BodyJ"/>
      </w:pPr>
      <w:r>
        <w:t xml:space="preserve">Tercero, usar el relevo. La entrega de turno no es sólo transferencia de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Hagamos la aritmética explícita con Carmen usando cifras ilustrativas. Supongamos que el ensayo clínico de referencia demostró que operar electivamente reduce un 50% el riesgo relativo de sufrir una nueva obstrucción a dos años, partiendo de un riesgo basal de 20% en la cohorte estudiada: eso equivale a una reducción absoluta de 10 puntos porcentuales (es necesario operar a diez pacientes promedio para evitar una obstrucción). Pero Carmen no pertenece al promedio de ese estudio: tras cuatro episodios en doce meses —acelerándose en frecuencia y el último complicado con shock séptico—, su probabilidad basal de volver a obstruirse y sufrir una complicación grave es sustancialmente mayor, digamos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debemos estimar antes de recomendar —dos riesgos basales individualizados, el de la enfermedad sin intervención y el del quirófano— y demuestra por qué la muletilla "está indicado por evidencia" suele esconder ambas estimaciones.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314575"/>
                          </a:xfrm>
                          <a:prstGeom prst="rect">
                            <a:avLst/>
                          </a:prstGeom>
                        </pic:spPr>
                      </pic:pic>
                    </a:graphicData>
                  </a:graphic>
                </wp:inline>
              </w:drawing>
            </w:r>
          </w:p>
          <w:p>
            <w:pPr>
              <w:pStyle w:val="Caption"/>
            </w:pPr>
            <w:r>
              <w:t xml:space="preserve">Figura 9. La misma reducción relativa, dos beneficios absolutos: con cifras ilustrativas, operar electivamente evita una obstrucción por cada diez pacientes del ensayo y casi una por cada tres pacientes como Carmen. El riesgo quirúrgico de Carmen también se aleja del promedio, y esa segunda estimación suele quedar sin hacer.</w:t>
            </w:r>
          </w:p>
        </w:tc>
      </w:tr>
    </w:tbl>
    <w:p>
      <w:pPr>
        <w:spacing w:after="60"/>
      </w:pP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Ilustremos esta asimetría de costos con los dos momentos de Carmen. En la madrugada del ingreso, con la paciente en shock pero con una tomografía sin necrosis ni perforación libre, entrar a pabellón en plena inestabilidad hemodinámica conllevaba una mortalidad perioperatoria altísima; como el cuadro cedió rápidamente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y que un quinto atascamiento reproduzca el shock séptico en su domicilio,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19750" cy="2714625"/>
                          </a:xfrm>
                          <a:prstGeom prst="rect">
                            <a:avLst/>
                          </a:prstGeom>
                        </pic:spPr>
                      </pic:pic>
                    </a:graphicData>
                  </a:graphic>
                </wp:inline>
              </w:drawing>
            </w:r>
          </w:p>
          <w:p>
            <w:pPr>
              <w:pStyle w:val="Caption"/>
            </w:pPr>
            <w:r>
              <w:t xml:space="preserve">Figura 12.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—con fragilidad clínica avanzada, deterioro cognitivo incipiente, dos hospitalizaciones por broncoaspiración en el semestre y una hija cuidadora exhausta— va a recuperar calidad de vida o funcionalidad gracias a la prótesis valvular es una inferencia completamente distinta, cuya validez exige incorporar otros hechos clínicos a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13.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corresponden a opiniones discutibles, sino a hechos clínicos nunca recabados: nadie preguntó con quién vive el paciente, la funcionalidad basal figura como "previamente autovalente" por simple arrastre documental sin evaluación objetiva, y las preferencias registradas son presunciones de la familia en lugar de la voz directa del enfermo. Segundo: completar las cuatro casillas rara vez cambia el aspecto técnico de la intervención, pero transforma de raíz la deliberación clínica: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y,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 "Observación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 Esta estructura explicita los cuatro pilares que validan al tiempo como prueba diagnóstica: qué se busca evaluar (la trayectoria del dolor y la tolerancia oral), en qué ventana temporal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conviene nombrarla para quien diseña o compra sistemas. Una ficha electrónica pensada desde HII-D no guardaría un diagnóstico como texto libre ni como un código cerrado: lo guardaría como un objeto con atributos obligatorios —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Khanna &amp; Najafi,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14.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afebril, pero con requerimiento de oxígeno que subió de 2 a 4 L/min en 48 horas, PCR estacionaria (180→165 mg/L) y un derrame pleural nuevo en la radiografía de tórax de control. Reescriba la evolución del día 5 aplicando la estructura HII-D.</w:t>
      </w:r>
    </w:p>
    <w:p>
      <w:pPr>
        <w:pStyle w:val="BodyJ"/>
      </w:pPr>
      <w:r>
        <w:rPr>
          <w:i/>
          <w:iCs/>
        </w:rPr>
        <w:t xml:space="preserve">Solución comentada.</w:t>
      </w:r>
      <w:r>
        <w:t xml:space="preserve"> "</w:t>
      </w: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 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Volvamos al registro de enfermería de las 02:00. "Más quejumbrosa, rechaza la cena, diuresis en el límite" contiene tres hechos de pleno derecho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exactamente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una ponderación que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 "Obstrucción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Conviene decirlo sin rodeos,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y lo ilustró con un armador que, sin inspeccionar su barco, se convence de que es seguro y lo deja zarpar: si el barco llega a puerto, el armador no es menos culpable, porque la creencia se formó sin derecho a formarse (Clifford, 1877). La medicina es el oficio donde esa tesis deja de ser una exageración. El médico que escribe "se descarta" sin un método que excluya, o "cuadro habitual" sin haber mirado las rodillas moteadas, ha hecho exactamente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nosotros — conocimiento causal, emoción leída como dato, valores del paciente y oportunidad: el momento de actuar ahora o esperar. Esa integración sólo permanece honesta si alguien vigila sus límites, y la humildad es exactamente eso: la phronesis vuelta sobre sí misma, la parte de la prudencia que sabe cuánta de la propia prudencia es conjetura. Con ella queda a la vista el hilo que el libro venía tendiendo: el capítulo 2 mostró la abducción — la conjetura que crea explicaciones —; el capítulo 5, la metacognición que la vigila mientras trabaja; la humildad es la disposición que la mantiene abierta cuando ya produjo una respuesta cómoda. Generar, vigilar, mantener abierto: tres nombres de una misma lealtad al caso.</w:t>
      </w:r>
    </w:p>
    <w:p>
      <w:pPr>
        <w:pStyle w:val="BodyJ"/>
      </w:pPr>
      <w:r>
        <w:t xml:space="preserve">Por eso este libro necesita la humildad no como ornamento ético sino como pieza estructural. La reevaluación del método HII-D (capítulo 15)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merece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15.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conviene decir exactamente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Hombre con lesión medular completa, vejiga neurogénica, usuario crónico de sonda Foley y portador de un cáncer renal metastásico en progresión. Tras un recambio traumático de sonda, presenta orina turbia, piuria en el sedimento y urocultivo positivo. Al examen se encuentra afebril, hemodinámicamente estable y sin cambios respecto de su condición basal. Sus marcadores inflamatorios sanguíneos están elevados, sin valores previos para comparar y con su enfermedad tumoral activa como causa concomitante. Registra antecedente de colonización e infecciones previas por enterobacteria productora de BLEE.</w:t>
      </w:r>
    </w:p>
    <w:p>
      <w:pPr>
        <w:pStyle w:val="BodyJ"/>
      </w:pPr>
      <w:r>
        <w:rPr>
          <w:i/>
          <w:iCs/>
        </w:rPr>
        <w:t xml:space="preserve">Hechos:</w:t>
      </w:r>
      <w:r>
        <w:t xml:space="preserve"> usuario crónico de catéter urinario con recambio reciente; piuria y urocultivo positivo; estabilidad hemodinámica y ausencia de fiebre; imposibilidad neuroanatómica de evaluar síntomas urinarios bajos clásicos; elevación de reactantes de fase aguda sin basal conocido en paciente con cáncer renal metastásico; antecedente documentado de colonización por microorganismo productor de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El acierto clínico a las tres de la mañana no consistió en adivinar el diagnóstico definitivo, sino en tomar una decisión estratégica: comprar tiempo seguro mediante intervenciones de bajo riesgo y vigilancia de alta resolución.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de duración (relato consistente); exámenes de laboratorio normales cuya fecha precede en dos meses al inicio del síntoma; sudoración nocturna y baja ponderal referidas con atribuciones causales benignas propuestas por la propia paciente; examen físico segmentario de hoy sin adenopatías periféricas ni visceromegalias palpables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Uno de los tropiezos más frecuentes en la consulta ambulatoria es la falsa tranquilidad inducida por evidencia caducada: "tiene exámenes normales recientes" es un hecho cierto cuya fecha de toma lo vuelve clínicamente irrelevante para el problema nuevo. La ventaja comparativa de la atención primaria —el tiempo longitudinal como herramienta diagnóstica— sólo opera con seguridad si tiene fecha de reevaluación y criterios explícitos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medicina al final de la vida pone a prueba todas las capas de este libro: tienta al clínico a responder la pregunta "¿cuánto tiempo le queda?" con una cifra inventada (certeza retórica), o a escudarse en un "eso sólo Dios lo sabe" que desorienta a la familia (abandono comunicacional). Más importante aún, expone la confusión cotidiana entre lo técnicamente factible (indicar una cuarta línea oncológica o intubar) y lo clínicamente proporcionado. El juicio de proporcionalidad del capítulo 10 exige ante todo honestidad epistémica: reconocer el declive basal como un hecho clínico duro y anclar el umbral de acción en los fines del paciente, no en la inercia de los recursos disponibles.</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14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14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Una herramienta no hereda la validez de su marca, y la validación externa no es un trámite: es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exactamente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Conviene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nosotros,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16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16. Parentescos: cada riesgo de la IA clínica junto al sesgo que este libro ya había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 sé razonar, delego repetidamente, dejo de ejercitar, la capacidad se deteriora—; </w:t>
      </w:r>
      <w:r>
        <w:rPr>
          <w:i/>
          <w:iCs/>
        </w:rPr>
        <w:t xml:space="preserve">never-skilling</w:t>
      </w:r>
      <w:r>
        <w:t xml:space="preserve"> — la IA estuvo disponible desde el inicio de la formación, la operación cognitiva nunca se ejecutó las veces necesarias, la competencia nunca se consolidó—; y </w:t>
      </w:r>
      <w:r>
        <w:rPr>
          <w:i/>
          <w:iCs/>
        </w:rPr>
        <w:t xml:space="preserve">mis-skilling</w:t>
      </w:r>
      <w:r>
        <w:t xml:space="preserve"> —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merece escribirse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exactamente lo que un resumen tiende a aplanar. Los primeros estudios con encuentros simulados muestran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que este libro puede proponer con su propio vocabulario.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exactamente lo que el ensayo de Goh mostró que desaprovechamos;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Heading3"/>
        <w:spacing w:after="120" w:before="280"/>
      </w:pPr>
      <w:r>
        <w:rPr>
          <w:rFonts w:ascii="Georgia" w:cs="Georgia" w:eastAsia="Georgia" w:hAnsi="Georgia"/>
          <w:b/>
          <w:bCs/>
          <w:color w:val="2B2B2B"/>
          <w:sz w:val="25"/>
          <w:szCs w:val="25"/>
        </w:rPr>
        <w:t xml:space="preserve">La IA como espejo y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Tres hilos de este libro conviene dejar anudados. El primero va de la abducción a la humildad: la conjetura que crea explicaciones, la vigilancia que la acompaña mientras trabaja y la disposición que la mantiene abierta cuando ya produjo una respuesta cómoda son tres momentos de una misma lealtad al caso, y la prudencia práctica —la phronesis— es su nombre antiguo. El segundo va del dato al contexto: la funcionalidad, el pronóstico de fondo y la red de apoyo son hechos clínicos de pleno derecho, y una decisión que los omitió no es más objetiva sino más incompleta. El tercero va de la ficha al razonador: escribir la nota es parte de pensar, y por eso la inteligencia artificial —que produce exactamente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exactamente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Ética de la creencia (Clifford); pensar bien como deber primordial — 14, C</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Fuentes del hecho clínico (matriz de procedencia) — 1</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Hindsight bias — 8, 11, 16, CC (viñeta 6)</w:t>
      </w:r>
    </w:p>
    <w:p>
      <w:pPr>
        <w:pStyle w:val="BodyJ"/>
        <w:numPr>
          <w:ilvl w:val="0"/>
          <w:numId w:val="6"/>
        </w:numPr>
      </w:pPr>
      <w:r>
        <w:t xml:space="preserve">HII-D (método) — 12, 15, Ap A; auditoría de IA con — 17</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de pleno derecho — 13</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3)</w:t>
      </w:r>
    </w:p>
    <w:p>
      <w:pPr>
        <w:pStyle w:val="BodyJ"/>
        <w:numPr>
          <w:ilvl w:val="0"/>
          <w:numId w:val="6"/>
        </w:numPr>
      </w:pPr>
      <w:r>
        <w:t xml:space="preserve">Validez del entorno e intuición (Kahneman y Klein) — 6</w:t>
      </w:r>
    </w:p>
    <w:p>
      <w:pPr>
        <w:pStyle w:val="BodyJ"/>
        <w:numPr>
          <w:ilvl w:val="0"/>
          <w:numId w:val="6"/>
        </w:numPr>
      </w:pPr>
      <w:r>
        <w:t xml:space="preserve">Validación local y monitoreo de herramientas de IA — 17</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et al. (2026). Crew resource management — Navigating AI's automation paradox. </w:t>
      </w:r>
      <w:r>
        <w:rPr>
          <w:i/>
          <w:iCs/>
        </w:rPr>
        <w:t xml:space="preserve">New England Journal of Medicine</w:t>
      </w:r>
      <w:r>
        <w:t xml:space="preserve">. Publicado en línea el 22 de julio de 2026.</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&amp; Ratwani, R. M.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Lilly, C. M., Stone, P. H., Lockley, S. W., Bates, D. W., &amp; Czeisler, C. A.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Linder, J. A., Doctor, J. N., Friedberg, M. W., Reyes Nieva, H., Birks, C., Meeker, D., &amp; Fox, C. R.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Eckert, L. O., Geerlings, S. E., Köves, B., Hooton, T. M., Juthani-Mehta, M., Knight, S. L., Saint, S., Schaeffer, A. J., Trautner, B., Wullt, B., &amp; Siemieniuk, R.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Liu, V., &amp; Lee, K.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Wong, A., Otles, E., Donnelly, J. P.,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9113efc768477994ed8ee35e212b877336beb9a2.png"/><Relationship Id="rId11" Type="http://schemas.openxmlformats.org/officeDocument/2006/relationships/image" Target="media/a53e3b8facc7477d003b5aa4ab87dbf2f76fb1a5.png"/><Relationship Id="rId12" Type="http://schemas.openxmlformats.org/officeDocument/2006/relationships/image" Target="media/6b94a04a3f8338e97d4c83ffb60273e4d654598e.png"/><Relationship Id="rId13" Type="http://schemas.openxmlformats.org/officeDocument/2006/relationships/image" Target="media/1775b34dd96753ca5cd57961ecce5f5404de2903.png"/><Relationship Id="rId14" Type="http://schemas.openxmlformats.org/officeDocument/2006/relationships/image" Target="media/44afd8313e07ff21b28636d481df0116d99aa3d5.png"/><Relationship Id="rId15" Type="http://schemas.openxmlformats.org/officeDocument/2006/relationships/image" Target="media/28be4f41d00e1a8107b23f89e9f241bea0ec742a.png"/><Relationship Id="rId16" Type="http://schemas.openxmlformats.org/officeDocument/2006/relationships/image" Target="media/17a9ed2fda4921f76faf8097edd6aae5f8795c4e.png"/><Relationship Id="rId17" Type="http://schemas.openxmlformats.org/officeDocument/2006/relationships/image" Target="media/65799fc52a199127ee3d272eb5e9586dc51683eb.png"/><Relationship Id="rId18" Type="http://schemas.openxmlformats.org/officeDocument/2006/relationships/image" Target="media/057c76dcc7f7edda793f7c812f9586712c4f7cc2.png"/><Relationship Id="rId19" Type="http://schemas.openxmlformats.org/officeDocument/2006/relationships/image" Target="media/db6a8b0a96eb70fd2d1fff7501f5acaaae3a300e.png"/><Relationship Id="rId20" Type="http://schemas.openxmlformats.org/officeDocument/2006/relationships/image" Target="media/3a3ca72b0a0269c2b706eca48513a9fcb7000998.png"/><Relationship Id="rId21" Type="http://schemas.openxmlformats.org/officeDocument/2006/relationships/image" Target="media/d82a5888acadc2c251f149205e55bb3e3238da5d.png"/><Relationship Id="rId22" Type="http://schemas.openxmlformats.org/officeDocument/2006/relationships/image" Target="media/8fcc67cfcb45f0b31c60e24afdc6b86c2e8dd384.png"/><Relationship Id="rId23" Type="http://schemas.openxmlformats.org/officeDocument/2006/relationships/image" Target="media/157e2708729e7ec9ff290154cda60b40a7eda2da.png"/><Relationship Id="rId24" Type="http://schemas.openxmlformats.org/officeDocument/2006/relationships/image" Target="media/7e4817341cb61efe50da50135ded2304f7f1e12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2026-10-14T04:25:06.755Z</dcterms:created>
  <dcterms:modified xsi:type="dcterms:W3CDTF">2026-10-14T04:25:06.755Z</dcterms:modified>
</cp:coreProperties>
</file>

<file path=docProps/custom.xml><?xml version="1.0" encoding="utf-8"?>
<Properties xmlns="http://schemas.openxmlformats.org/officeDocument/2006/custom-properties" xmlns:vt="http://schemas.openxmlformats.org/officeDocument/2006/docPropsVTypes"/>
</file>