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Las escenas narradas en primera persona condensan experiencias reales del autor y situaciones clínicas compuestas: conservan el conflicto cognitivo y moral que las originó, pero no reproducen literalmente un único episodio ni permiten identificar pacientes, familiares, profesionales o instituciones; los datos, circunstancias y trayectorias fueron modificados y combinados con fines docentes. Lo mismo vale para todas las viñetas clínicas del libro. Carmen es un personaje clínico compuesto, construido para acompañar el argumento; no corresponde a una paciente identificable.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4</w:t>
      </w:r>
    </w:p>
    <w:p>
      <w:pPr>
        <w:pStyle w:val="TocPart"/>
        <w:tabs>
          <w:tab w:val="right" w:pos="9026" w:leader="dot"/>
        </w:tabs>
      </w:pPr>
      <w:r>
        <w:t xml:space="preserve">PARTE I. Las capas del conocimiento clínico</w:t>
      </w:r>
      <w:r>
        <w:tab/>
      </w:r>
      <w:r>
        <w:rPr>
          <w:color w:val="8A8A8A"/>
        </w:rPr>
        <w:t xml:space="preserve">8</w:t>
      </w:r>
    </w:p>
    <w:p>
      <w:pPr>
        <w:pStyle w:val="TocEntry"/>
        <w:tabs>
          <w:tab w:val="right" w:pos="9026" w:leader="dot"/>
        </w:tabs>
      </w:pPr>
      <w:r>
        <w:t xml:space="preserve">Capítulo 1. El hecho clínico: observación, medición y procedencia</w:t>
      </w:r>
      <w:r>
        <w:tab/>
      </w:r>
      <w:r>
        <w:rPr>
          <w:color w:val="8A8A8A"/>
        </w:rPr>
        <w:t xml:space="preserve">9</w:t>
      </w:r>
    </w:p>
    <w:p>
      <w:pPr>
        <w:pStyle w:val="TocEntry"/>
        <w:tabs>
          <w:tab w:val="right" w:pos="9026" w:leader="dot"/>
        </w:tabs>
      </w:pPr>
      <w:r>
        <w:t xml:space="preserve">Capítulo 2. Inferir: del signo a la explicación</w:t>
      </w:r>
      <w:r>
        <w:tab/>
      </w:r>
      <w:r>
        <w:rPr>
          <w:color w:val="8A8A8A"/>
        </w:rPr>
        <w:t xml:space="preserve">14</w:t>
      </w:r>
    </w:p>
    <w:p>
      <w:pPr>
        <w:pStyle w:val="TocEntry"/>
        <w:tabs>
          <w:tab w:val="right" w:pos="9026" w:leader="dot"/>
        </w:tabs>
      </w:pPr>
      <w:r>
        <w:t xml:space="preserve">Capítulo 3. Incertidumbre: una condición estructural</w:t>
      </w:r>
      <w:r>
        <w:tab/>
      </w:r>
      <w:r>
        <w:rPr>
          <w:color w:val="8A8A8A"/>
        </w:rPr>
        <w:t xml:space="preserve">19</w:t>
      </w:r>
    </w:p>
    <w:p>
      <w:pPr>
        <w:pStyle w:val="TocEntry"/>
        <w:tabs>
          <w:tab w:val="right" w:pos="9026" w:leader="dot"/>
        </w:tabs>
      </w:pPr>
      <w:r>
        <w:t xml:space="preserve">Capítulo 4. Lenguaje clínico y densidad epistémica</w:t>
      </w:r>
      <w:r>
        <w:tab/>
      </w:r>
      <w:r>
        <w:rPr>
          <w:color w:val="8A8A8A"/>
        </w:rPr>
        <w:t xml:space="preserve">23</w:t>
      </w:r>
    </w:p>
    <w:p>
      <w:pPr>
        <w:pStyle w:val="TocEntry"/>
        <w:tabs>
          <w:tab w:val="right" w:pos="9026" w:leader="dot"/>
        </w:tabs>
      </w:pPr>
      <w:r>
        <w:t xml:space="preserve">Interludio I. La ficha de Carmen</w:t>
      </w:r>
      <w:r>
        <w:tab/>
      </w:r>
      <w:r>
        <w:rPr>
          <w:color w:val="8A8A8A"/>
        </w:rPr>
        <w:t xml:space="preserve">28</w:t>
      </w:r>
    </w:p>
    <w:p>
      <w:pPr>
        <w:pStyle w:val="TocPart"/>
        <w:tabs>
          <w:tab w:val="right" w:pos="9026" w:leader="dot"/>
        </w:tabs>
      </w:pPr>
      <w:r>
        <w:t xml:space="preserve">PARTE II. La mente que se observa</w:t>
      </w:r>
      <w:r>
        <w:tab/>
      </w:r>
      <w:r>
        <w:rPr>
          <w:color w:val="8A8A8A"/>
        </w:rPr>
        <w:t xml:space="preserve">29</w:t>
      </w:r>
    </w:p>
    <w:p>
      <w:pPr>
        <w:pStyle w:val="TocEntry"/>
        <w:tabs>
          <w:tab w:val="right" w:pos="9026" w:leader="dot"/>
        </w:tabs>
      </w:pPr>
      <w:r>
        <w:t xml:space="preserve">Capítulo 5. Metacognición: monitorear y regular el propio juicio</w:t>
      </w:r>
      <w:r>
        <w:tab/>
      </w:r>
      <w:r>
        <w:rPr>
          <w:color w:val="8A8A8A"/>
        </w:rPr>
        <w:t xml:space="preserve">30</w:t>
      </w:r>
    </w:p>
    <w:p>
      <w:pPr>
        <w:pStyle w:val="TocEntry"/>
        <w:tabs>
          <w:tab w:val="right" w:pos="9026" w:leader="dot"/>
        </w:tabs>
      </w:pPr>
      <w:r>
        <w:t xml:space="preserve">Capítulo 6. Pericia, intuición y conocimiento tácito</w:t>
      </w:r>
      <w:r>
        <w:tab/>
      </w:r>
      <w:r>
        <w:rPr>
          <w:color w:val="8A8A8A"/>
        </w:rPr>
        <w:t xml:space="preserve">36</w:t>
      </w:r>
    </w:p>
    <w:p>
      <w:pPr>
        <w:pStyle w:val="TocEntry"/>
        <w:tabs>
          <w:tab w:val="right" w:pos="9026" w:leader="dot"/>
        </w:tabs>
      </w:pPr>
      <w:r>
        <w:t xml:space="preserve">Capítulo 7. Error, sesgo y ecología del diagnóstico</w:t>
      </w:r>
      <w:r>
        <w:tab/>
      </w:r>
      <w:r>
        <w:rPr>
          <w:color w:val="8A8A8A"/>
        </w:rPr>
        <w:t xml:space="preserve">39</w:t>
      </w:r>
    </w:p>
    <w:p>
      <w:pPr>
        <w:pStyle w:val="TocEntry"/>
        <w:tabs>
          <w:tab w:val="right" w:pos="9026" w:leader="dot"/>
        </w:tabs>
      </w:pPr>
      <w:r>
        <w:t xml:space="preserve">Capítulo 8. Reflexión y desaceleración selectiva</w:t>
      </w:r>
      <w:r>
        <w:tab/>
      </w:r>
      <w:r>
        <w:rPr>
          <w:color w:val="8A8A8A"/>
        </w:rPr>
        <w:t xml:space="preserve">42</w:t>
      </w:r>
    </w:p>
    <w:p>
      <w:pPr>
        <w:pStyle w:val="TocEntry"/>
        <w:tabs>
          <w:tab w:val="right" w:pos="9026" w:leader="dot"/>
        </w:tabs>
      </w:pPr>
      <w:r>
        <w:t xml:space="preserve">Interludio II. Lo que el equipo pensó</w:t>
      </w:r>
      <w:r>
        <w:tab/>
      </w:r>
      <w:r>
        <w:rPr>
          <w:color w:val="8A8A8A"/>
        </w:rPr>
        <w:t xml:space="preserve">45</w:t>
      </w:r>
    </w:p>
    <w:p>
      <w:pPr>
        <w:pStyle w:val="TocPart"/>
        <w:tabs>
          <w:tab w:val="right" w:pos="9026" w:leader="dot"/>
        </w:tabs>
      </w:pPr>
      <w:r>
        <w:t xml:space="preserve">PARTE III. Decidir en el tiempo y con otros</w:t>
      </w:r>
      <w:r>
        <w:tab/>
      </w:r>
      <w:r>
        <w:rPr>
          <w:color w:val="8A8A8A"/>
        </w:rPr>
        <w:t xml:space="preserve">46</w:t>
      </w:r>
    </w:p>
    <w:p>
      <w:pPr>
        <w:pStyle w:val="TocEntry"/>
        <w:tabs>
          <w:tab w:val="right" w:pos="9026" w:leader="dot"/>
        </w:tabs>
      </w:pPr>
      <w:r>
        <w:t xml:space="preserve">Capítulo 9. La evidencia y el caso singular</w:t>
      </w:r>
      <w:r>
        <w:tab/>
      </w:r>
      <w:r>
        <w:rPr>
          <w:color w:val="8A8A8A"/>
        </w:rPr>
        <w:t xml:space="preserve">47</w:t>
      </w:r>
    </w:p>
    <w:p>
      <w:pPr>
        <w:pStyle w:val="TocEntry"/>
        <w:tabs>
          <w:tab w:val="right" w:pos="9026" w:leader="dot"/>
        </w:tabs>
      </w:pPr>
      <w:r>
        <w:t xml:space="preserve">Capítulo 10. Decidir sin certeza: umbrales, valores y lectura de la evidencia</w:t>
      </w:r>
      <w:r>
        <w:tab/>
      </w:r>
      <w:r>
        <w:rPr>
          <w:color w:val="8A8A8A"/>
        </w:rPr>
        <w:t xml:space="preserve">50</w:t>
      </w:r>
    </w:p>
    <w:p>
      <w:pPr>
        <w:pStyle w:val="TocEntry"/>
        <w:tabs>
          <w:tab w:val="right" w:pos="9026" w:leader="dot"/>
        </w:tabs>
      </w:pPr>
      <w:r>
        <w:t xml:space="preserve">Capítulo 11. Temporalidad, trayectoria y razonamiento contrafactual</w:t>
      </w:r>
      <w:r>
        <w:tab/>
      </w:r>
      <w:r>
        <w:rPr>
          <w:color w:val="8A8A8A"/>
        </w:rPr>
        <w:t xml:space="preserve">58</w:t>
      </w:r>
    </w:p>
    <w:p>
      <w:pPr>
        <w:pStyle w:val="TocEntry"/>
        <w:tabs>
          <w:tab w:val="right" w:pos="9026" w:leader="dot"/>
        </w:tabs>
      </w:pPr>
      <w:r>
        <w:t xml:space="preserve">Capítulo 12. La ficha clínica como instrumento de pensamiento</w:t>
      </w:r>
      <w:r>
        <w:tab/>
      </w:r>
      <w:r>
        <w:rPr>
          <w:color w:val="8A8A8A"/>
        </w:rPr>
        <w:t xml:space="preserve">61</w:t>
      </w:r>
    </w:p>
    <w:p>
      <w:pPr>
        <w:pStyle w:val="TocEntry"/>
        <w:tabs>
          <w:tab w:val="right" w:pos="9026" w:leader="dot"/>
        </w:tabs>
      </w:pPr>
      <w:r>
        <w:t xml:space="preserve">Capítulo 13. Pensar con otros: equipos, desacuerdo y comunicación de la incertidumbre</w:t>
      </w:r>
      <w:r>
        <w:tab/>
      </w:r>
      <w:r>
        <w:rPr>
          <w:color w:val="8A8A8A"/>
        </w:rPr>
        <w:t xml:space="preserve">65</w:t>
      </w:r>
    </w:p>
    <w:p>
      <w:pPr>
        <w:pStyle w:val="TocEntry"/>
        <w:tabs>
          <w:tab w:val="right" w:pos="9026" w:leader="dot"/>
        </w:tabs>
      </w:pPr>
      <w:r>
        <w:t xml:space="preserve">Interludio III. La decisión de Carmen</w:t>
      </w:r>
      <w:r>
        <w:tab/>
      </w:r>
      <w:r>
        <w:rPr>
          <w:color w:val="8A8A8A"/>
        </w:rPr>
        <w:t xml:space="preserve">70</w:t>
      </w:r>
    </w:p>
    <w:p>
      <w:pPr>
        <w:pStyle w:val="TocPart"/>
        <w:tabs>
          <w:tab w:val="right" w:pos="9026" w:leader="dot"/>
        </w:tabs>
      </w:pPr>
      <w:r>
        <w:t xml:space="preserve">PARTE IV. Una epistemología operativa</w:t>
      </w:r>
      <w:r>
        <w:tab/>
      </w:r>
      <w:r>
        <w:rPr>
          <w:color w:val="8A8A8A"/>
        </w:rPr>
        <w:t xml:space="preserve">71</w:t>
      </w:r>
    </w:p>
    <w:p>
      <w:pPr>
        <w:pStyle w:val="TocEntry"/>
        <w:tabs>
          <w:tab w:val="right" w:pos="9026" w:leader="dot"/>
        </w:tabs>
      </w:pPr>
      <w:r>
        <w:t xml:space="preserve">Capítulo 14. Humildad epistémica y responsabilidad clínica</w:t>
      </w:r>
      <w:r>
        <w:tab/>
      </w:r>
      <w:r>
        <w:rPr>
          <w:color w:val="8A8A8A"/>
        </w:rPr>
        <w:t xml:space="preserve">72</w:t>
      </w:r>
    </w:p>
    <w:p>
      <w:pPr>
        <w:pStyle w:val="TocEntry"/>
        <w:tabs>
          <w:tab w:val="right" w:pos="9026" w:leader="dot"/>
        </w:tabs>
      </w:pPr>
      <w:r>
        <w:t xml:space="preserve">Capítulo 15. El método HII-D: una epistemología operativa</w:t>
      </w:r>
      <w:r>
        <w:tab/>
      </w:r>
      <w:r>
        <w:rPr>
          <w:color w:val="8A8A8A"/>
        </w:rPr>
        <w:t xml:space="preserve">78</w:t>
      </w:r>
    </w:p>
    <w:p>
      <w:pPr>
        <w:pStyle w:val="TocEntry"/>
        <w:tabs>
          <w:tab w:val="right" w:pos="9026" w:leader="dot"/>
        </w:tabs>
      </w:pPr>
      <w:r>
        <w:t xml:space="preserve">Cuaderno de casos. Diez viñetas para una lectura metacognitiva</w:t>
      </w:r>
      <w:r>
        <w:tab/>
      </w:r>
      <w:r>
        <w:rPr>
          <w:color w:val="8A8A8A"/>
        </w:rPr>
        <w:t xml:space="preserve">85</w:t>
      </w:r>
    </w:p>
    <w:p>
      <w:pPr>
        <w:pStyle w:val="TocEntry"/>
        <w:tabs>
          <w:tab w:val="right" w:pos="9026" w:leader="dot"/>
        </w:tabs>
      </w:pPr>
      <w:r>
        <w:t xml:space="preserve">Capítulo 16. Enseñar y organizar la metacognición clínica</w:t>
      </w:r>
      <w:r>
        <w:tab/>
      </w:r>
      <w:r>
        <w:rPr>
          <w:color w:val="8A8A8A"/>
        </w:rPr>
        <w:t xml:space="preserve">93</w:t>
      </w:r>
    </w:p>
    <w:p>
      <w:pPr>
        <w:pStyle w:val="TocEntry"/>
        <w:tabs>
          <w:tab w:val="right" w:pos="9026" w:leader="dot"/>
        </w:tabs>
      </w:pPr>
      <w:r>
        <w:t xml:space="preserve">Capítulo 17. La inteligencia artificial en el proceso clínico: roles, riesgos y defensas</w:t>
      </w:r>
      <w:r>
        <w:tab/>
      </w:r>
      <w:r>
        <w:rPr>
          <w:color w:val="8A8A8A"/>
        </w:rPr>
        <w:t xml:space="preserve">97</w:t>
      </w:r>
    </w:p>
    <w:p>
      <w:pPr>
        <w:pStyle w:val="TocEntry"/>
        <w:tabs>
          <w:tab w:val="right" w:pos="9026" w:leader="dot"/>
        </w:tabs>
      </w:pPr>
      <w:r>
        <w:t xml:space="preserve">Capítulo 18. La palabra exacta: lo que la poesía sabe del juicio clínico</w:t>
      </w:r>
      <w:r>
        <w:tab/>
      </w:r>
      <w:r>
        <w:rPr>
          <w:color w:val="8A8A8A"/>
        </w:rPr>
        <w:t xml:space="preserve">105</w:t>
      </w:r>
    </w:p>
    <w:p>
      <w:pPr>
        <w:pStyle w:val="TocPart"/>
        <w:tabs>
          <w:tab w:val="right" w:pos="9026" w:leader="dot"/>
        </w:tabs>
      </w:pPr>
      <w:r>
        <w:t xml:space="preserve">Conclusión. Una medicina lúcida</w:t>
      </w:r>
      <w:r>
        <w:tab/>
      </w:r>
      <w:r>
        <w:rPr>
          <w:color w:val="8A8A8A"/>
        </w:rPr>
        <w:t xml:space="preserve">109</w:t>
      </w:r>
    </w:p>
    <w:p>
      <w:pPr>
        <w:pStyle w:val="TocPart"/>
        <w:tabs>
          <w:tab w:val="right" w:pos="9026" w:leader="dot"/>
        </w:tabs>
      </w:pPr>
      <w:r>
        <w:t xml:space="preserve">Apéndice A. Hoja HII-D para discusión de casos</w:t>
      </w:r>
      <w:r>
        <w:tab/>
      </w:r>
      <w:r>
        <w:rPr>
          <w:color w:val="8A8A8A"/>
        </w:rPr>
        <w:t xml:space="preserve">111</w:t>
      </w:r>
    </w:p>
    <w:p>
      <w:pPr>
        <w:pStyle w:val="TocPart"/>
        <w:tabs>
          <w:tab w:val="right" w:pos="9026" w:leader="dot"/>
        </w:tabs>
      </w:pPr>
      <w:r>
        <w:t xml:space="preserve">Apéndice B. Léxico de certeza y pausa diagnóstica</w:t>
      </w:r>
      <w:r>
        <w:tab/>
      </w:r>
      <w:r>
        <w:rPr>
          <w:color w:val="8A8A8A"/>
        </w:rPr>
        <w:t xml:space="preserve">113</w:t>
      </w:r>
    </w:p>
    <w:p>
      <w:pPr>
        <w:pStyle w:val="TocPart"/>
        <w:tabs>
          <w:tab w:val="right" w:pos="9026" w:leader="dot"/>
        </w:tabs>
      </w:pPr>
      <w:r>
        <w:t xml:space="preserve">Apéndice C. Guía de implementación en un servicio clínico</w:t>
      </w:r>
      <w:r>
        <w:tab/>
      </w:r>
      <w:r>
        <w:rPr>
          <w:color w:val="8A8A8A"/>
        </w:rPr>
        <w:t xml:space="preserve">115</w:t>
      </w:r>
    </w:p>
    <w:p>
      <w:pPr>
        <w:pStyle w:val="TocPart"/>
        <w:tabs>
          <w:tab w:val="right" w:pos="9026" w:leader="dot"/>
        </w:tabs>
      </w:pPr>
      <w:r>
        <w:t xml:space="preserve">Glosario</w:t>
      </w:r>
      <w:r>
        <w:tab/>
      </w:r>
      <w:r>
        <w:rPr>
          <w:color w:val="8A8A8A"/>
        </w:rPr>
        <w:t xml:space="preserve">117</w:t>
      </w:r>
    </w:p>
    <w:p>
      <w:pPr>
        <w:pStyle w:val="TocPart"/>
        <w:tabs>
          <w:tab w:val="right" w:pos="9026" w:leader="dot"/>
        </w:tabs>
      </w:pPr>
      <w:r>
        <w:t xml:space="preserve">Índice analítico</w:t>
      </w:r>
      <w:r>
        <w:tab/>
      </w:r>
      <w:r>
        <w:rPr>
          <w:color w:val="8A8A8A"/>
        </w:rPr>
        <w:t xml:space="preserve">121</w:t>
      </w:r>
    </w:p>
    <w:p>
      <w:pPr>
        <w:pStyle w:val="TocPart"/>
        <w:tabs>
          <w:tab w:val="right" w:pos="9026" w:leader="dot"/>
        </w:tabs>
      </w:pPr>
      <w:r>
        <w:t xml:space="preserve">Nota metodológica y estatuto de las afirmaciones</w:t>
      </w:r>
      <w:r>
        <w:tab/>
      </w:r>
      <w:r>
        <w:rPr>
          <w:color w:val="8A8A8A"/>
        </w:rPr>
        <w:t xml:space="preserve">124</w:t>
      </w:r>
    </w:p>
    <w:p>
      <w:pPr>
        <w:pStyle w:val="TocPart"/>
        <w:tabs>
          <w:tab w:val="right" w:pos="9026" w:leader="dot"/>
        </w:tabs>
      </w:pPr>
      <w:r>
        <w:t xml:space="preserve">Referencias</w:t>
      </w:r>
      <w:r>
        <w:tab/>
      </w:r>
      <w:r>
        <w:rPr>
          <w:color w:val="8A8A8A"/>
        </w:rPr>
        <w:t xml:space="preserve">125</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El paciente había vomitado durante la noche; en la radiografía de la mañana aparecieron infiltrados basales. Yo escribí: "neumonía aspirativa". Dos palabras, limpias, verosímiles. La frase viajó conmigo al pase de visita, del pase de visita a la epicrisis,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despierto.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no es sólo estilística. Es epistemológica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Conviene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demostró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el pase de visita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desaceleración selectiva. La </w:t>
      </w:r>
      <w:r>
        <w:rPr>
          <w:b/>
          <w:bCs/>
        </w:rPr>
        <w:t xml:space="preserve">Parte III</w:t>
      </w:r>
      <w:r>
        <w:t xml:space="preserve"> amplía el foco hacia la decisión en el tiempo y con otros: la evidencia poblacional y su traducción al caso singular, los umbrales donde los valores entran al cálculo y la decisión se cruza con la bioética, la trayectoria temporal, la ficha clínica, y los equipos y la comunicación de la incertidumbre. La </w:t>
      </w:r>
      <w:r>
        <w:rPr>
          <w:b/>
          <w:bCs/>
        </w:rPr>
        <w:t xml:space="preserve">Parte IV</w:t>
      </w:r>
      <w:r>
        <w:t xml:space="preserve"> propone una epistemología operativa: la responsabilidad —incluido el miedo que también escribe—, el método HII-D, un cuaderno de diez casos, la enseñanza de la metacognición clínica, la inteligencia artificial en el proceso diagnóstico y terapéutico —sus roles, sus riesgos y las defensas frente a ellos— y un cierre desde la poesía chilena — Huidobro y Parra como los dos polos de lo que la palabra clínica puede y no puede permitirse.</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observar cómo las capas del conocimiento se mezclan, se separan y producen consecuencias clínicas reales en una persona concreta dentro del relato docente.</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Conviene leer con un caso propio en mente.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y una cicatriz mediana que le cruza el abdomen desde una cirugía de hace una década. Sobre la cicatriz, una hernia incisional que ella conoce mejor que nadie: sabe qué comidas la inflaman, sabe dormir de lado cuando "se le aprieta", sabe distinguir la molestia habitual del dolor que la trae al hospital. Ha ingresado tres veces en el último año por episodios de suboclusión intestinal que se resolvieron con reposo digestivo y sonda. Esta madrugada llegó por cuarta vez, y algo es distinto: está hipotensa, taquicárdica, con las rodillas moteadas y un lactato de 6. En la nota de ingreso, alguien escribió: "Paciente con hernia complicada conocida, cuadro habitual, se maneja de forma habitual".</w:t>
      </w:r>
    </w:p>
    <w:p>
      <w:pPr>
        <w:pStyle w:val="BodyJ"/>
      </w:pPr>
      <w:r>
        <w:t xml:space="preserve">Casi todo en esa frase es razonable. Y casi todo está por verse. ¿Qué significa "conocida"? ¿Qué significa "habitual" en una paciente que nunca había llegado en shock? ¿"Complicada" describe lo que la tomografía mostró alguna vez o lo que el equipo teme ahora? La frase no es falsa: es prematura. Comprime cuatro operaciones distintas —observar, inferir, reconocer lo incierto y decidir— en un gesto único que ya no deja ver sus partes. Este libro trata de esas cuatro operaciones, de cómo se mezclan y de cómo volver a separarlas cuando importa. Volveremos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La estructura más elemental de este trabajo puede dividirse en cuatro capas. La primera es lo observado: hechos clínicos con una fuente y una confiabilidad determinadas. La segunda es lo inferido: hipótesis diagnósticas, explicaciones causales, pronósticos y atribuciones de relevancia. La tercera es lo incierto: aquello que no se conoce, aquello que se conoce sólo probabilísticamente y aquello cuya propia formulación es ambigua. La cuarta es lo decidido: una acción que incorpora no sólo probabilidad, sino gravedad, oportunidad, reversibilidad, preferencias y costo de los errores.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2571750"/>
                          </a:xfrm>
                          <a:prstGeom prst="rect">
                            <a:avLst/>
                          </a:prstGeom>
                        </pic:spPr>
                      </pic:pic>
                    </a:graphicData>
                  </a:graphic>
                </wp:inline>
              </w:drawing>
            </w:r>
          </w:p>
          <w:p>
            <w:pPr>
              <w:pStyle w:val="Caption"/>
            </w:pPr>
            <w:r>
              <w:t xml:space="preserve">Figura 1. Las cuatro capas del conocimiento clínico, la franja de incertidumbre que las atraviesa y el circuito de reevaluación que vuelve a la pregunta y a los hechos. La separación es funcional y gradual; no representa compartimentos ontológicos puros.</w:t>
            </w:r>
          </w:p>
        </w:tc>
      </w:tr>
    </w:tbl>
    <w:p>
      <w:pPr>
        <w:spacing w:after="60"/>
      </w:pPr>
    </w:p>
    <w:p>
      <w:pPr>
        <w:pStyle w:val="BodyJ"/>
      </w:pPr>
      <w:r>
        <w:t xml:space="preserve">Estas capas se mezclan con facilidad. Una nota puede escribir "neumonía aspirativa" donde sólo existen infiltrados pulmonares y un episodio de vómito; puede declarar "infección urinaria" ante bacteriuria en un paciente sondado sin evidencia clínica de infección;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El conocimiento clínico tiene capas —hechos, inferencias, incertidumbre, decisión— que se mezclan con facilidad; la lucidez consiste en mantenerlas separadas pero comunicadas.</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y el residente presenta a Carmen en el pase de visita: "Paciente séptica de foco abdominal, hernia complicada". El jefe de servicio mira la hoja de enfermería y hace una sola pregunta: "¿Qué de todo eso lo vio alguien y qué lo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llamamos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historia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volveremos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relleno capilar— y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exactamente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la hiperlactatemia que persiste no siempre es hipoperfusión que persiste —puede ser estrés adrenérgico, menor aclaramiento u otra cosa—, y perseguir el número puede inducir más reanimación de la que el paciente tolera (Hernández, Bellomo &amp; Bakker, 2019). Es la lección de este capítulo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Tres datos con forma de frase. La nota que los reduce a "dolor abdominal en paciente con hernia conocida" no ha mentido; ha destruido información.</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Canguilhem mostró que la medicina no describe simplemente desviaciones estadísticas: juzga relaciones entre el organismo, sus normas y su capacidad de habitar un medio (Canguilhem, 1991).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conviene escribir los hechos de modo trazable. Una formulación como "shock séptico abdominal" fusiona estado fisiológico, etiología y foco. Una versión más limpia separa: hipotensión con requerimiento de noradrenalina, hiperlactatemia y relleno capilar prolongado; hemocultivos con bacilos gramnegativos; episodio obstructivo por hernia incisional; sin perforación, isquemia ni estrangulación en tomografía. Recién después puede formularse el foco abdominal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ofrecen la misma verificabilidad externa. Puede distinguirse un ordenamiento: dato directamente medido y verificable; observación profesional reproducible; relato consistente del paciente o tercero; dato heredado de una nota anterior; y ausencia inferida porque algo no fue registrado. Este ordenamiento no jerarquiza el valor de las fuentes ni desacredita el relato — para el dolor, el cambio respecto del basal y las preferencias del paciente, el testimonio es la fuente primaria y la más pertinente (el capítulo 14 vuelve sobre esto).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609850"/>
                          </a:xfrm>
                          <a:prstGeom prst="rect">
                            <a:avLst/>
                          </a:prstGeom>
                        </pic:spPr>
                      </pic:pic>
                    </a:graphicData>
                  </a:graphic>
                </wp:inline>
              </w:drawing>
            </w:r>
          </w:p>
          <w:p>
            <w:pPr>
              <w:pStyle w:val="Caption"/>
            </w:pPr>
            <w:r>
              <w:t xml:space="preserve">Figura 2. Fuentes del hecho clínico: el eje ordena por verificabilidad externa directa, no por valor. Ninguna categoría es despreciable; cada una ofrece un acceso privilegiado distinto y exige un lenguaje distinto.</w:t>
            </w:r>
          </w:p>
        </w:tc>
      </w:tr>
    </w:tbl>
    <w:p>
      <w:pPr>
        <w:spacing w:after="60"/>
      </w:pPr>
    </w:p>
    <w:p>
      <w:pPr>
        <w:pStyle w:val="BodyJ"/>
      </w:pPr>
      <w:r>
        <w:t xml:space="preserve">Cada fuente conviene leerla por lo que sólo ella ofrece y por dónde suele fallar: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Fuente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Acceso privilegiado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Vulnerabilidad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Escritura recomendada</w:t>
            </w:r>
          </w:p>
        </w:tc>
      </w:tr>
      <w:tr>
        <w:tc>
          <w:tcPr>
            <w:tcW w:type="dxa" w:w="1750"/>
            <w:tcMar>
              <w:top w:type="dxa" w:w="60"/>
              <w:left w:type="dxa" w:w="100"/>
              <w:bottom w:type="dxa" w:w="60"/>
              <w:right w:type="dxa" w:w="100"/>
            </w:tcMar>
            <w:vAlign w:val="top"/>
          </w:tcPr>
          <w:p>
            <w:pPr>
              <w:spacing w:after="0"/>
            </w:pPr>
            <w:r>
              <w:rPr>
                <w:sz w:val="17"/>
                <w:szCs w:val="17"/>
              </w:rPr>
              <w:t xml:space="preserve">Medición instrumental</w:t>
            </w:r>
          </w:p>
        </w:tc>
        <w:tc>
          <w:tcPr>
            <w:tcW w:type="dxa" w:w="2150"/>
            <w:tcMar>
              <w:top w:type="dxa" w:w="60"/>
              <w:left w:type="dxa" w:w="100"/>
              <w:bottom w:type="dxa" w:w="60"/>
              <w:right w:type="dxa" w:w="100"/>
            </w:tcMar>
            <w:vAlign w:val="top"/>
          </w:tcPr>
          <w:p>
            <w:pPr>
              <w:spacing w:after="0"/>
            </w:pPr>
            <w:r>
              <w:rPr>
                <w:sz w:val="17"/>
                <w:szCs w:val="17"/>
              </w:rPr>
              <w:t xml:space="preserve">Cuantificación y tendencias</w:t>
            </w:r>
          </w:p>
        </w:tc>
        <w:tc>
          <w:tcPr>
            <w:tcW w:type="dxa" w:w="2560"/>
            <w:tcMar>
              <w:top w:type="dxa" w:w="60"/>
              <w:left w:type="dxa" w:w="100"/>
              <w:bottom w:type="dxa" w:w="60"/>
              <w:right w:type="dxa" w:w="100"/>
            </w:tcMar>
            <w:vAlign w:val="top"/>
          </w:tcPr>
          <w:p>
            <w:pPr>
              <w:spacing w:after="0"/>
            </w:pPr>
            <w:r>
              <w:rPr>
                <w:sz w:val="17"/>
                <w:szCs w:val="17"/>
              </w:rPr>
              <w:t xml:space="preserve">Error analítico, calibración, oportunidad</w:t>
            </w:r>
          </w:p>
        </w:tc>
        <w:tc>
          <w:tcPr>
            <w:tcW w:type="dxa" w:w="2560"/>
            <w:tcMar>
              <w:top w:type="dxa" w:w="60"/>
              <w:left w:type="dxa" w:w="100"/>
              <w:bottom w:type="dxa" w:w="60"/>
              <w:right w:type="dxa" w:w="100"/>
            </w:tcMar>
            <w:vAlign w:val="top"/>
          </w:tcPr>
          <w:p>
            <w:pPr>
              <w:spacing w:after="0"/>
            </w:pPr>
            <w:r>
              <w:rPr>
                <w:sz w:val="17"/>
                <w:szCs w:val="17"/>
              </w:rPr>
              <w:t xml:space="preserve">Método, fecha, unidad y tendencia</w:t>
            </w:r>
          </w:p>
        </w:tc>
      </w:tr>
      <w:tr>
        <w:tc>
          <w:tcPr>
            <w:tcW w:type="dxa" w:w="1750"/>
            <w:tcMar>
              <w:top w:type="dxa" w:w="60"/>
              <w:left w:type="dxa" w:w="100"/>
              <w:bottom w:type="dxa" w:w="60"/>
              <w:right w:type="dxa" w:w="100"/>
            </w:tcMar>
            <w:vAlign w:val="top"/>
          </w:tcPr>
          <w:p>
            <w:pPr>
              <w:spacing w:after="0"/>
            </w:pPr>
            <w:r>
              <w:rPr>
                <w:sz w:val="17"/>
                <w:szCs w:val="17"/>
              </w:rPr>
              <w:t xml:space="preserve">Observación profesional</w:t>
            </w:r>
          </w:p>
        </w:tc>
        <w:tc>
          <w:tcPr>
            <w:tcW w:type="dxa" w:w="2150"/>
            <w:tcMar>
              <w:top w:type="dxa" w:w="60"/>
              <w:left w:type="dxa" w:w="100"/>
              <w:bottom w:type="dxa" w:w="60"/>
              <w:right w:type="dxa" w:w="100"/>
            </w:tcMar>
            <w:vAlign w:val="top"/>
          </w:tcPr>
          <w:p>
            <w:pPr>
              <w:spacing w:after="0"/>
            </w:pPr>
            <w:r>
              <w:rPr>
                <w:sz w:val="17"/>
                <w:szCs w:val="17"/>
              </w:rPr>
              <w:t xml:space="preserve">Signos y patrones en contexto</w:t>
            </w:r>
          </w:p>
        </w:tc>
        <w:tc>
          <w:tcPr>
            <w:tcW w:type="dxa" w:w="2560"/>
            <w:tcMar>
              <w:top w:type="dxa" w:w="60"/>
              <w:left w:type="dxa" w:w="100"/>
              <w:bottom w:type="dxa" w:w="60"/>
              <w:right w:type="dxa" w:w="100"/>
            </w:tcMar>
            <w:vAlign w:val="top"/>
          </w:tcPr>
          <w:p>
            <w:pPr>
              <w:spacing w:after="0"/>
            </w:pPr>
            <w:r>
              <w:rPr>
                <w:sz w:val="17"/>
                <w:szCs w:val="17"/>
              </w:rPr>
              <w:t xml:space="preserve">Variabilidad interobservador</w:t>
            </w:r>
          </w:p>
        </w:tc>
        <w:tc>
          <w:tcPr>
            <w:tcW w:type="dxa" w:w="2560"/>
            <w:tcMar>
              <w:top w:type="dxa" w:w="60"/>
              <w:left w:type="dxa" w:w="100"/>
              <w:bottom w:type="dxa" w:w="60"/>
              <w:right w:type="dxa" w:w="100"/>
            </w:tcMar>
            <w:vAlign w:val="top"/>
          </w:tcPr>
          <w:p>
            <w:pPr>
              <w:spacing w:after="0"/>
            </w:pPr>
            <w:r>
              <w:rPr>
                <w:sz w:val="17"/>
                <w:szCs w:val="17"/>
              </w:rPr>
              <w:t xml:space="preserve">Quién observó, cuándo y en qué condiciones</w:t>
            </w:r>
          </w:p>
        </w:tc>
      </w:tr>
      <w:tr>
        <w:tc>
          <w:tcPr>
            <w:tcW w:type="dxa" w:w="1750"/>
            <w:tcMar>
              <w:top w:type="dxa" w:w="60"/>
              <w:left w:type="dxa" w:w="100"/>
              <w:bottom w:type="dxa" w:w="60"/>
              <w:right w:type="dxa" w:w="100"/>
            </w:tcMar>
            <w:vAlign w:val="top"/>
          </w:tcPr>
          <w:p>
            <w:pPr>
              <w:spacing w:after="0"/>
            </w:pPr>
            <w:r>
              <w:rPr>
                <w:sz w:val="17"/>
                <w:szCs w:val="17"/>
              </w:rPr>
              <w:t xml:space="preserve">Testimonio del paciente o del cuidador</w:t>
            </w:r>
          </w:p>
        </w:tc>
        <w:tc>
          <w:tcPr>
            <w:tcW w:type="dxa" w:w="2150"/>
            <w:tcMar>
              <w:top w:type="dxa" w:w="60"/>
              <w:left w:type="dxa" w:w="100"/>
              <w:bottom w:type="dxa" w:w="60"/>
              <w:right w:type="dxa" w:w="100"/>
            </w:tcMar>
            <w:vAlign w:val="top"/>
          </w:tcPr>
          <w:p>
            <w:pPr>
              <w:spacing w:after="0"/>
            </w:pPr>
            <w:r>
              <w:rPr>
                <w:sz w:val="17"/>
                <w:szCs w:val="17"/>
              </w:rPr>
              <w:t xml:space="preserve">Experiencia corporal, síntomas, basal</w:t>
            </w:r>
          </w:p>
        </w:tc>
        <w:tc>
          <w:tcPr>
            <w:tcW w:type="dxa" w:w="2560"/>
            <w:tcMar>
              <w:top w:type="dxa" w:w="60"/>
              <w:left w:type="dxa" w:w="100"/>
              <w:bottom w:type="dxa" w:w="60"/>
              <w:right w:type="dxa" w:w="100"/>
            </w:tcMar>
            <w:vAlign w:val="top"/>
          </w:tcPr>
          <w:p>
            <w:pPr>
              <w:spacing w:after="0"/>
            </w:pPr>
            <w:r>
              <w:rPr>
                <w:sz w:val="17"/>
                <w:szCs w:val="17"/>
              </w:rPr>
              <w:t xml:space="preserve">Memoria, lenguaje, interpretación</w:t>
            </w:r>
          </w:p>
        </w:tc>
        <w:tc>
          <w:tcPr>
            <w:tcW w:type="dxa" w:w="2560"/>
            <w:tcMar>
              <w:top w:type="dxa" w:w="60"/>
              <w:left w:type="dxa" w:w="100"/>
              <w:bottom w:type="dxa" w:w="60"/>
              <w:right w:type="dxa" w:w="100"/>
            </w:tcMar>
            <w:vAlign w:val="top"/>
          </w:tcPr>
          <w:p>
            <w:pPr>
              <w:spacing w:after="0"/>
            </w:pPr>
            <w:r>
              <w:rPr>
                <w:sz w:val="17"/>
                <w:szCs w:val="17"/>
              </w:rPr>
              <w:t xml:space="preserve">Conservar la fuente y, cuando importa, la expresión textual</w:t>
            </w:r>
          </w:p>
        </w:tc>
      </w:tr>
      <w:tr>
        <w:tc>
          <w:tcPr>
            <w:tcW w:type="dxa" w:w="1750"/>
            <w:tcMar>
              <w:top w:type="dxa" w:w="60"/>
              <w:left w:type="dxa" w:w="100"/>
              <w:bottom w:type="dxa" w:w="60"/>
              <w:right w:type="dxa" w:w="100"/>
            </w:tcMar>
            <w:vAlign w:val="top"/>
          </w:tcPr>
          <w:p>
            <w:pPr>
              <w:spacing w:after="0"/>
            </w:pPr>
            <w:r>
              <w:rPr>
                <w:sz w:val="17"/>
                <w:szCs w:val="17"/>
              </w:rPr>
              <w:t xml:space="preserve">Registro heredado</w:t>
            </w:r>
          </w:p>
        </w:tc>
        <w:tc>
          <w:tcPr>
            <w:tcW w:type="dxa" w:w="2150"/>
            <w:tcMar>
              <w:top w:type="dxa" w:w="60"/>
              <w:left w:type="dxa" w:w="100"/>
              <w:bottom w:type="dxa" w:w="60"/>
              <w:right w:type="dxa" w:w="100"/>
            </w:tcMar>
            <w:vAlign w:val="top"/>
          </w:tcPr>
          <w:p>
            <w:pPr>
              <w:spacing w:after="0"/>
            </w:pPr>
            <w:r>
              <w:rPr>
                <w:sz w:val="17"/>
                <w:szCs w:val="17"/>
              </w:rPr>
              <w:t xml:space="preserve">Trayectoria longitudinal</w:t>
            </w:r>
          </w:p>
        </w:tc>
        <w:tc>
          <w:tcPr>
            <w:tcW w:type="dxa" w:w="2560"/>
            <w:tcMar>
              <w:top w:type="dxa" w:w="60"/>
              <w:left w:type="dxa" w:w="100"/>
              <w:bottom w:type="dxa" w:w="60"/>
              <w:right w:type="dxa" w:w="100"/>
            </w:tcMar>
            <w:vAlign w:val="top"/>
          </w:tcPr>
          <w:p>
            <w:pPr>
              <w:spacing w:after="0"/>
            </w:pPr>
            <w:r>
              <w:rPr>
                <w:sz w:val="17"/>
                <w:szCs w:val="17"/>
              </w:rPr>
              <w:t xml:space="preserve">Pérdida de procedencia y copia</w:t>
            </w:r>
          </w:p>
        </w:tc>
        <w:tc>
          <w:tcPr>
            <w:tcW w:type="dxa" w:w="2560"/>
            <w:tcMar>
              <w:top w:type="dxa" w:w="60"/>
              <w:left w:type="dxa" w:w="100"/>
              <w:bottom w:type="dxa" w:w="60"/>
              <w:right w:type="dxa" w:w="100"/>
            </w:tcMar>
            <w:vAlign w:val="top"/>
          </w:tcPr>
          <w:p>
            <w:pPr>
              <w:spacing w:after="0"/>
            </w:pPr>
            <w:r>
              <w:rPr>
                <w:sz w:val="17"/>
                <w:szCs w:val="17"/>
              </w:rPr>
              <w:t xml:space="preserve">Autor, fecha y grado de verificación</w:t>
            </w:r>
          </w:p>
        </w:tc>
      </w:tr>
      <w:tr>
        <w:tc>
          <w:tcPr>
            <w:tcW w:type="dxa" w:w="1750"/>
            <w:tcMar>
              <w:top w:type="dxa" w:w="60"/>
              <w:left w:type="dxa" w:w="100"/>
              <w:bottom w:type="dxa" w:w="60"/>
              <w:right w:type="dxa" w:w="100"/>
            </w:tcMar>
            <w:vAlign w:val="top"/>
          </w:tcPr>
          <w:p>
            <w:pPr>
              <w:spacing w:after="0"/>
            </w:pPr>
            <w:r>
              <w:rPr>
                <w:sz w:val="17"/>
                <w:szCs w:val="17"/>
              </w:rPr>
              <w:t xml:space="preserve">Silencio documental</w:t>
            </w:r>
          </w:p>
        </w:tc>
        <w:tc>
          <w:tcPr>
            <w:tcW w:type="dxa" w:w="2150"/>
            <w:tcMar>
              <w:top w:type="dxa" w:w="60"/>
              <w:left w:type="dxa" w:w="100"/>
              <w:bottom w:type="dxa" w:w="60"/>
              <w:right w:type="dxa" w:w="100"/>
            </w:tcMar>
            <w:vAlign w:val="top"/>
          </w:tcPr>
          <w:p>
            <w:pPr>
              <w:spacing w:after="0"/>
            </w:pPr>
            <w:r>
              <w:rPr>
                <w:sz w:val="17"/>
                <w:szCs w:val="17"/>
              </w:rPr>
              <w:t xml:space="preserve">Ningún acceso positivo</w:t>
            </w:r>
          </w:p>
        </w:tc>
        <w:tc>
          <w:tcPr>
            <w:tcW w:type="dxa" w:w="2560"/>
            <w:tcMar>
              <w:top w:type="dxa" w:w="60"/>
              <w:left w:type="dxa" w:w="100"/>
              <w:bottom w:type="dxa" w:w="60"/>
              <w:right w:type="dxa" w:w="100"/>
            </w:tcMar>
            <w:vAlign w:val="top"/>
          </w:tcPr>
          <w:p>
            <w:pPr>
              <w:spacing w:after="0"/>
            </w:pPr>
            <w:r>
              <w:rPr>
                <w:sz w:val="17"/>
                <w:szCs w:val="17"/>
              </w:rPr>
              <w:t xml:space="preserve">Confundir «no consignado» con «ausente»</w:t>
            </w:r>
          </w:p>
        </w:tc>
        <w:tc>
          <w:tcPr>
            <w:tcW w:type="dxa" w:w="2560"/>
            <w:tcMar>
              <w:top w:type="dxa" w:w="60"/>
              <w:left w:type="dxa" w:w="100"/>
              <w:bottom w:type="dxa" w:w="60"/>
              <w:right w:type="dxa" w:w="100"/>
            </w:tcMar>
            <w:vAlign w:val="top"/>
          </w:tcPr>
          <w:p>
            <w:pPr>
              <w:spacing w:after="0"/>
            </w:pPr>
            <w:r>
              <w:rPr>
                <w:sz w:val="17"/>
                <w:szCs w:val="17"/>
              </w:rPr>
              <w:t xml:space="preserve">«No consignado» o «no evaluado»</w:t>
            </w:r>
          </w:p>
        </w:tc>
      </w:tr>
    </w:tbl>
    <w:p>
      <w:pPr>
        <w:spacing w:after="12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 El lenguaje debe impedir que ausencia de evidencia se transforme automáticamente en evidencia de ausencia.</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(7:15,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Medido, con hora y método: el hecho más sólido de la lista. (2) Observación profesional: sólida, pero reproducible sólo si consigna quién y cuándo examinó; en un abdomen que evoluciona, el examen de las 3:00 no cubre las 9:00. (3) Casi siempre heredado: pocas fichas registran quién documentó la alergia, cuándo y con qué reacción; merece la reescritura "alergia a penicilina referida por la paciente (rash, según recuerda; sin registro del episodio)". (4) Ausencia inferida o relato, según cómo se obtuvo: "niega sangrados previos" (relato) no equivale a "sin sangrados documentados en ficha" (revisión de registro). (5) Relato del paciente con material fenomenológico intacto: frágil como medición, valiosísimo como señal de cambio; consérvelo textual.</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la carpeta de Carmen, la tomografía informa: "hernia incisional con asas dilatadas, sin signos de isquemia ni perforación". El residente escribe: "TAC descarta complicación". Son siete palabras que transforman un informe radiológico en una sentencia. Este capítulo trata del salto —inevitable, necesario, riesgoso— entre lo que vemos y lo que concluimos.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no debe confundirse con amputación. "Mujer de 60 años con dolor abdominal" tiene poco poder discriminativo. "Mujer de 60 años con hernia incisional y episodios recurrentes de suboclusión, que presenta obstrucción aguda asociada a shock, bacteriemia por gramnegativos y recuperación con soporte hemodinámico y antibióticos, sin signos tomográficos de isquemia o perforación" conserva temporalidad, recurrencia, gravedad, evidencia microbiológica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La creatividad del diagnóstico: generar antes de podar</w:t>
      </w:r>
    </w:p>
    <w:p>
      <w:pPr>
        <w:pStyle w:val="BodyJ"/>
      </w:pPr>
      <w:r>
        <w:t xml:space="preserve">Hay una palabra que la epistemología clínica suele evitar, como si amenazara su seriedad: creatividad. Conviene devolverla al centro. Peirce, al bautizar la abducción en sus lecciones de 1903, la describió como la única operación lógica que introduce ideas nuevas: la deducción prueba lo que ya estaba contenido en las premisas y la inducción generaliza lo ya observado, pero la hipótesis que organiza un caso no se extrae de los datos — se conjetura hacia ellos. Todo diagnóstico contiene, en ese sentido estricto, un momento creativo. La pregunta no es si el clínico crea; es qué tan bien lo hace.</w:t>
      </w:r>
    </w:p>
    <w:p>
      <w:pPr>
        <w:pStyle w:val="BodyJ"/>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 considerar la colecistitis cuando la etiqueta heredada dice "ITU", el aneurisma cuando el patrón grita cólico renal. Visto así, el cierre prematuro no es sólo un fallo de verificación: es un fracaso de imaginación. Nadie puede descartar la hipótesis que nunca generó.</w:t>
      </w:r>
    </w:p>
    <w:p>
      <w:pPr>
        <w:pStyle w:val="BodyJ"/>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trabajamos sin verla (Bohm, 1996; Bohm &amp; Peat, 1987). Es exactamente el peligro de la fluidez que examinará el capítulo 6: el patrón conocido no sólo responde rápido — también impide percibir. Por eso varias herramientas de este libro que parecen puramente disciplinarias son, además, técnicas de creatividad: reformular el caso sin usar la etiqueta (capítulo 8) es un procedimiento para forzar la percepción de otro orden posible en los mismos hechos.</w:t>
      </w:r>
    </w:p>
    <w:p>
      <w:pPr>
        <w:pStyle w:val="BodyJ"/>
      </w:pPr>
      <w:r>
        <w:t xml:space="preserve">Schön mostró, por último, dónde vive la creatividad profesional más frecuente: no en resolver el problema dado, sino en plantearlo de nuevo —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pPr>
      <w:r>
        <w:t xml:space="preserve">Por eso a la generación le sigue, de inmediato, la prueba de resistencia: generar con libertad y podar con severidad no son virtudes rivales, sino las dos mitades del mismo juicio.</w:t>
      </w:r>
    </w:p>
    <w:p>
      <w:pPr>
        <w:pStyle w:val="TallerHead"/>
      </w:pPr>
      <w:r>
        <w:t xml:space="preserve">Taller 2B. Cinco hipótesis en tres minutos</w:t>
      </w:r>
    </w:p>
    <w:p>
      <w:pPr>
        <w:pStyle w:val="BodyJ"/>
      </w:pPr>
      <w:r>
        <w:t xml:space="preserve">Un paciente con EPOC conocido consulta por disnea que no ha respondido a dos rondas de broncodilatadores en urgencias. La saturación es 89%, la auscultación muestra escasas sibilancias. Tome tres minutos y un papel: (a) genere al menos cinco hipótesis sin censurar ninguna, (b) escriba una reformulación del problema que no use la palabra "EPOC", (c) recién entonces pode con las cuatro preguntas de la prueba de resistencia.</w:t>
      </w:r>
    </w:p>
    <w:p>
      <w:pPr>
        <w:pStyle w:val="BodyJ"/>
      </w:pPr>
      <w:r>
        <w:rPr>
          <w:i/>
          <w:iCs/>
        </w:rPr>
        <w:t xml:space="preserve">Solución comentada.</w:t>
      </w:r>
      <w:r>
        <w:t xml:space="preserve"> Una lista generativa razonable: tromboembolismo pulmonar (el EPOC es factor de riesgo, y las sibilancias escasas no explican la hipoxemia), neumotórax sobre bulas, insuficiencia cardiaca izquierda, neumonía en evolución, anemia, arritmia, derrame pleural, crisis de pánico superpuesta. La reformulación clave suele ser: "disnea desproporcionada a la obstrucción auscultada" — un problema distinto de "EPOC descompensado que no responde", porque abre el espacio donde viven el TEP y el neumotórax en vez de invitar a subir la dosis de lo mismo. Nótese el orden deliberado: primero volumen sin censura —la censura temprana es el mecanismo íntimo del cierre prematuro—, después poda severa. Tres minutos de generación cuestan menos que un día de anclaje.</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Por eso, el diagnóstico diferencial debe organizarse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versión defendible: "TAC sin signos de isquemia, perforación ni estrangulación </w:t>
      </w:r>
      <w:r>
        <w:rPr>
          <w:b/>
          <w:bCs/>
        </w:rPr>
        <w:t xml:space="preserve">en este momento</w:t>
      </w:r>
      <w:r>
        <w:t xml:space="preserve">; no excluye isquemia incipiente ni predice recurrencia. Con clínica y laboratorio actuales, baja probabilidad de complicación anatómica que exija cirugía de emergencia." La diferencia no es cosmética: "descarta complicación" cierra la vigilancia; la reescritura define qué se vigila (deterioro clínico, nuevo dolor desproporcionado, lactato en ascenso) y qué autoriza (no operar de urgencia ahora, no "no operar nunca").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Carmen está estable, afebril, con la sonda en declive. La familia pregunta: "¿Ya saben qué tuvo?". El equipo sabe muchas cosas: que hubo obstrucción, que hubo shock, que los hemocultivos crecieron gramnegativos, que la imagen no mostró isquemia. Y no sabe otras: por qué esta vez fue tan grave, si la bacteriemia vino del abdomen, cuándo volverá a obstruirse. "¿Ya saben qué tuvo?" tiene, en rigor, varias respuestas simultáneas. Este capítulo trata de cómo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095625"/>
                          </a:xfrm>
                          <a:prstGeom prst="rect">
                            <a:avLst/>
                          </a:prstGeom>
                        </pic:spPr>
                      </pic:pic>
                    </a:graphicData>
                  </a:graphic>
                </wp:inline>
              </w:drawing>
            </w:r>
          </w:p>
          <w:p>
            <w:pPr>
              <w:pStyle w:val="Caption"/>
            </w:pPr>
            <w:r>
              <w:t xml:space="preserve">Figura 3. Un mapa de la incertidumbre clínica (adaptado de la taxonomía de Han et al.): fuentes y objetos se combinan, y cada combinación pide una respuesta distinta.</w:t>
            </w:r>
          </w:p>
        </w:tc>
      </w:tr>
    </w:tbl>
    <w:p>
      <w:pPr>
        <w:spacing w:after="60"/>
      </w:pPr>
    </w:p>
    <w:p>
      <w:pPr>
        <w:pStyle w:val="BodyJ"/>
      </w:pPr>
      <w:r>
        <w:t xml:space="preserve">También conviene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hacemos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Decir "todo es incierto" no aporta. La incertidumbre útil es específica. Puede formularse así: el diagnóstico principal es probable, pero el mecanismo exacto no está demostrado; la infección parece poco probable, aunque no puede excluirse por ausencia de síntomas típicos; la imagen no muestra isquemia en este momento, pero no elimina el riesgo de recurrencia; la respuesta terapéutica apoya una hipótesis, sin ser específica de ella.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Quote1"/>
      </w:pPr>
      <w:r>
        <w:t xml:space="preserve">La incertidumbre no es el espacio vacío entre los hechos y la decisión; es una dimensión positiva del caso que debe describirse y gobernarse.</w:t>
      </w:r>
    </w:p>
    <w:p>
      <w:pPr>
        <w:pStyle w:val="BodyJ"/>
      </w:pPr>
      <w:r>
        <w:t xml:space="preserve">Una medicina lúcida no promete eliminar toda incertidumbre. Promete distinguir sus fuentes, comunicar su alcance, proteger al paciente de sus consecuencias y revisar la conducta cuando el mundo entregue nueva información.</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(revisar imagen, laboratorio, cronología) pero con residuo probablemente irreductible: puede quedar "no demostrado" sin bloquear ninguna decisión. (b) Reducible sólo en parte (cultivos, foco alternativo); importa porque cambia la duración antibiótica, no la conducta quirúrgica: incertidumbre tolerable con decisión robusta. (c) Irreductible por examen: sólo la evolución la aclarará; es la duda </w:t>
      </w:r>
      <w:r>
        <w:rPr>
          <w:b/>
          <w:bCs/>
        </w:rPr>
        <w:t xml:space="preserve">peligrosa</w:t>
      </w:r>
      <w:r>
        <w:t xml:space="preserve">, porque el error (esperar y que el próximo episodio sea peor) tiene el costo más alto. Domina la decisión. (d) Mixta: la evaluación preoperatoria la reduce; el resto es preferencia de Carmen —cuánto riesgo quirúrgico acepta hoy para evitar un riesgo obstructivo mañana—, es decir, valores. La clasificación no resuelve el caso: ordena qué se estudia, qué se vigila, qué se conversa y qué se tolera.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merece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el pase de sala, dos residentes presentan a la misma Carmen. Uno dice: "Paciente con hernia y sepsis, actualmente mejor". La otra dice: "Episodio obstructivo recurrente por hernia incisional, esta vez asociado a bacteriemia por gramnegativos, shock e hipoperfusión grave, con resolución bajo soporte y antibióticos y sin signos tomográficos de isquemia o perforación; la mayor gravedad redefine el riesgo de una nueva estrategia expectante". Los dos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mostró que la mirada clínica moderna se organizó mediante formas específicas de describir, localizar y correlacionar signos (Foucault, 1973;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BodyJ"/>
      </w:pPr>
      <w:r>
        <w:t xml:space="preserve">La densidad epistémica puede auditarse. Seis dimensiones concentran lo que una frase clínica pierde con más frecuencia: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Dimensión</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Pregunta de auditoría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Pérdida frecuente</w:t>
            </w:r>
          </w:p>
        </w:tc>
      </w:tr>
      <w:tr>
        <w:tc>
          <w:tcPr>
            <w:tcW w:type="dxa" w:w="1750"/>
            <w:tcMar>
              <w:top w:type="dxa" w:w="60"/>
              <w:left w:type="dxa" w:w="100"/>
              <w:bottom w:type="dxa" w:w="60"/>
              <w:right w:type="dxa" w:w="100"/>
            </w:tcMar>
            <w:vAlign w:val="top"/>
          </w:tcPr>
          <w:p>
            <w:pPr>
              <w:spacing w:after="0"/>
            </w:pPr>
            <w:r>
              <w:rPr>
                <w:sz w:val="17"/>
                <w:szCs w:val="17"/>
              </w:rPr>
              <w:t xml:space="preserve">Procedencia</w:t>
            </w:r>
          </w:p>
        </w:tc>
        <w:tc>
          <w:tcPr>
            <w:tcW w:type="dxa" w:w="2150"/>
            <w:tcMar>
              <w:top w:type="dxa" w:w="60"/>
              <w:left w:type="dxa" w:w="100"/>
              <w:bottom w:type="dxa" w:w="60"/>
              <w:right w:type="dxa" w:w="100"/>
            </w:tcMar>
            <w:vAlign w:val="top"/>
          </w:tcPr>
          <w:p>
            <w:pPr>
              <w:spacing w:after="0"/>
            </w:pPr>
            <w:r>
              <w:rPr>
                <w:sz w:val="17"/>
                <w:szCs w:val="17"/>
              </w:rPr>
              <w:t xml:space="preserve">¿De dónde proviene el dato?</w:t>
            </w:r>
          </w:p>
        </w:tc>
        <w:tc>
          <w:tcPr>
            <w:tcW w:type="dxa" w:w="2560"/>
            <w:tcMar>
              <w:top w:type="dxa" w:w="60"/>
              <w:left w:type="dxa" w:w="100"/>
              <w:bottom w:type="dxa" w:w="60"/>
              <w:right w:type="dxa" w:w="100"/>
            </w:tcMar>
            <w:vAlign w:val="top"/>
          </w:tcPr>
          <w:p>
            <w:pPr>
              <w:spacing w:after="0"/>
            </w:pPr>
            <w:r>
              <w:rPr>
                <w:sz w:val="17"/>
                <w:szCs w:val="17"/>
              </w:rPr>
              <w:t xml:space="preserve">Información heredada presentada como observada</w:t>
            </w:r>
          </w:p>
        </w:tc>
      </w:tr>
      <w:tr>
        <w:tc>
          <w:tcPr>
            <w:tcW w:type="dxa" w:w="1750"/>
            <w:tcMar>
              <w:top w:type="dxa" w:w="60"/>
              <w:left w:type="dxa" w:w="100"/>
              <w:bottom w:type="dxa" w:w="60"/>
              <w:right w:type="dxa" w:w="100"/>
            </w:tcMar>
            <w:vAlign w:val="top"/>
          </w:tcPr>
          <w:p>
            <w:pPr>
              <w:spacing w:after="0"/>
            </w:pPr>
            <w:r>
              <w:rPr>
                <w:sz w:val="17"/>
                <w:szCs w:val="17"/>
              </w:rPr>
              <w:t xml:space="preserve">Temporalidad</w:t>
            </w:r>
          </w:p>
        </w:tc>
        <w:tc>
          <w:tcPr>
            <w:tcW w:type="dxa" w:w="2150"/>
            <w:tcMar>
              <w:top w:type="dxa" w:w="60"/>
              <w:left w:type="dxa" w:w="100"/>
              <w:bottom w:type="dxa" w:w="60"/>
              <w:right w:type="dxa" w:w="100"/>
            </w:tcMar>
            <w:vAlign w:val="top"/>
          </w:tcPr>
          <w:p>
            <w:pPr>
              <w:spacing w:after="0"/>
            </w:pPr>
            <w:r>
              <w:rPr>
                <w:sz w:val="17"/>
                <w:szCs w:val="17"/>
              </w:rPr>
              <w:t xml:space="preserve">¿Cuándo ocurrió y cómo cambió?</w:t>
            </w:r>
          </w:p>
        </w:tc>
        <w:tc>
          <w:tcPr>
            <w:tcW w:type="dxa" w:w="2560"/>
            <w:tcMar>
              <w:top w:type="dxa" w:w="60"/>
              <w:left w:type="dxa" w:w="100"/>
              <w:bottom w:type="dxa" w:w="60"/>
              <w:right w:type="dxa" w:w="100"/>
            </w:tcMar>
            <w:vAlign w:val="top"/>
          </w:tcPr>
          <w:p>
            <w:pPr>
              <w:spacing w:after="0"/>
            </w:pPr>
            <w:r>
              <w:rPr>
                <w:sz w:val="17"/>
                <w:szCs w:val="17"/>
              </w:rPr>
              <w:t xml:space="preserve">«Estable», «resuelto» o «recurrente» sin referente</w:t>
            </w:r>
          </w:p>
        </w:tc>
      </w:tr>
      <w:tr>
        <w:tc>
          <w:tcPr>
            <w:tcW w:type="dxa" w:w="1750"/>
            <w:tcMar>
              <w:top w:type="dxa" w:w="60"/>
              <w:left w:type="dxa" w:w="100"/>
              <w:bottom w:type="dxa" w:w="60"/>
              <w:right w:type="dxa" w:w="100"/>
            </w:tcMar>
            <w:vAlign w:val="top"/>
          </w:tcPr>
          <w:p>
            <w:pPr>
              <w:spacing w:after="0"/>
            </w:pPr>
            <w:r>
              <w:rPr>
                <w:sz w:val="17"/>
                <w:szCs w:val="17"/>
              </w:rPr>
              <w:t xml:space="preserve">Transparencia inferencial</w:t>
            </w:r>
          </w:p>
        </w:tc>
        <w:tc>
          <w:tcPr>
            <w:tcW w:type="dxa" w:w="2150"/>
            <w:tcMar>
              <w:top w:type="dxa" w:w="60"/>
              <w:left w:type="dxa" w:w="100"/>
              <w:bottom w:type="dxa" w:w="60"/>
              <w:right w:type="dxa" w:w="100"/>
            </w:tcMar>
            <w:vAlign w:val="top"/>
          </w:tcPr>
          <w:p>
            <w:pPr>
              <w:spacing w:after="0"/>
            </w:pPr>
            <w:r>
              <w:rPr>
                <w:sz w:val="17"/>
                <w:szCs w:val="17"/>
              </w:rPr>
              <w:t xml:space="preserve">¿Dónde comienza la interpretación?</w:t>
            </w:r>
          </w:p>
        </w:tc>
        <w:tc>
          <w:tcPr>
            <w:tcW w:type="dxa" w:w="2560"/>
            <w:tcMar>
              <w:top w:type="dxa" w:w="60"/>
              <w:left w:type="dxa" w:w="100"/>
              <w:bottom w:type="dxa" w:w="60"/>
              <w:right w:type="dxa" w:w="100"/>
            </w:tcMar>
            <w:vAlign w:val="top"/>
          </w:tcPr>
          <w:p>
            <w:pPr>
              <w:spacing w:after="0"/>
            </w:pPr>
            <w:r>
              <w:rPr>
                <w:sz w:val="17"/>
                <w:szCs w:val="17"/>
              </w:rPr>
              <w:t xml:space="preserve">Diagnóstico o mecanismo escrito como hecho</w:t>
            </w:r>
          </w:p>
        </w:tc>
      </w:tr>
      <w:tr>
        <w:tc>
          <w:tcPr>
            <w:tcW w:type="dxa" w:w="1750"/>
            <w:tcMar>
              <w:top w:type="dxa" w:w="60"/>
              <w:left w:type="dxa" w:w="100"/>
              <w:bottom w:type="dxa" w:w="60"/>
              <w:right w:type="dxa" w:w="100"/>
            </w:tcMar>
            <w:vAlign w:val="top"/>
          </w:tcPr>
          <w:p>
            <w:pPr>
              <w:spacing w:after="0"/>
            </w:pPr>
            <w:r>
              <w:rPr>
                <w:sz w:val="17"/>
                <w:szCs w:val="17"/>
              </w:rPr>
              <w:t xml:space="preserve">Calibración modal</w:t>
            </w:r>
          </w:p>
        </w:tc>
        <w:tc>
          <w:tcPr>
            <w:tcW w:type="dxa" w:w="2150"/>
            <w:tcMar>
              <w:top w:type="dxa" w:w="60"/>
              <w:left w:type="dxa" w:w="100"/>
              <w:bottom w:type="dxa" w:w="60"/>
              <w:right w:type="dxa" w:w="100"/>
            </w:tcMar>
            <w:vAlign w:val="top"/>
          </w:tcPr>
          <w:p>
            <w:pPr>
              <w:spacing w:after="0"/>
            </w:pPr>
            <w:r>
              <w:rPr>
                <w:sz w:val="17"/>
                <w:szCs w:val="17"/>
              </w:rPr>
              <w:t xml:space="preserve">¿La fuerza verbal corresponde al respaldo?</w:t>
            </w:r>
          </w:p>
        </w:tc>
        <w:tc>
          <w:tcPr>
            <w:tcW w:type="dxa" w:w="2560"/>
            <w:tcMar>
              <w:top w:type="dxa" w:w="60"/>
              <w:left w:type="dxa" w:w="100"/>
              <w:bottom w:type="dxa" w:w="60"/>
              <w:right w:type="dxa" w:w="100"/>
            </w:tcMar>
            <w:vAlign w:val="top"/>
          </w:tcPr>
          <w:p>
            <w:pPr>
              <w:spacing w:after="0"/>
            </w:pPr>
            <w:r>
              <w:rPr>
                <w:sz w:val="17"/>
                <w:szCs w:val="17"/>
              </w:rPr>
              <w:t xml:space="preserve">«Demostrado», «descartado», «secundario a»</w:t>
            </w:r>
          </w:p>
        </w:tc>
      </w:tr>
      <w:tr>
        <w:tc>
          <w:tcPr>
            <w:tcW w:type="dxa" w:w="1750"/>
            <w:tcMar>
              <w:top w:type="dxa" w:w="60"/>
              <w:left w:type="dxa" w:w="100"/>
              <w:bottom w:type="dxa" w:w="60"/>
              <w:right w:type="dxa" w:w="100"/>
            </w:tcMar>
            <w:vAlign w:val="top"/>
          </w:tcPr>
          <w:p>
            <w:pPr>
              <w:spacing w:after="0"/>
            </w:pPr>
            <w:r>
              <w:rPr>
                <w:sz w:val="17"/>
                <w:szCs w:val="17"/>
              </w:rPr>
              <w:t xml:space="preserve">Relevancia decisional</w:t>
            </w:r>
          </w:p>
        </w:tc>
        <w:tc>
          <w:tcPr>
            <w:tcW w:type="dxa" w:w="2150"/>
            <w:tcMar>
              <w:top w:type="dxa" w:w="60"/>
              <w:left w:type="dxa" w:w="100"/>
              <w:bottom w:type="dxa" w:w="60"/>
              <w:right w:type="dxa" w:w="100"/>
            </w:tcMar>
            <w:vAlign w:val="top"/>
          </w:tcPr>
          <w:p>
            <w:pPr>
              <w:spacing w:after="0"/>
            </w:pPr>
            <w:r>
              <w:rPr>
                <w:sz w:val="17"/>
                <w:szCs w:val="17"/>
              </w:rPr>
              <w:t xml:space="preserve">¿Por qué importa ahora?</w:t>
            </w:r>
          </w:p>
        </w:tc>
        <w:tc>
          <w:tcPr>
            <w:tcW w:type="dxa" w:w="2560"/>
            <w:tcMar>
              <w:top w:type="dxa" w:w="60"/>
              <w:left w:type="dxa" w:w="100"/>
              <w:bottom w:type="dxa" w:w="60"/>
              <w:right w:type="dxa" w:w="100"/>
            </w:tcMar>
            <w:vAlign w:val="top"/>
          </w:tcPr>
          <w:p>
            <w:pPr>
              <w:spacing w:after="0"/>
            </w:pPr>
            <w:r>
              <w:rPr>
                <w:sz w:val="17"/>
                <w:szCs w:val="17"/>
              </w:rPr>
              <w:t xml:space="preserve">Inventario correcto sin consecuencia práctica</w:t>
            </w:r>
          </w:p>
        </w:tc>
      </w:tr>
      <w:tr>
        <w:tc>
          <w:tcPr>
            <w:tcW w:type="dxa" w:w="1750"/>
            <w:tcMar>
              <w:top w:type="dxa" w:w="60"/>
              <w:left w:type="dxa" w:w="100"/>
              <w:bottom w:type="dxa" w:w="60"/>
              <w:right w:type="dxa" w:w="100"/>
            </w:tcMar>
            <w:vAlign w:val="top"/>
          </w:tcPr>
          <w:p>
            <w:pPr>
              <w:spacing w:after="0"/>
            </w:pPr>
            <w:r>
              <w:rPr>
                <w:sz w:val="17"/>
                <w:szCs w:val="17"/>
              </w:rPr>
              <w:t xml:space="preserve">Revisabilidad</w:t>
            </w:r>
          </w:p>
        </w:tc>
        <w:tc>
          <w:tcPr>
            <w:tcW w:type="dxa" w:w="2150"/>
            <w:tcMar>
              <w:top w:type="dxa" w:w="60"/>
              <w:left w:type="dxa" w:w="100"/>
              <w:bottom w:type="dxa" w:w="60"/>
              <w:right w:type="dxa" w:w="100"/>
            </w:tcMar>
            <w:vAlign w:val="top"/>
          </w:tcPr>
          <w:p>
            <w:pPr>
              <w:spacing w:after="0"/>
            </w:pPr>
            <w:r>
              <w:rPr>
                <w:sz w:val="17"/>
                <w:szCs w:val="17"/>
              </w:rPr>
              <w:t xml:space="preserve">¿Qué haría cambiar la formulación o la conducta?</w:t>
            </w:r>
          </w:p>
        </w:tc>
        <w:tc>
          <w:tcPr>
            <w:tcW w:type="dxa" w:w="2560"/>
            <w:tcMar>
              <w:top w:type="dxa" w:w="60"/>
              <w:left w:type="dxa" w:w="100"/>
              <w:bottom w:type="dxa" w:w="60"/>
              <w:right w:type="dxa" w:w="100"/>
            </w:tcMar>
            <w:vAlign w:val="top"/>
          </w:tcPr>
          <w:p>
            <w:pPr>
              <w:spacing w:after="0"/>
            </w:pPr>
            <w:r>
              <w:rPr>
                <w:sz w:val="17"/>
                <w:szCs w:val="17"/>
              </w:rPr>
              <w:t xml:space="preserve">Plan sin plazo, responsable ni criterio de reapertura</w:t>
            </w:r>
          </w:p>
        </w:tc>
      </w:tr>
    </w:tbl>
    <w:p>
      <w:pPr>
        <w:spacing w:after="120"/>
      </w:pPr>
    </w:p>
    <w:p>
      <w:pPr>
        <w:pStyle w:val="BodyJ"/>
      </w:pPr>
      <w:r>
        <w:t xml:space="preserve">La lista funciona como pauta de lectura, no como puntaje: la densidad epistémica es un ideal regulativo de escritura y razonamiento, no una escala validada ni una propiedad cuantificada de manera reproducible. Las doce preguntas del Apéndice B son su versión aplicada al caso en curso.</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mostró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TallerHead"/>
      </w:pPr>
      <w:r>
        <w:t xml:space="preserve">Caja de herramientas. Dos filósofos para la frase clínica</w:t>
      </w:r>
    </w:p>
    <w:p>
      <w:pPr>
        <w:pStyle w:val="BodyJ"/>
      </w:pPr>
      <w:r>
        <w:t xml:space="preserve">Dos aportes del siglo XX describen con precisión lo que este capítulo pide. El primero es de J. L. Austin: hay enunciados que no describen el mundo sino que hacen cosas en él — prometer, sentenciar, declarar (Austin, 1962). Buena parte del lenguaje clínico es performativo en ese sentido exacto: "se decide alta", "se descarta abdomen agudo" o "paciente no reanimable" no informan un estado de cosas; dan de alta, suspenden una vigilancia, fijan un límite de tratamiento. Por eso la exigencia de este capítulo no es estilística: una frase que hace cosas debe responder por lo que hace, no sólo por lo que dice. La pregunta de Austin, trasladada a la ficha: ¿qué acaba de hacer esta oración — y con qué derecho?</w:t>
      </w:r>
    </w:p>
    <w:p>
      <w:pPr>
        <w:pStyle w:val="BodyJ"/>
      </w:pPr>
      <w:r>
        <w:t xml:space="preserve">El segundo es de Stephen Toulmin, que propuso la anatomía mínima de toda afirmación práctica: un dato, una conclusión, la garantía que autoriza pasar del uno a la otra, el respaldo de esa garantía, un calificador modal que gradúa la fuerza ("probablemente", "salvo que…") y las condiciones de refutación (Toulmin, 1958). La frase medular de este libro es, sin habérselo propuesto, un argumento de Toulmin comprimido: hechos (dato), inferencia graduada (conclusión con calificador), incertidumbre crítica (refutación posible) y decisión (lo que la garantía autoriza a hacer). Escribir "bacteriemia por gramnegativos en contexto de obstrucción: foco abdominal altamente probable, salvo hallazgo alternativo en imagen" es exhibir la anatomía completa; escribir "sepsis abdominal" es esconderla. Toulmin, que décadas después defendió junto a Jonsen la casuística clínica como forma legítima de razonamiento moral (Jonsen &amp; Toulmin, 1988), habría reconocido en la ficha bien escrita a su silogismo práctico favorito.</w:t>
      </w:r>
    </w:p>
    <w:p>
      <w:pPr>
        <w:pStyle w:val="Heading3"/>
        <w:spacing w:after="120" w:before="280"/>
      </w:pPr>
      <w:r>
        <w:rPr>
          <w:rFonts w:ascii="Georgia" w:cs="Georgia" w:eastAsia="Georgia" w:hAnsi="Georgia"/>
          <w:b/>
          <w:bCs/>
          <w:color w:val="2B2B2B"/>
          <w:sz w:val="25"/>
          <w:szCs w:val="25"/>
        </w:rPr>
        <w:t xml:space="preserve">Verbos que ocultan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Heading3"/>
        <w:spacing w:after="120" w:before="280"/>
      </w:pPr>
      <w:r>
        <w:rPr>
          <w:rFonts w:ascii="Georgia" w:cs="Georgia" w:eastAsia="Georgia" w:hAnsi="Georgia"/>
          <w:b/>
          <w:bCs/>
          <w:color w:val="2B2B2B"/>
          <w:sz w:val="25"/>
          <w:szCs w:val="25"/>
        </w:rPr>
        <w:t xml:space="preserve">Frases operativas</w:t>
      </w:r>
    </w:p>
    <w:p>
      <w:pPr>
        <w:pStyle w:val="BodyJ"/>
      </w:pPr>
      <w:r>
        <w:t xml:space="preserve">Una frase operativa enlaza comprensión con acción. No prescribe necesariamente una conducta única, pero explica por qué cambia el umbral. "Tercer episodio de suboclusión" informa recurrencia; "primer episodio complicado por shock y bacteriemia" informa un cambio cualitativo; "sin evidencia de isquemia actual" limita la urgencia anatómica; "riesgo de nueva recurrencia potencialmente grave" informa la oportunidad de resolución electiva.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estructura gramatical puede mostrar o esconder causalidad. "Shock séptico por hernia" comprime una cadena compleja en una preposición. "Shock con bacteriemia por gramnegativos, temporalmente asociado a obstrucción por hernia; foco abdominal probable, mecanismo exacto no demostrado" separa observación, asociación e inferencia causal. La segunda formulación es más larga, pero también más auditable.</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sin evidencia de TEP; probabilidad clínica pretest baja: no se justifica más estudio por ahora" —el método, su resultado y la decisión por umbral quedan separados. (2) "Infiltrado con mejoría clínica bajo antibióticos, soporte y kinesioterapia simultáneos; etiología bacteriana probable, no demostrada" —la respuesta terapéutica es un hecho; su atribución causal, una inferencia. (3) "Responde con monosílabos; refiere dolor 8/10 y no durmió; evaluación limitada por dolor no controlado" —el adjetivo moral se sustituye por observaciones y una causa verificable. (4) "Bacteriuria en usuario de sonda, sin síndrome clínico atribuible: no se trata; vigilancia según criterios explícitos" —la etiqueta "ITU" activaba antibióticos que los hechos no piden. (5) "Objetivo del manejo médico era X durante Y días; se alcanzó/no se alcanzó Z; el balance cambia por W" —"fracaso" sin objetivo, plazo ni desenlace es retórica, no evaluación.</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Al tercer día, la becada del servicio reescribe la evaluación de Carmen usando lo que esta parte del libro ha ido separando. Su versión:</w:t>
      </w:r>
    </w:p>
    <w:p>
      <w:pPr>
        <w:pStyle w:val="BodyJ"/>
      </w:pPr>
      <w:r>
        <w:rPr>
          <w:i/>
          <w:iCs/>
        </w:rPr>
        <w:t xml:space="preserve">Hechos.</w:t>
      </w:r>
      <w:r>
        <w:t xml:space="preserve"> Cuarto episodio obstructivo en doce meses en hernia incisional conocida (tres previos resueltos con manejo médico, según fichas de esos ingresos). Este episodio: hipotensión con requerimiento de noradrenalina por 36 horas, lactato máximo 6,0 (7:15 del ingreso, arterial), relleno capilar 5 segundos documentado por enfermería, hemocultivos 2/2 con bacilos gramnegativos (identificación pendiente), TAC de ingreso sin signos de isquemia, perforación ni estrangulación. Afebril y sin drogas vasoactivas desde hace 24 horas. Refiere, textual: "esta vez la hernia no se dejó acomodar, el dolor era otro".</w:t>
      </w:r>
    </w:p>
    <w:p>
      <w:pPr>
        <w:pStyle w:val="BodyJ"/>
      </w:pPr>
      <w:r>
        <w:rPr>
          <w:i/>
          <w:iCs/>
        </w:rPr>
        <w:t xml:space="preserve">Inferencias.</w:t>
      </w:r>
      <w:r>
        <w:t xml:space="preserve"> Obstrucción intestinal por hernia incisional: demostrada. Foco abdominal de la bacteriemia: probable (secuencia temporal y microbiología compatible; sin foco alternativo evidente); mecanismo exacto —¿translocación?, ¿isquemia transitoria no captada?— no demostrado. Gravedad de este episodio: cualitativamente distinta de los previos (primer shock, primera bacteriemia).</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merece confianza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sentí con total nitidez: un cólico renal típico, dolor lumbar irradiado, un paciente joven que se retorcía. Estaba tan seguro que casi no examiné el abdomen. El aneurisma lo encontró el ecografista de la mañana. Desde entonces distingo dos preguntas que esa noche confundí: "¿qué tan seguro me siento?" y "¿qué tan probable es que esté en lo cierto?". Este capítulo trata de la diferencia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4.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5. Curva de calibración: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 ser buen juez de las propias respuestas en un ámbito no garantiza serlo en otro. La letra chica también importa: estas medidas exigen decenas de juicios comparables con desenlace conocido, exactamente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cólico renal de aquella noche tenía todas las claves de la fluidez: el patrón era típico, yo lo había visto muchas veces, el relato era coherente. Ninguna de esas claves medía lo único que importaba: la probabilidad de que otra enfermedad estuviera imitando el patrón. La pregunta productiva no es "¿debo confiar en mi intuición?", sino "¿qué condiciones hacen confiable esta intuición?". La validez aumenta cuando el ambiente posee regularidades estables, existe experiencia extensa y hubo retroalimentación oportuna. Disminuye en dominios raros, cambiantes, con feedback demorado o señales engañosas.</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son parte de su materia. Tajer ha mostrado cómo atraviesan incluso la fisiopatología de aquello que tratamos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Y vigilan, sobre todo, al momento más fértil y más frágil del razonamiento: la conjetura abductiva del capítulo 2. La abducción propone explicaciones con una velocidad que ningún método iguala; el monitoreo es lo que impide que la primera propuesta cómoda se quede con el caso sin haberlo ganado.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Conviene fijar la división del trabajo: el monitoreo detecta — la fluidez que se rompe, el dato que no encaja, la emoción que desentona con el caso —; el control decide qué hacer con la señal — releer datos, reformular el problema, buscar una alternativa, pedir una segunda opinión, posponer una decisión reversible, intensificar vigilancia o actuar pese a la duda cuando el costo de esperar es alto. Detectar sin decidir es rumia; decidir sin haber detectado es piloto automático. Y la estrategia elegida debe corresponder a la fuente de la incertidumbre: la duda que nace de un dato débil se trata verificando el dato; la que nace de una representación pobre, reformulando el problema; la que nace del cansancio o del apuro, con un segundo lector.</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BodyJ"/>
      </w:pPr>
      <w:r>
        <w:t xml:space="preserve">Hay algo más que la palabra "metacognición" puede ocultar si se la toma demasiado literalmente: la vigilancia del propio juicio es sólo en parte introspectiva. Muchas de sus mejores señales vienen de afuera — la ceja de la enfermera que conoce al paciente hace años, la pregunta del interno que no logró entender la síntesis (y quizá no había nada coherente que entender), la madre que insiste, el kinesiólogo que encuentra "distinto" al señor de la cama 12. Monitorear el propio pensamiento incluye leer esas señales como datos sobre el razonamiento, no como interferencias en él. La metacognición clínica es, en ese sentido, parcialmente social; el capítulo 13 la despliega a escala de equipo.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respuesta correcta: el ejercicio produce el dato que la práctica cotidiana casi nunca devuelve. Los patrones típicos que emergen: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¿Cuándo fue la última vez que supe el desenlace de un paciente que di de alta con diagnóstico incierto?</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en decir "esta hernia hay que operarla electivamente, pero no hoy". Un interno que la acompañaba anotó la conclusión; lo que no pudo anotar fue el proceso, porque la cirujana misma no habría podido enumerarlo completo: algo en la consistencia del abdomen, en la curva del lactato, en haber operado doscientas hernias parecidas. Este capítulo trata de ese conocimiento que funciona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BodyJ"/>
      </w:pPr>
      <w:r>
        <w:t xml:space="preserve">Schön agregó el movimiento que a Polanyi le faltaba nombrar: el profesional competente no sólo actúa desde lo tácito — conversa con la situación y, cuando ésta responde con una sorpresa, reflexiona en plena acción (Schön, 1983). Ahí está la tensión productiva entre ambos: lo tácito es el modo normal de operar de la pericia, pero debe poder volverse explícito a demanda, porque sólo lo explícito puede ser interrogado, enseñado y corregido. Una intuición que no tolera la pregunta "¿qué estás viendo que yo no veo?" no es pericia madura: es autoridad con buena prensa. La intuición experta vale precisamente porque puede ser interrogada — y quien la despliega sin poder desempaquetarla está pidiendo fe, no ofreciendo juicio.</w:t>
      </w:r>
    </w:p>
    <w:p>
      <w:pPr>
        <w:pStyle w:val="Heading3"/>
        <w:spacing w:after="120" w:before="280"/>
      </w:pPr>
      <w:r>
        <w:rPr>
          <w:rFonts w:ascii="Georgia" w:cs="Georgia" w:eastAsia="Georgia" w:hAnsi="Georgia"/>
          <w:b/>
          <w:bCs/>
          <w:color w:val="2B2B2B"/>
          <w:sz w:val="25"/>
          <w:szCs w:val="25"/>
        </w:rPr>
        <w:t xml:space="preserve">Dos procesos, no dos médicos</w:t>
      </w:r>
    </w:p>
    <w:p>
      <w:pPr>
        <w:pStyle w:val="BodyJ"/>
      </w:pPr>
      <w:r>
        <w:t xml:space="preserve">Las teorías de doble proceso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Heading3"/>
        <w:spacing w:after="120" w:before="280"/>
      </w:pPr>
      <w:r>
        <w:rPr>
          <w:rFonts w:ascii="Georgia" w:cs="Georgia" w:eastAsia="Georgia" w:hAnsi="Georgia"/>
          <w:b/>
          <w:bCs/>
          <w:color w:val="2B2B2B"/>
          <w:sz w:val="25"/>
          <w:szCs w:val="25"/>
        </w:rPr>
        <w:t xml:space="preserve">Phronesis</w:t>
      </w:r>
    </w:p>
    <w:p>
      <w:pPr>
        <w:pStyle w:val="BodyJ"/>
      </w:pPr>
      <w:r>
        <w:t xml:space="preserve">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(Aristotle, 2009).</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¿Cuándo confiar, entonces, en la primera impresión? La respuesta menos romántica salió del debate entre el programa de los sesgos y el de la pericia naturalista, que terminó en un acuerdo célebre: la intuición es confiable cuando se formó en un entorno de validez alta — regularidades estables entre señales y desenlaces — y con oportunidad real de aprenderlas, es decir, feedback oportuno y veraz; sin esas dos condiciones la sensación de saber crece igual, pero sin correlato (Kahneman &amp; Klein, 2009). La clínica contiene ambos mundos. La sala de reanimación y la lectura de patrones radiológicos entrenan intuiciones con feedback rápido; la consulta de síntomas inespecíficos cuyos desenlaces nadie vuelve a ver produce fluidez sin calibración — la sobreconfianza del capítulo 5, fabricada por el entorno. La pregunta operativa frente a la propia seguridad no es "¿cuánta experiencia tengo?", sino "¿en qué entorno se formó esta impresión, y quién me avisó cuando fallé?".</w:t>
      </w:r>
    </w:p>
    <w:p>
      <w:pPr>
        <w:pStyle w:val="BodyJ"/>
      </w:pPr>
      <w:r>
        <w:t xml:space="preserve">La enseñanza de la pericia no puede consistir sólo en transmitir conclusiones. Debe hacer visible qué características fueron decisivas, qué alternativas fueron descartadas, qué incertidumbres permanecieron y qué señal habría obligado a cambiar. Cuando el interno le preguntó a la cirujana cómo lo supo tan rápido, ella hizo el ejercicio: la gravedad fisiológica sin correlato anatómico en la imagen, la recurrencia acelerándose, el abdomen que "avisa pero todavía no exige". El razonamiento del experto necesita ser desempaquetado para que el aprendiz no copie únicamente su seguridad.</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mayor, traída por su hija, con decaimiento y orina turbia. La nota de urgencias decía "ITU a repetición"; el urocultivo del ingreso salió positivo. Indiqué el antibiótico, anoté "ITU, evolución favorable esperable" y pasé al siguiente ingreso. Al tercer día, la paciente seguía decaída; al cuarto hizo fiebre y el abdomen se defendió: colecistitis aguda, ya complicada. Durante años conté esta historia como "me anclé". Hoy creo que esa etiqueta, aunque correcta, era otra forma de cierre prematuro: nombrar el sesgo me eximía de reconstruir cómo se produjo el error —una nota heredada con autoridad de hecho, un cultivo que confirmaba lo que yo ya creía, una sala llena, un abdomen que examiné mal porque no esperaba encontrar nada. Este capítulo trata de esa reconstrucción.</w:t>
      </w:r>
    </w:p>
    <w:p>
      <w:pPr>
        <w:pStyle w:val="Heading3"/>
        <w:spacing w:after="120" w:before="280"/>
      </w:pPr>
      <w:r>
        <w:rPr>
          <w:rFonts w:ascii="Georgia" w:cs="Georgia" w:eastAsia="Georgia" w:hAnsi="Georgia"/>
          <w:b/>
          <w:bCs/>
          <w:color w:val="2B2B2B"/>
          <w:sz w:val="25"/>
          <w:szCs w:val="25"/>
        </w:rPr>
        <w:t xml:space="preserve">El atractivo de nombrar el sesgo</w:t>
      </w:r>
    </w:p>
    <w:p>
      <w:pPr>
        <w:pStyle w:val="BodyJ"/>
      </w:pPr>
      <w:r>
        <w:t xml:space="preserve">La literatura sobre heurísticas y sesgos transformó nuestra comprensión del juicio. Tversky y Kahneman mostraron que estimamos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w:t>
      </w:r>
    </w:p>
    <w:p>
      <w:pPr>
        <w:pStyle w:val="Heading3"/>
        <w:spacing w:after="120" w:before="280"/>
      </w:pPr>
      <w:r>
        <w:rPr>
          <w:rFonts w:ascii="Georgia" w:cs="Georgia" w:eastAsia="Georgia" w:hAnsi="Georgia"/>
          <w:b/>
          <w:bCs/>
          <w:color w:val="2B2B2B"/>
          <w:sz w:val="25"/>
          <w:szCs w:val="25"/>
        </w:rPr>
        <w:t xml:space="preserve">Error como trayectoria</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la colecistitis, reconstruido como trayectoria, tiene por lo menos cinco estaciones: una frase heredada ("ITU a repetición") que llegó con estatus de antecedente; un dato confirmatorio (urocultivo) que en una paciente mayor con sondajes previos confirmaba mucho menos de lo que yo le atribuí; un examen abdominal hecho para no encontrar; dos días de evolución "atípica" que reinterpreté para que encajara ("las viejitas responden lento"); y la ausencia de cualquier disparador externo —una pausa, una pregunta de otro, un criterio de reevaluación escrito— que me obligara a mirar de nuevo. El "anclaje" está ahí, pero el error es la trayectoria completa. La responsabilidad cognitiva individual no desaparece; se vuelve contextual.</w:t>
      </w: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señal</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Heading3"/>
        <w:spacing w:after="120" w:before="280"/>
      </w:pPr>
      <w:r>
        <w:rPr>
          <w:rFonts w:ascii="Georgia" w:cs="Georgia" w:eastAsia="Georgia" w:hAnsi="Georgia"/>
          <w:b/>
          <w:bCs/>
          <w:color w:val="2B2B2B"/>
          <w:sz w:val="25"/>
          <w:szCs w:val="25"/>
        </w:rPr>
        <w:t xml:space="preserve">Sobreconfianza</w:t>
      </w:r>
    </w:p>
    <w:p>
      <w:pPr>
        <w:pStyle w:val="BodyJ"/>
      </w:pPr>
      <w:r>
        <w:t xml:space="preserve">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mayor con sondajes previos, la bacteriuria tiene alta prevalencia basal; confirma poco cuando la probabilidad pretest de otra causa es sustancial. (3) El día 3: "sigue decaída" se convirtió en "responde lento", una reinterpretación que inmunizaba la hipótesis. (4) Dos barreras baratas: un criterio de reevaluación escrito al indicar el antibiótico ("si no mejora en 48 h, reexaminar abdomen y ampliar estudio") y una pausa de pase de visita con la pregunta "¿qué no explica la ITU?" —el decaimiento desproporcionado no lo explicaba. El ejercicio termina cuando puede formular la barrera, no cuando encuentra al culpable.</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Reflexión y desaceleración selectiva</w:t>
      </w:r>
    </w:p>
    <w:p>
      <w:pPr>
        <w:pStyle w:val="BodyJ"/>
      </w:pPr>
      <w:r>
        <w:t xml:space="preserve">En el pase de las 8:00, el caso de la sala 12 se presenta en cuarenta segundos: "pielonefritis en tratamiento, afebril, buena respuesta". La jefa de sala mira dos segundos la hoja y dice: "Preséntenmelo de nuevo, pero sin usar la palabra pielonefritis". El residente empieza: "Paciente sondado, afebril, hemodinámicamente estable, con orina turbia, piuria y urocultivo positivo, sin síntomas urinarios evaluables por lesión medular, con marcadores inflamatorios elevados y una neoplasia activa como explicación alternativa...". A la tercera frase, ya nadie en la sala está seguro del diagnóstico. Ese es exactamente el punto.</w:t>
      </w:r>
    </w:p>
    <w:p>
      <w:pPr>
        <w:pStyle w:val="Heading3"/>
        <w:spacing w:after="120" w:before="280"/>
      </w:pPr>
      <w:r>
        <w:rPr>
          <w:rFonts w:ascii="Georgia" w:cs="Georgia" w:eastAsia="Georgia" w:hAnsi="Georgia"/>
          <w:b/>
          <w:bCs/>
          <w:color w:val="2B2B2B"/>
          <w:sz w:val="25"/>
          <w:szCs w:val="25"/>
        </w:rPr>
        <w:t xml:space="preserve">Reflexionar no es rumiar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Heading3"/>
        <w:spacing w:after="120" w:before="280"/>
      </w:pPr>
      <w:r>
        <w:rPr>
          <w:rFonts w:ascii="Georgia" w:cs="Georgia" w:eastAsia="Georgia" w:hAnsi="Georgia"/>
          <w:b/>
          <w:bCs/>
          <w:color w:val="2B2B2B"/>
          <w:sz w:val="25"/>
          <w:szCs w:val="25"/>
        </w:rPr>
        <w:t xml:space="preserve">Cuándo desacelerar</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y decisión irreversible con evidencia débil.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puede incorporarse a rondas, altas y transferencias.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el paciente de su lista actual cuyo diagnóstico lleva más días sin discutirse. Preséntelo por escrito en cinco líneas sin usar el diagnóstico de trabajo ni sus sinónimos. Luego responda: ¿qué dato reapareció que la etiqueta tenía subordinado?, ¿qué hipótesis alternativa se volvió formulable?, ¿la conducta actual sigue siendo la mejor para la nueva descripción?</w:t>
      </w:r>
    </w:p>
    <w:p>
      <w:pPr>
        <w:pStyle w:val="BodyJ"/>
      </w:pPr>
      <w:r>
        <w:rPr>
          <w:i/>
          <w:iCs/>
        </w:rPr>
        <w:t xml:space="preserve">Solución comentada.</w:t>
      </w:r>
      <w:r>
        <w:t xml:space="preserve"> El ejercicio funciona por sustracción: la etiqueta organiza la percepción, y quitarla obliga a re-observar. En el caso de la sala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historia clínica de Carmen registra qué se hizo. No registra —casi ninguna ficha lo hace— cómo se pensó. Reconstruyámoslo.</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dos disparadores concretos se activaron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hernias la autorizaban a decir "electiva,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la confianza. En la reunión de la tarde, la internista hizo una pregunta que rara vez se hace en voz alta: "¿Qué tan seguros estamos de que la bacteriemia es de foco abdominal? ¿Ochenta por ciento? ¿Noventa y cinco?". El número exacto importaba menos que el efecto: al ponerle cifra, el equipo descubrió que su seguridad venía sobre todo de la coherencia narrativa —la historia se contaba bien— y no de haber excluido el foco urinario ni revisado el catéter. Diez minutos de trabajo redujeron una incertidumbre que la retórica había tapado.</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traducirse a una persona (capítulo 9), la decisión por umbrales donde los valores entran al cálculo y los ensayos se leen con su marco a la vista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pPr>
      <w:r>
        <w:t xml:space="preserve">El ensayo clínico dice: "la reparación electiva de hernia incisional reduce la recurrencia obstructiva en pacientes comparables". La paciente de la cama 7 tiene 61 años, una recuperación reciente de un shock séptico, un EPOC moderado y una pregunta simple: "¿Y si no me opero?". Entre el ensayo y la respuesta hay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La validez externa no es una propiedad binaria del estudio. Es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cuando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La singularidad no autoriza la arbitrariedad</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w:t>
      </w:r>
    </w:p>
    <w:p>
      <w:pPr>
        <w:pStyle w:val="BodyJ"/>
      </w:pPr>
      <w:r>
        <w:t xml:space="preserve">Una formulación responsable podría distinguir: evidencia de eficacia; evidencia de seguridad; semejanza del paciente con la población; factores que aumentan o disminuyen el efecto esperado; preferencias; y condiciones locales de implementación. Esta separación evita dos excesos simétricos: el positivismo ingenuo que cree que el estudio decide por sí solo y el particularismo romántico que presenta la intuición del médico como conocimiento inaccesible a examen.</w:t>
      </w:r>
    </w:p>
    <w:p>
      <w:pPr>
        <w:pStyle w:val="BodyJ"/>
      </w:pPr>
      <w:r>
        <w:t xml:space="preserve">La medicina clínica utiliza además evidencia que no siempre ocupa la parte superior de una pirámide: evolución temporal, respuesta previa, patrones fisiopatológicos, datos locales, factibilidad y experiencia técnica. Su menor jerarquía para estimar causalidad poblacional no la vuelve irrelevante para una decisión individual. La pregunta correcta es qué función epistémica cumple cada fuente y qué error puede corregir o introducir.</w:t>
      </w:r>
    </w:p>
    <w:p>
      <w:pPr>
        <w:pStyle w:val="Heading3"/>
        <w:spacing w:after="120" w:before="280"/>
      </w:pPr>
      <w:r>
        <w:rPr>
          <w:rFonts w:ascii="Georgia" w:cs="Georgia" w:eastAsia="Georgia" w:hAnsi="Georgia"/>
          <w:b/>
          <w:bCs/>
          <w:color w:val="2B2B2B"/>
          <w:sz w:val="25"/>
          <w:szCs w:val="25"/>
        </w:rPr>
        <w:t xml:space="preserve">Evidencia local y aprendizaje del caso</w:t>
      </w:r>
    </w:p>
    <w:p>
      <w:pPr>
        <w:pStyle w:val="BodyJ"/>
      </w:pPr>
      <w:r>
        <w:t xml:space="preserve">La evidencia externa convive con conocimiento local: epidemiología, disponibilidad diagnóstica, tiempos de traslado, perfiles de resistencia, experiencia técnica y capacidad de seguimiento. Estos datos pueden modificar la decisión sin contradecir un estudio. Su legitimidad depende de que sean explícitos y actualizables, no simples tradiciones institucionales.</w:t>
      </w:r>
    </w:p>
    <w:p>
      <w:pPr>
        <w:pStyle w:val="BodyJ"/>
      </w:pPr>
      <w:r>
        <w:t xml:space="preserve">El paciente también genera evidencia longitudinal sobre sí mismo. Respuestas previas, recurrencias, efectos adversos y preferencias estables constituyen información relevante, aunque no equivalgan a un ensayo N-of-1 formal. El desafío es evitar atribuciones causales fáciles: la mejoría posterior a una intervención no demuestra que haya sido causada por ella, especialmente cuando coexisten historia natural y tratamientos simultáneos.</w:t>
      </w:r>
    </w:p>
    <w:p>
      <w:pPr>
        <w:pStyle w:val="BodyJ"/>
      </w:pPr>
      <w:r>
        <w:t xml:space="preserve">Una deliberación bien formulada puede declarar: qué proviene de estudios; qué se extrapola; qué aporta la historia individual; qué depende del contexto local; y qué permanece desconocido. Esa estratificación protege tanto contra la obediencia automática a la evidencia como contra su rechazo anecdótico. La competencia metacognitiva consiste en reconocer cuándo se está citando un resultado, cuándo se está extrapolando, cuándo se está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Un resultado de investigación es un hecho sobre una población; su aplicabilidad a esta persona es una inferencia que debe hacerse explícita — traducir no es obedecer al estudio ni improvisar contra él.</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¿Qué rasgo concreto de este caso modifica la inferencia poblacional — y puedo nombrarlo, o sólo lo intuyo?</w:t>
      </w:r>
    </w:p>
    <w:p>
      <w:pPr>
        <w:pStyle w:val="BodyJ"/>
        <w:numPr>
          <w:ilvl w:val="0"/>
          <w:numId w:val="15"/>
        </w:numPr>
      </w:pPr>
      <w:r>
        <w:t xml:space="preserve">¿Qué conocimiento local (resistencias, tiempos, capacidad de seguimiento) está modificando mi decisión sin estar declarado en ninguna parte?</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lectura de la evidencia</w:t>
      </w:r>
    </w:p>
    <w:p>
      <w:pPr>
        <w:pStyle w:val="BodyJ"/>
      </w:pPr>
      <w:r>
        <w:t xml:space="preserve">Supongamos resuelto lo anterior: la evidencia está traducida, la probabilidad estimada, el caso representado. Queda la pregunta que ninguna estimación responde sola: ¿y ahora qué hacemos? Este capítulo trata del tramo final — donde la probabilidad se encuentra con las consecuencias, los valores entran al cálculo sin pedir permiso, la decisión técnica se cruza con la bioética, y hasta la lectura de un ensayo resulta ser una decisión.</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6.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toleramos más falsos positivos para reducir omisiones. En un tratamiento tóxico o irreversible, exigimos mayor evidencia. La incertidumbre diagnóstica debe traducirse en una matriz de consecuencias.</w:t>
      </w:r>
    </w:p>
    <w:p>
      <w:pPr>
        <w:pStyle w:val="BodyJ"/>
      </w:pPr>
      <w:r>
        <w:t xml:space="preserve">Considere la obstrucción recurrente de Carmen. La ausencia de isquemia en la imagen reduce la indicación de cirugía de emergencia, pero un episodio actual con shock y bacteriemia puede modificar el balance de una reparación electiva. La decisión no depende sólo de si hubo estrangulación demostrada; depende de la gravedad alcanzada, recurrencia, aptitud fisiológica futura y mortalidad potencial de un nuevo episodio.</w:t>
      </w: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Heather Douglas llamó a esto riesgo inductivo y mostró que atraviesa toda la ciencia con consecuencias prácticas: cuánta evidencia exigimos antes de afirmar que un compuesto es tóxico depende de qué error —afirmar de más o afirmar de menos— produce más daño (Douglas, 2000).</w:t>
      </w:r>
    </w:p>
    <w:p>
      <w:pPr>
        <w:pStyle w:val="BodyJ"/>
      </w:pPr>
      <w:r>
        <w:t xml:space="preserve">La clínica es el caso extremo y más honesto de esta tesis. El umbral de Pauker y Kassirer es exactamente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sino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Pocas historias recientes muestran mejor cómo se lee —y se relee— la evidencia. En 2019, un ensayo multicéntrico conducido desde una red latinoamericana de investigación en medicina intensiva comparó dos blancos para reanimar el shock séptico: normalizar el lactato o normalizar el relleno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es el riesgo inductivo de la sección anterior, institucionalizado en un número.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relleno capilar era superior al cuidado habitual (Hernández et al., 2025). La saga deja tres lecciones para este capítulo: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este libro escribe.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2705100"/>
                          </a:xfrm>
                          <a:prstGeom prst="rect">
                            <a:avLst/>
                          </a:prstGeom>
                        </pic:spPr>
                      </pic:pic>
                    </a:graphicData>
                  </a:graphic>
                </wp:inline>
              </w:drawing>
            </w:r>
          </w:p>
          <w:p>
            <w:pPr>
              <w:pStyle w:val="Caption"/>
            </w:pPr>
            <w:r>
              <w:t xml:space="preserve">Figura 7. Una década sobre un mismo dato: la saga ANDROMEDA. El mismo programa de investigación atraviesa un ensayo "negativo", su relectura bayesiana y una segunda prueba más severa — la trayectoria completa que este capítulo propone como modelo de lectura de la evidencia.</w:t>
            </w:r>
          </w:p>
        </w:tc>
      </w:tr>
    </w:tbl>
    <w:p>
      <w:pPr>
        <w:spacing w:after="60"/>
      </w:pPr>
    </w:p>
    <w:p>
      <w:pPr>
        <w:pStyle w:val="Heading3"/>
        <w:spacing w:after="120" w:before="280"/>
      </w:pPr>
      <w:r>
        <w:rPr>
          <w:rFonts w:ascii="Georgia" w:cs="Georgia" w:eastAsia="Georgia" w:hAnsi="Georgia"/>
          <w:b/>
          <w:bCs/>
          <w:color w:val="2B2B2B"/>
          <w:sz w:val="25"/>
          <w:szCs w:val="25"/>
        </w:rPr>
        <w:t xml:space="preserve">Tiempo y reversibilidad</w:t>
      </w:r>
    </w:p>
    <w:p>
      <w:pPr>
        <w:pStyle w:val="BodyJ"/>
      </w:pPr>
      <w:r>
        <w:t xml:space="preserve">La misma probabilidad conduce a decisiones distintas según el tiempo. Cuando el daño progresa rápidamente, el valor de esperar información disminuye. Cuando la conducta es reversible, puede iniciarse con un umbral menor y reevaluarse. Cuando es irreversible, la deliberación debe ser más exigente.</w:t>
      </w:r>
    </w:p>
    <w:p>
      <w:pPr>
        <w:pStyle w:val="BodyJ"/>
      </w:pPr>
      <w:r>
        <w:t xml:space="preserve">Una forma práctica de pensar incluye cinco dimensiones: probabilidad, magnitud del daño, velocidad de evolución, reversibilidad de la intervención y capacidad de vigilancia. La observación activa no es "no hacer nada" si incluye objetivos, plazos y criterios de escalamiento. Del mismo modo, iniciar tratamiento empírico no significa declarar certeza etiológica.</w:t>
      </w:r>
    </w:p>
    <w:p>
      <w:pPr>
        <w:pStyle w:val="Heading3"/>
        <w:spacing w:after="120" w:before="280"/>
      </w:pPr>
      <w:r>
        <w:rPr>
          <w:rFonts w:ascii="Georgia" w:cs="Georgia" w:eastAsia="Georgia" w:hAnsi="Georgia"/>
          <w:b/>
          <w:bCs/>
          <w:color w:val="2B2B2B"/>
          <w:sz w:val="25"/>
          <w:szCs w:val="25"/>
        </w:rPr>
        <w:t xml:space="preserve">Decisiones correctas con desenlaces adversos</w:t>
      </w:r>
    </w:p>
    <w:p>
      <w:pPr>
        <w:pStyle w:val="BodyJ"/>
      </w:pPr>
      <w:r>
        <w:t xml:space="preserve">Evaluar una decisión sólo por su resultado produce sesgo. Un médico puede actuar racionalmente con la información disponible y enfrentar un desenlace improbable. También puede tomar una decisión débil y obtener buen resultado por evolución favorable. La calidad debe juzgarse por proceso: representación, alternativas, estimación de consecuencias, comunicación, seguimiento y revisabilidad.</w:t>
      </w:r>
    </w:p>
    <w:p>
      <w:pPr>
        <w:pStyle w:val="BodyJ"/>
      </w:pPr>
      <w:r>
        <w:t xml:space="preserve">Esto tiene implicancias éticas. Reconocer incertidumbre no disminuye responsabilidad; la hace más precisa. El médico es responsable de buscar la información razonablemente accesible, interpretar con competencia, comunicar límites y establecer una estrategia de reevaluación. No es responsable de volver determinista un mundo que no lo es.</w:t>
      </w:r>
    </w:p>
    <w:p>
      <w:pPr>
        <w:pStyle w:val="Heading3"/>
        <w:spacing w:after="120" w:before="280"/>
      </w:pPr>
      <w:r>
        <w:rPr>
          <w:rFonts w:ascii="Georgia" w:cs="Georgia" w:eastAsia="Georgia" w:hAnsi="Georgia"/>
          <w:b/>
          <w:bCs/>
          <w:color w:val="2B2B2B"/>
          <w:sz w:val="25"/>
          <w:szCs w:val="25"/>
        </w:rPr>
        <w:t xml:space="preserve">El cruce con la bioética: el contexto global del paciente como hecho clínico</w:t>
      </w:r>
    </w:p>
    <w:p>
      <w:pPr>
        <w:pStyle w:val="BodyJ"/>
      </w:pPr>
      <w:r>
        <w:t xml:space="preserve">Hasta aquí, este capítulo pudo leerse como si decidir fuera un problema de dos variables: probabilidad y consecuencias. La bioética obliga a hacer explícita la pregunta que esa fórmula esconde: ¿consecuencias para quién, medidas en qué moneda? Una intervención terapéutica no actúa sobre una enfermedad; actúa sobre una persona que,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pPr>
      <w:r>
        <w:t xml:space="preserve">El error más frecuente en ese cruce tiene forma epistémica antes que moral: tratar la indicación como una propiedad de la enfermedad y no como una relación entre la intervención y este enfermo. "La estenosis aórtica severa sintomática tiene indicación de reemplazo valvular" es una frase verdadera sobre una población. Que este hombre de 88 años —frágil, con deterioro cognitivo incipiente, dos hospitalizaciones en el semestre y una hija que ya no puede cuidarlo— vaya a vivir mejor con el reemplazo es otra afirmación, que exige otros hechos. Es la distinción del capítulo 9 entre el efecto promedio y el caso singular, ahora con su carga moral a la vista: lo que se pierde cuando se omite el contexto no es sólo precisión; es el paciente.</w:t>
      </w:r>
    </w:p>
    <w:p>
      <w:pPr>
        <w:pStyle w:val="BodyJ"/>
      </w:pPr>
      <w:r>
        <w:t xml:space="preserve">Conviene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 la lección del capítulo siguiente,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BodyJ"/>
      </w:pPr>
      <w:r>
        <w:t xml:space="preserve">La bioética clínica ofrece herramientas de trabajo para este cruce, y la más difundida tiene un aire de familia con HII-D. Jonsen, Siegler y Winslade propusieron ordenar todo caso en cuatro tópicos: indicaciones médicas, preferencias del paciente, calidad de vida y rasgos contextuales —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exactamente qué conversación falta.</w:t>
      </w:r>
    </w:p>
    <w:p>
      <w:pPr>
        <w:pStyle w:val="BodyJ"/>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 y por eso depende por completo de la calidad epistémica que este libro viene trabajando: un pronóstico inflado por certeza retórica no produce una decisión más esperanzadora; produce un juicio de proporcionalidad falso. La segunda es la deliberación como método (Gracia, 2001): cuando los valores entran en conflicto, la decisión no se calcula, se delibera —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 "hacer todo", "no hacer nada" — casi nunca son los prudentes, y suelen ser los que se eligen cuando nadie deliberó.</w:t>
      </w:r>
    </w:p>
    <w:p>
      <w:pPr>
        <w:pStyle w:val="BodyJ"/>
      </w:pPr>
      <w:r>
        <w:t xml:space="preserve">El lector encontrará este cruce ejecutado dos veces en este libro sin la palabra "bioética": en la conversación donde la cirujana recomienda operar a Carmen y le devuelve la decisión (Interludio III), y en la viñeta del final de la vida, donde la incertidumbre que domina no es pronóstica sino de metas (Cuaderno de casos, viñeta 7).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 estaba en el principio, decidiendo qué se mira. Una decisión que ignoró la funcionalidad, el pronóstico de fondo y la red de apoyo no es más "objetiva" por haberse limitado a lo técnico: es más incompleta. Le faltan hechos, no sólo sensibilidad.</w:t>
      </w:r>
    </w:p>
    <w:p>
      <w:pPr>
        <w:pStyle w:val="Heading3"/>
        <w:spacing w:after="120" w:before="280"/>
      </w:pPr>
      <w:r>
        <w:rPr>
          <w:rFonts w:ascii="Georgia" w:cs="Georgia" w:eastAsia="Georgia" w:hAnsi="Georgia"/>
          <w:b/>
          <w:bCs/>
          <w:color w:val="2B2B2B"/>
          <w:sz w:val="25"/>
          <w:szCs w:val="25"/>
        </w:rPr>
        <w:t xml:space="preserve">Certeza epistémica y compromiso práctico</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Quote1"/>
      </w:pPr>
      <w:r>
        <w:t xml:space="preserve">La decisión clínica no exige convertir una probabilidad en certeza; exige justificar por qué, bajo esa probabilidad y esas consecuencias, actuar supera a no actuar.</w:t>
      </w:r>
    </w:p>
    <w:p>
      <w:pPr>
        <w:pStyle w:val="TallerHead"/>
      </w:pPr>
      <w:r>
        <w:t xml:space="preserve">Taller 10.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estimación intuitiva suele quedar muy por encima: cuando Casscells y colaboradores plantearon un problema análogo a médicos y estudiantes de Harvard, la respuesta más frecuente fue 95% donde la correcta rondaba el 2% — el error clásico de ignorar la probabilidad previa (Casscells et al., 1978;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8. El cálculo del Taller 10 en frecuencias naturales: de 270 resultados positivos, sólo 90 corresponden a la enfermedad. La probabilidad postest (33%) queda lejos de la certeza que la intuición atribuye a una "prueba positiva".</w:t>
            </w:r>
          </w:p>
        </w:tc>
      </w:tr>
    </w:tbl>
    <w:p>
      <w:pPr>
        <w:spacing w:after="60"/>
      </w:pPr>
    </w:p>
    <w:p>
      <w:pPr>
        <w:pStyle w:val="TallerHead"/>
      </w:pPr>
      <w:r>
        <w:t xml:space="preserve">Taller 10B. Las cuatro casillas en cinco minutos</w:t>
      </w:r>
    </w:p>
    <w:p>
      <w:pPr>
        <w:pStyle w:val="BodyJ"/>
      </w:pPr>
      <w:r>
        <w:t xml:space="preserve">Elija un paciente actual de su servicio con una decisión de intervención pendiente — cirugía, diálisis, ventilación mecánica, nueva línea oncológica. Dibuje cuatro casillas: indicaciones médicas, preferencias del paciente, calidad de vida, rasgos contextuales. Llénelas en cinco minutos con lo que sabe hoy, sin abrir la ficha. Luego ábrala y verifique: ¿qué casilla quedó vacía — y ese vacío es del caso o de su conocimiento del caso?</w:t>
      </w:r>
    </w:p>
    <w:p>
      <w:pPr>
        <w:pStyle w:val="BodyJ"/>
      </w:pPr>
      <w:r>
        <w:rPr>
          <w:i/>
          <w:iCs/>
        </w:rPr>
        <w:t xml:space="preserve">Solución comentada.</w:t>
      </w:r>
      <w:r>
        <w:t xml:space="preserve"> El ejercicio suele producir dos hallazgos. Primero: la casilla de indicaciones se llena sola y las otras tres exhiben lagunas que no son opiniones faltantes sino hechos faltantes — nadie preguntó quién vive con el paciente; la funcionalidad basal dice "previamente autovalente" sin que nadie la haya explorado; las preferencias son una presunción de la familia, no una cita del enfermo. Segundo: las cuatro casillas rara vez cambian la intervención; cambian la conversación — con quién falta hablar, qué falta saber, qué está decidiendo el equipo por inercia. Y cuando las casillas están completas y la decisión sigue en disputa, eso también es información: el caso ya no necesita más exámenes; necesita deliberación y, a veces, tiempo.</w:t>
      </w:r>
    </w:p>
    <w:p>
      <w:pPr>
        <w:pStyle w:val="EnUnaFrase"/>
      </w:pPr>
      <w:r>
        <w:rPr>
          <w:b/>
          <w:bCs/>
        </w:rPr>
        <w:t xml:space="preserve">En una frase.</w:t>
      </w:r>
      <w:r>
        <w:t xml:space="preserve"> Decidir sin certeza no es un mal menor: es la forma normal del juicio clínico cuando trabaja bien — umbrales explícitos, valores declarados, el contexto global del paciente dentro del cálculo y ensayos leídos con su marco inferencial a la vista.</w:t>
      </w:r>
    </w:p>
    <w:p>
      <w:pPr>
        <w:pStyle w:val="BodyJ"/>
        <w:spacing w:after="80" w:before="160"/>
      </w:pPr>
      <w:r>
        <w:rPr>
          <w:b/>
          <w:bCs/>
        </w:rPr>
        <w:t xml:space="preserve">Tres preguntas para la próxima visita.</w:t>
      </w:r>
    </w:p>
    <w:p>
      <w:pPr>
        <w:pStyle w:val="BodyJ"/>
        <w:numPr>
          <w:ilvl w:val="0"/>
          <w:numId w:val="16"/>
        </w:numPr>
      </w:pPr>
      <w:r>
        <w:t xml:space="preserve">¿Cuál es el umbral implícito de mi decisión: qué probabilidad de estar equivocado la haría cambiar?</w:t>
      </w:r>
    </w:p>
    <w:p>
      <w:pPr>
        <w:pStyle w:val="BodyJ"/>
        <w:numPr>
          <w:ilvl w:val="0"/>
          <w:numId w:val="16"/>
        </w:numPr>
      </w:pPr>
      <w:r>
        <w:t xml:space="preserve">¿Estoy exigiendo certeza diagnóstica donde bastaría compromiso práctico, o actuando para no tolerar una duda?</w:t>
      </w:r>
    </w:p>
    <w:p>
      <w:pPr>
        <w:pStyle w:val="BodyJ"/>
        <w:numPr>
          <w:ilvl w:val="0"/>
          <w:numId w:val="16"/>
        </w:numPr>
      </w:pPr>
      <w:r>
        <w:t xml:space="preserve">El último ensayo "negativo" que cité: ¿mostró ausencia de efecto o ausencia de significación — y traté esa diferencia como si no existiera?</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dice en cada pase de visita y casi nunca se pregunta: ¿mejor que cuándo?, ¿mejor en qué variable?, ¿mejor a qué velocidad? Un lactato de 3 puede ser una buena noticia (venía de 6) o una pésima (venía de 1,5). Este capítulo trata del tiempo: la dimensión donde los hechos clínicos cambian de significado sin cambiar de valor.</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es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punto de inflexión no es sólo otro dato: redefine el riesgo de estrategias futuras. La frase clínica medular debe hacerlo visible.</w:t>
      </w:r>
    </w:p>
    <w:p>
      <w:pPr>
        <w:pStyle w:val="BodyJ"/>
      </w:pPr>
      <w:r>
        <w:t xml:space="preserve">Por ejemplo: "Cuarto episodio obstructivo en un año, esta vez asociado a bacteriemia e hipoperfusión grave, lo que modifica el balance previo favorable al manejo expectante." La frase no afirma que una nueva recurrencia será necesariamente fatal. Expresa que la historia observada ha cambiado la inferencia pronóstica y, con ella, el umbral de intervención.</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11. La observación activa, por escrito</w:t>
      </w:r>
    </w:p>
    <w:p>
      <w:pPr>
        <w:pStyle w:val="BodyJ"/>
      </w:pPr>
      <w:r>
        <w:t xml:space="preserve">Un paciente con dolor abdominal inespecífico y laboratorio tranquilizador quedará "en observación". Redacte la indicación en no más de cuatro líneas, de modo que la observación sea una intervención diagnóstica y no una postergación.</w:t>
      </w:r>
    </w:p>
    <w:p>
      <w:pPr>
        <w:pStyle w:val="BodyJ"/>
      </w:pPr>
      <w:r>
        <w:rPr>
          <w:i/>
          <w:iCs/>
        </w:rPr>
        <w:t xml:space="preserve">Solución comentada.</w:t>
      </w:r>
      <w:r>
        <w:t xml:space="preserve"> Una versión defendible: "Observación activa por dolor abdominal no filiado, con probabilidad baja pero no excluida de causa quirúrgica. Reevaluación médica dirigida a las 4 h (o antes si dolor creciente, vómitos, fiebre o taquicardia sostenida); control de laboratorio a las 6 h; si el dolor localiza, aparece defensa o el paciente no tolera vía oral, avisar de inmediato y repetir imagen. Si a las 8 h permanece asintomático y camina sin dolor, alta con instrucciones escritas de reconsulta." La estructura tiene los cuatro elementos: qué se espera aprender (evolución del dolor), en qué plazo (4–8 h), qué se vigila (variables nombradas, con responsable implícito) y qué constituye salida en ambas direcciones (escalar o alta). Compárese con "control según evolución", la fórmula que delega en la suerte lo que debía organizar 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7"/>
        </w:numPr>
      </w:pPr>
      <w:r>
        <w:t xml:space="preserve">"Está mejor": ¿mejor que cuándo, en qué variable y a qué velocidad?</w:t>
      </w:r>
    </w:p>
    <w:p>
      <w:pPr>
        <w:pStyle w:val="BodyJ"/>
        <w:numPr>
          <w:ilvl w:val="0"/>
          <w:numId w:val="17"/>
        </w:numPr>
      </w:pPr>
      <w:r>
        <w:t xml:space="preserve">¿Qué predijo mi diagnóstico hace 48 horas, y la evolución lo confirmó o lo desmintió?</w:t>
      </w:r>
    </w:p>
    <w:p>
      <w:pPr>
        <w:pStyle w:val="BodyJ"/>
        <w:numPr>
          <w:ilvl w:val="0"/>
          <w:numId w:val="17"/>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pPr>
      <w:r>
        <w:t xml:space="preserve">Abra la evolución de cualquier paciente con más de una semana de hospitalización y busque el párrafo que se repite idéntico desde el ingreso. Casi siempre existe. Alguien lo escribió el primer día, alguien lo copió el segundo, y desde entonces viaja como un polizón: "paciente con antecedente de ITU a repetición", "en estudio por baja de peso", "manejo habitual". Este capítulo trata de la ficha como tecnología cognitiva: la diferencia entre un registro que piensa y uno que fosiliza.</w:t>
      </w:r>
    </w:p>
    <w:p>
      <w:pPr>
        <w:pStyle w:val="Heading3"/>
        <w:spacing w:after="120" w:before="280"/>
      </w:pPr>
      <w:r>
        <w:rPr>
          <w:rFonts w:ascii="Georgia" w:cs="Georgia" w:eastAsia="Georgia" w:hAnsi="Georgia"/>
          <w:b/>
          <w:bCs/>
          <w:color w:val="2B2B2B"/>
          <w:sz w:val="25"/>
          <w:szCs w:val="25"/>
        </w:rPr>
        <w:t xml:space="preserve">Registrar no es archivar</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Heading3"/>
        <w:spacing w:after="120" w:before="280"/>
      </w:pPr>
      <w:r>
        <w:rPr>
          <w:rFonts w:ascii="Georgia" w:cs="Georgia" w:eastAsia="Georgia" w:hAnsi="Georgia"/>
          <w:b/>
          <w:bCs/>
          <w:color w:val="2B2B2B"/>
          <w:sz w:val="25"/>
          <w:szCs w:val="25"/>
        </w:rPr>
        <w:t xml:space="preserve">La ficha produce lo visible</w:t>
      </w:r>
    </w:p>
    <w:p>
      <w:pPr>
        <w:pStyle w:val="BodyJ"/>
      </w:pPr>
      <w:r>
        <w:t xml:space="preserve">Foucault mostró que la clínica moderna no nació simplemente de mirar mejor, sino de reorganizar qué era decible y registrable: el hospital, la autopsia y el registro crearon un espacio donde ciertos fenómenos pudieron convertirse en signos y otros ni siquiera podían formularse (Foucault, 1973).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por eso, la crítica del formulario: preguntar qué vuelve visible, qué vuelve invisible y a quién sirve esa distribución. El médico no siempre puede rediseñar la plantilla; siempre puede saber qué le está haciendo a su percepción.</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Cada evolución debería responder qué cambió en hechos, interpretación, incertidumbre y plan.</w:t>
      </w:r>
    </w:p>
    <w:p>
      <w:pPr>
        <w:pStyle w:val="Heading3"/>
        <w:spacing w:after="120" w:before="280"/>
      </w:pPr>
      <w:r>
        <w:rPr>
          <w:rFonts w:ascii="Georgia" w:cs="Georgia" w:eastAsia="Georgia" w:hAnsi="Georgia"/>
          <w:b/>
          <w:bCs/>
          <w:color w:val="2B2B2B"/>
          <w:sz w:val="25"/>
          <w:szCs w:val="25"/>
        </w:rPr>
        <w:t xml:space="preserve">La matriz HII-D</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reevaluación.</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vejiga neurogénica y sonda permanente; sonda recambiada; orina turbia, piuria y urocultivo positivo; afebril, estable, sin nuevo deterioro sistémico; marcadores inflamatorios elevados con neoplasia avanzada como explicación alternativa.</w:t>
      </w:r>
    </w:p>
    <w:p>
      <w:pPr>
        <w:pStyle w:val="BodyJ"/>
      </w:pPr>
      <w:r>
        <w:rPr>
          <w:i/>
          <w:iCs/>
        </w:rPr>
        <w:t xml:space="preserve">Inferencia:</w:t>
      </w:r>
      <w:r>
        <w:t xml:space="preserve"> bacteriuria asociada a catéter, sin evidencia clínica suficiente de infección urinaria sintomática.</w:t>
      </w:r>
    </w:p>
    <w:p>
      <w:pPr>
        <w:pStyle w:val="BodyJ"/>
      </w:pPr>
      <w:r>
        <w:rPr>
          <w:i/>
          <w:iCs/>
        </w:rPr>
        <w:t xml:space="preserve">Incertidumbre:</w:t>
      </w:r>
      <w:r>
        <w:t xml:space="preserve"> síntomas urinarios clásicos no evaluables; debe vigilarse aparición de fiebre, inestabilidad, espasticidad nueva u otro cambio autonómico o sistémico.</w:t>
      </w:r>
    </w:p>
    <w:p>
      <w:pPr>
        <w:pStyle w:val="BodyJ"/>
      </w:pPr>
      <w:r>
        <w:rPr>
          <w:i/>
          <w:iCs/>
        </w:rPr>
        <w:t xml:space="preserve">Decisión:</w:t>
      </w:r>
      <w:r>
        <w:t xml:space="preserve"> no iniciar antibiótico por ahora; monitorización y reevaluación ante criterios clínicos, considerando que el antecedente de microorganismo multirresistente eleva el costo ecológico de tratamiento innecesario.</w:t>
      </w:r>
    </w:p>
    <w:p>
      <w:pPr>
        <w:pStyle w:val="Heading3"/>
        <w:spacing w:after="120" w:before="280"/>
      </w:pPr>
      <w:r>
        <w:rPr>
          <w:rFonts w:ascii="Georgia" w:cs="Georgia" w:eastAsia="Georgia" w:hAnsi="Georgia"/>
          <w:b/>
          <w:bCs/>
          <w:color w:val="2B2B2B"/>
          <w:sz w:val="25"/>
          <w:szCs w:val="25"/>
        </w:rPr>
        <w:t xml:space="preserve">Frase medular</w:t>
      </w:r>
    </w:p>
    <w:p>
      <w:pPr>
        <w:pStyle w:val="BodyJ"/>
      </w:pPr>
      <w:r>
        <w:t xml:space="preserve">Después de ordenar el caso, conviene formular una frase medular. No reemplaza la evolución completa; ofrece una representación operativa. Debe incluir la naturaleza del evento, el elemento que cambia el riesgo y el límite principal de certeza.</w:t>
      </w:r>
    </w:p>
    <w:p>
      <w:pPr>
        <w:pStyle w:val="BodyJ"/>
      </w:pPr>
      <w:r>
        <w:t xml:space="preserve">En el caso anterior: "Bacteriuria y piuria tras recambio de sonda en paciente con colonización crónica probable, sin manifestaciones sistémicas que sostengan CAUTI; se prioriza vigilancia clínica para evitar exposición innecesaria a antibióticos de amplio espectro."</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BodyJ"/>
      </w:pPr>
      <w:r>
        <w:t xml:space="preserve">Escribir bien no es cosmética. Es una intervención sobre el razonamiento colectivo. La frase que mezcla capas puede perpetuar error; la que las distingue crea una oportunidad de corrección.</w:t>
      </w:r>
    </w:p>
    <w:p>
      <w:pPr>
        <w:pStyle w:val="TallerHead"/>
      </w:pPr>
      <w:r>
        <w:t xml:space="preserve">Taller 12. Desfosilizar una evolución</w:t>
      </w:r>
    </w:p>
    <w:p>
      <w:pPr>
        <w:pStyle w:val="BodyJ"/>
      </w:pPr>
      <w:r>
        <w:t xml:space="preserve">La siguiente evolución se ha copiado casi idéntica durante cinco días: "Paciente con neumonía en tratamiento antibiótico, hemodinamia estable, afebril, se mantiene manejo". El día 5, los datos reales son: afebril, pero con requerimiento de oxígeno que subió de 2 a 4 litros, PCR estancada y un derrame pleural nuevo en la radiografía de control. Reescriba la evolución del día 5 con estructura HII-D.</w:t>
      </w:r>
    </w:p>
    <w:p>
      <w:pPr>
        <w:pStyle w:val="BodyJ"/>
      </w:pPr>
      <w:r>
        <w:rPr>
          <w:i/>
          <w:iCs/>
        </w:rPr>
        <w:t xml:space="preserve">Solución comentada.</w:t>
      </w:r>
      <w:r>
        <w:t xml:space="preserve"> "</w:t>
      </w:r>
      <w:r>
        <w:rPr>
          <w:i/>
          <w:iCs/>
        </w:rPr>
        <w:t xml:space="preserve">Hechos:</w:t>
      </w:r>
      <w:r>
        <w:t xml:space="preserve"> día 5 de antibióticos por neumonía. Afebril desde el día 2, pero O2 en aumento (2→4 L en 48 h), PCR sin descenso (180→165) y derrame pleural nuevo en radiografía de hoy. </w:t>
      </w:r>
      <w:r>
        <w:rPr>
          <w:i/>
          <w:iCs/>
        </w:rPr>
        <w:t xml:space="preserve">Inferencia:</w:t>
      </w:r>
      <w:r>
        <w:t xml:space="preserve"> evolución discordante con neumonía en resolución; derrame paraneumónico complicado o empiema pasan a ser probables; falla del esquema o diagnóstico alternativo, posibles. </w:t>
      </w:r>
      <w:r>
        <w:rPr>
          <w:i/>
          <w:iCs/>
        </w:rPr>
        <w:t xml:space="preserve">Incertidumbre:</w:t>
      </w:r>
      <w:r>
        <w:t xml:space="preserve"> características del derrame desconocidas hasta punción; la afebrilidad no excluye complicación supurativa. </w:t>
      </w:r>
      <w:r>
        <w:rPr>
          <w:i/>
          <w:iCs/>
        </w:rPr>
        <w:t xml:space="preserve">Decisión:</w:t>
      </w:r>
      <w:r>
        <w:t xml:space="preserve"> toracocentesis diagnóstica hoy; reevaluar esquema según resultado; si no se puede puncionar en 24 h, escalar discusión con cirugía de tórax. Criterio de reapertura explícito: cualquier aumento adicional de O2 o inestabilidad adelanta la punción.* La versión copiada no era falsa —el paciente estaba afebril y estable—; era un fósil: describía al paciente del día 2 con los datos del día 5. La reescritura no agregó información nueva: dejó de omitir la que ya existía.</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8"/>
        </w:numPr>
      </w:pPr>
      <w:r>
        <w:t xml:space="preserve">¿Qué párrafo de mi evolución de hoy es copia de ayer, y sigue siendo verdad?</w:t>
      </w:r>
    </w:p>
    <w:p>
      <w:pPr>
        <w:pStyle w:val="BodyJ"/>
        <w:numPr>
          <w:ilvl w:val="0"/>
          <w:numId w:val="18"/>
        </w:numPr>
      </w:pPr>
      <w:r>
        <w:t xml:space="preserve">Si yo no estuviera mañana, ¿el médico que me reemplace sabría por mi nota qué vigilar y qué reabriría el caso?</w:t>
      </w:r>
    </w:p>
    <w:p>
      <w:pPr>
        <w:pStyle w:val="BodyJ"/>
        <w:numPr>
          <w:ilvl w:val="0"/>
          <w:numId w:val="18"/>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2:00, la enfermera de turno anota: "paciente más quejumbrosa, rechaza la cena, diuresis límite". A las 8:00, el pase de turno resume: "sin novedades". Entre esas dos frases no hay mala fe: hay una cadena de transmisión donde la información se comprimió hasta desaparecer. Este capítulo trata del conocimiento clínico como propiedad de un equipo —médicos, enfermería, paciente, familia, artefactos— y de cómo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Un dato no viaja intacto. En cada entrega de turno, llamada o resumen se selecciona, comprime y reinterpreta. "Paciente estable" puede borrar una dosis creciente de oxígeno; "cultivo positivo" puede perder el contexto de colonización; "TAC sin complicaciones" puede convertirse erróneamente en "hernia no complicada" pese a un episodio fisiológicamente grave. Los artefactos también interpretan: una interfaz prioriza ciertos campos, separa otros y convierte opciones discretas en categorías administrativas.</w:t>
      </w:r>
    </w:p>
    <w:p>
      <w:pPr>
        <w:pStyle w:val="BodyJ"/>
      </w:pPr>
      <w:r>
        <w:t xml:space="preserve">Rajkomar y Blandford mostraron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rondas clínicas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Heading3"/>
        <w:spacing w:after="120" w:before="280"/>
      </w:pPr>
      <w:r>
        <w:rPr>
          <w:rFonts w:ascii="Georgia" w:cs="Georgia" w:eastAsia="Georgia" w:hAnsi="Georgia"/>
          <w:b/>
          <w:bCs/>
          <w:color w:val="2B2B2B"/>
          <w:sz w:val="25"/>
          <w:szCs w:val="25"/>
        </w:rPr>
        <w:t xml:space="preserve">Diseño para la corrección</w:t>
      </w:r>
    </w:p>
    <w:p>
      <w:pPr>
        <w:pStyle w:val="BodyJ"/>
      </w:pPr>
      <w:r>
        <w:t xml:space="preserve">Un sistema seguro no depende de que cada individuo recuerde cuestionarlo todo. Diseña momentos y artefactos que facilitan detectar discordancias: tendencias visibles, alertas selectivas, listas de problemas actualizadas, criterios de reevaluación,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Muchos clínicos temen que expresar incertidumbre debilite la confianza del paciente o del equipo. El resultado puede ser un lenguaje excesivamente categórico. El dilema es falso: la alternativa a la certeza no es desorientación. Es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9"/>
        </w:numPr>
      </w:pPr>
      <w:r>
        <w:rPr>
          <w:b/>
          <w:bCs/>
        </w:rPr>
        <w:t xml:space="preserve">Qué sabemos</w:t>
      </w:r>
      <w:r>
        <w:t xml:space="preserve">: hallazgos confirmados y su relevancia.</w:t>
      </w:r>
    </w:p>
    <w:p>
      <w:pPr>
        <w:pStyle w:val="BodyJ"/>
        <w:numPr>
          <w:ilvl w:val="0"/>
          <w:numId w:val="19"/>
        </w:numPr>
      </w:pPr>
      <w:r>
        <w:rPr>
          <w:b/>
          <w:bCs/>
        </w:rPr>
        <w:t xml:space="preserve">Qué creemos</w:t>
      </w:r>
      <w:r>
        <w:t xml:space="preserve">: explicación principal y alternativas importantes.</w:t>
      </w:r>
    </w:p>
    <w:p>
      <w:pPr>
        <w:pStyle w:val="BodyJ"/>
        <w:numPr>
          <w:ilvl w:val="0"/>
          <w:numId w:val="19"/>
        </w:numPr>
      </w:pPr>
      <w:r>
        <w:rPr>
          <w:b/>
          <w:bCs/>
        </w:rPr>
        <w:t xml:space="preserve">Qué no sabemos todavía</w:t>
      </w:r>
      <w:r>
        <w:t xml:space="preserve">: límites concretos.</w:t>
      </w:r>
    </w:p>
    <w:p>
      <w:pPr>
        <w:pStyle w:val="BodyJ"/>
        <w:numPr>
          <w:ilvl w:val="0"/>
          <w:numId w:val="19"/>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Heading3"/>
        <w:spacing w:after="120" w:before="280"/>
      </w:pPr>
      <w:r>
        <w:rPr>
          <w:rFonts w:ascii="Georgia" w:cs="Georgia" w:eastAsia="Georgia" w:hAnsi="Georgia"/>
          <w:b/>
          <w:bCs/>
          <w:color w:val="2B2B2B"/>
          <w:sz w:val="25"/>
          <w:szCs w:val="25"/>
        </w:rPr>
        <w:t xml:space="preserve">Decisión compartida y narrativa</w:t>
      </w:r>
    </w:p>
    <w:p>
      <w:pPr>
        <w:pStyle w:val="BodyJ"/>
      </w:pPr>
      <w:r>
        <w:t xml:space="preserve">La decisión compartida cobra especial importancia cuando existen varias opciones razonables y los valores modifican el balance. El modelo de Elwyn y colaboradores propone deliberación sobre opciones, preferencias y decisión, no una simple entrega de información (Elwyn et al., 2012). La incertidumbre debe comunicarse de forma que la persona pueda entender cómo afecta las alternativas.</w:t>
      </w:r>
    </w:p>
    <w:p>
      <w:pPr>
        <w:pStyle w:val="BodyJ"/>
      </w:pPr>
      <w:r>
        <w:t xml:space="preserve">Los números ayudan cuando son confiables y comprensibles. Las frecuencias naturales —por ejemplo, "de 100 personas similares"— suelen ser más claras que probabilidades condicionales aisladas (Gigerenzer et al., 2007). Pero no todo puede cuantificarse. En esos casos se debe explicar la dirección y magnitud aproximada de la incertidumbre, evitando palabras vagas sin contexto.</w:t>
      </w:r>
    </w:p>
    <w:p>
      <w:pPr>
        <w:pStyle w:val="BodyJ"/>
      </w:pPr>
      <w:r>
        <w:t xml:space="preserve">La medicina narrativa recuerda que una decisión no ocurre sólo dentro de una distribución estadística. Ocurre en una biografía (Greenhalgh &amp; Hurwitz, 1998; Charon, 2006). El mismo riesgo puede ser aceptable para una persona y no para otra según responsabilidades, experiencias, temor, tolerancia al deterioro y concepción de calidad de vida. Escuchar la historia también corrige inferencias. Una conducta que parece "mala adherencia" puede ser imposibilidad económica; "rechazo" puede expresar una experiencia previa; "síntoma funcional" puede ser vivido como invalidación. El lenguaje del médico puede abrir o cerrar la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pases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13. Traducir un desacuerdo</w:t>
      </w:r>
    </w:p>
    <w:p>
      <w:pPr>
        <w:pStyle w:val="BodyJ"/>
      </w:pPr>
      <w:r>
        <w:t xml:space="preserve">En la ronda, el intensivista dice: "Yo la operaría ahora; esto va a volver a pasar". La internista responde: "Me parece apresurado; acaba de salir de un shock". Traduzca el desacuerdo a proposiciones evaluables: ¿discrepan en hechos, inferencias, incertidumbre, valores o decisión?</w:t>
      </w:r>
    </w:p>
    <w:p>
      <w:pPr>
        <w:pStyle w:val="BodyJ"/>
      </w:pPr>
      <w:r>
        <w:rPr>
          <w:i/>
          <w:iCs/>
        </w:rPr>
        <w:t xml:space="preserve">Solución comentada.</w:t>
      </w:r>
      <w:r>
        <w:t xml:space="preserve"> Al traducir, el desacuerdo se descompone: en los </w:t>
      </w:r>
      <w:r>
        <w:rPr>
          <w:b/>
          <w:bCs/>
        </w:rPr>
        <w:t xml:space="preserve">hechos</w:t>
      </w:r>
      <w:r>
        <w:t xml:space="preserve"> no hay disputa (cuatro episodios, shock reciente, imagen sin isquemia). En la </w:t>
      </w:r>
      <w:r>
        <w:rPr>
          <w:b/>
          <w:bCs/>
        </w:rPr>
        <w:t xml:space="preserve">inferencia</w:t>
      </w:r>
      <w:r>
        <w:t xml:space="preserve"> pronóstica están de acuerdo más de lo que creen: ambos consideran probable una nueva obstrucción. La divergencia real está en dos lugares: la </w:t>
      </w:r>
      <w:r>
        <w:rPr>
          <w:b/>
          <w:bCs/>
        </w:rPr>
        <w:t xml:space="preserve">incertidumbre</w:t>
      </w:r>
      <w:r>
        <w:t xml:space="preserve"> sobre la aptitud quirúrgica actual (¿cuánto deteriora el riesgo operatorio el shock reciente? — dato reducible con evaluación objetiva, no con opinión) y el </w:t>
      </w:r>
      <w:r>
        <w:rPr>
          <w:b/>
          <w:bCs/>
        </w:rPr>
        <w:t xml:space="preserve">umbral de decisión</w:t>
      </w:r>
      <w:r>
        <w:t xml:space="preserve"> (cuánto riesgo perioperatorio aceptar para evitar cuánto riesgo obstructivo — que además involucra </w:t>
      </w:r>
      <w:r>
        <w:rPr>
          <w:b/>
          <w:bCs/>
        </w:rPr>
        <w:t xml:space="preserve">valores</w:t>
      </w:r>
      <w:r>
        <w:t xml:space="preserve"> de la paciente, ausente de la conversación). Traducido así, el plan se escribe solo: evaluación funcional formal, optimización, y una conversación con Carmen sobre los dos riesgos. El desacuerdo no se "ganó": se usó.</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20"/>
        </w:numPr>
      </w:pPr>
      <w:r>
        <w:t xml:space="preserve">¿Qué observó enfermería en las últimas 24 horas que no pasó por mi evaluación?</w:t>
      </w:r>
    </w:p>
    <w:p>
      <w:pPr>
        <w:pStyle w:val="BodyJ"/>
        <w:numPr>
          <w:ilvl w:val="0"/>
          <w:numId w:val="20"/>
        </w:numPr>
      </w:pPr>
      <w:r>
        <w:t xml:space="preserve">En mi último desacuerdo clínico, ¿discrepábamos en hechos, inferencias, incertidumbre, valores o umbral?</w:t>
      </w:r>
    </w:p>
    <w:p>
      <w:pPr>
        <w:pStyle w:val="BodyJ"/>
        <w:numPr>
          <w:ilvl w:val="0"/>
          <w:numId w:val="20"/>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El día 7, Carmen está sin sonda, comiendo, caminando por el pasillo. La evaluación preoperatoria muestra un EPOC moderado compensado y una capacidad funcional aceptable. Es el momento de la conversación que el equipo había ido preparando sin decirlo: la internista, la cirujana y Carmen, con su hija presente porque ella lo pidió.</w:t>
      </w:r>
    </w:p>
    <w:p>
      <w:pPr>
        <w:pStyle w:val="BodyJ"/>
      </w:pPr>
      <w:r>
        <w:t xml:space="preserve">La cirujana no empieza por la propuesta. Empieza por el esquema de cuatro pasos: "Le voy a contar qué sabemos, qué creemos, qué no sabemos y qué opciones hay. Lo que sabemos: usted tiene una hernia que este año se ha obstruido cuatro veces, y la última vez llegó grave, con infección en la sangre y presión muy baja. Lo que creemos: que la probabilidad de que vuelva a pasar es alta, y que un próximo episodio puede ser tan grave como este o peor; no podemos ponerle fecha. Lo que no sabemos: si la cirugía va a ser sencilla —su tejido está operado de antes— ni cómo va a responder su pulmón a la anestesia; el riesgo existe y no es despreciable. Las opciones: operarnos ahora que usted está recuperada, en forma programada, con todo preparado; o esperar, sabiendo que la próxima obstrucción puede llegar de urgencia, de noche, con usted más débil".</w:t>
      </w:r>
    </w:p>
    <w:p>
      <w:pPr>
        <w:pStyle w:val="BodyJ"/>
      </w:pPr>
      <w:r>
        <w:t xml:space="preserve">Carmen pregunta lo que casi todos preguntan: "¿Y usted qué haría?". La cirujana responde con la estructura del capítulo 14 en mente: "Yo le recomiendo operarse, y le digo por qué: prefiero un riesgo quirúrgico conocido, con usted optimizada, a un riesgo obstructivo que no controlamos ni podemos programar. Pero la que pasó el shock fue usted, y la que decide cuánto miedo le tiene a cada uno de esos riesgos también es usted".</w:t>
      </w:r>
    </w:p>
    <w:p>
      <w:pPr>
        <w:pStyle w:val="BodyJ"/>
      </w:pPr>
      <w:r>
        <w:t xml:space="preserve">La hija pregunta si la cirugía "garantiza" que no habrá más obstrucciones. "No", dice la cirujana, "baja mucho la probabilidad; no la hace cero. Si le dijera otra cosa, le estaría mintiendo."</w:t>
      </w:r>
    </w:p>
    <w:p>
      <w:pPr>
        <w:pStyle w:val="BodyJ"/>
      </w:pPr>
      <w:r>
        <w:t xml:space="preserve">Carmen acepta. En la ficha, la internista escribe la frase medular que resume tres semanas de trabajo epistémico: "Obstrucción recurrente por hernia incisional, cuarto episodio en un año y primero con shock y bacteriemia; sin complicación anatómica aguda en imagen. El cambio cualitativo de gravedad, la aceleración de las recurrencias y la preferencia informada de la paciente justifican reparación electiva tras optimización, asumiendo riesgo perioperatorio moderado como alternativa preferible a una nueva urgencia no programada. Reevaluar decisión si deterioro funcional o nuevo episodio antes de la fecha quirúrgica."</w:t>
      </w:r>
    </w:p>
    <w:p>
      <w:pPr>
        <w:pStyle w:val="BodyJ"/>
      </w:pPr>
      <w:r>
        <w:t xml:space="preserve">Ninguna palabra de esa frase es adorno. Cada una carga un capítulo de este libro.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14). Luego, el método HII-D en forma completa y en versión de sesenta segundos (capítulo 15), un cuaderno de diez casos para leer metacognitivamente —incluida la resolución de la historia de Carmen— y el problema de enseñar y organizar todo esto (capítulo 16). Cierran el libro dos espejos: la inteligencia artificial en el proceso diagnóstico y terapéutico —qué hace, qué arriesga, cómo se la enfrenta— (capítulo 17), y la poesía — porque el debate sobre lo que la palabra tiene derecho a hacer también se libró en verso, y en Chile (capítulo 18).</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que me costó años aprender a decir delante de una familia: "no lo sé". La primera vez que la dije completa —"no sé todavía por qué empeoró; sé qué descartamos, sé qué vamos a vigilar esta noche y sé cuándo tendremos más información"— esperaba encontrar decepción. Encontré alivio. La familia no necesitaba mi certeza; necesitaba saber que la incertidumbre estaba siendo trabajada. Este capítulo trata de esa diferencia: entre parecer seguro y ser responsable.</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Cuando escribimos "rechaza", "no adherente", "funcional", "terminal" o "sin indicación", no sólo describimos. Distribuimos credibilidad, urgencia y recursos. La ética del razonamiento comienza antes de la decisión: comienza en la forma en que se recibe un testimonio y se concede fuerza a una afirmación.</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La humildad como motor: explorar, aprender, reenfocar</w:t>
      </w:r>
    </w:p>
    <w:p>
      <w:pPr>
        <w:pStyle w:val="BodyJ"/>
      </w:pPr>
      <w:r>
        <w:t xml:space="preserve">Hay una caricatura de la humildad epistémica que conviene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 saber dónde termina lo que uno sabe, y dejar que ese saber actúe (Whitcomb et al., 2017). Definida así, la humildad no es un freno. Es un motor: la única disposición que mantiene el caso abierto después de que ya tenemos una respuesta que funciona.</w:t>
      </w:r>
    </w:p>
    <w:p>
      <w:pPr>
        <w:pStyle w:val="BodyJ"/>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 y saber la diferencia es humildad operando.</w:t>
      </w:r>
    </w:p>
    <w:p>
      <w:pPr>
        <w:pStyle w:val="BodyJ"/>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es un médico que dejó de aprender, con años de práctica acumulándose sobre los mismos errores.</w:t>
      </w:r>
    </w:p>
    <w:p>
      <w:pPr>
        <w:pStyle w:val="BodyJ"/>
      </w:pPr>
      <w:r>
        <w:t xml:space="preserve">Tercero —y es el efecto más clínico de todos—, permite reubicar el foco y el manejo. La dirección de la atención diagnóstica no es un voto de por vida: es una asignación provisional de recursos, revisable cuando la trayectoria contradice el mapa. El humilde redirige sin vivirlo como derrota — de lo urinario a lo abdominal, de la lesión estructural al trastorno funcional, del objetivo curativo al de confort — y ajusta el tratamiento con la misma naturalidad con que lo inició. El orgulloso, en cambio, defiende su primera formulación como se defiende una propiedad, y convierte cada dato discordante en un ataque que repeler. El anclaje del capítulo 7 es, visto así, un fracaso de humildad antes que un fallo de memoria: la información nueva estaba disponible; lo que faltó fue la disposición a dejarla mandar.</w:t>
      </w:r>
    </w:p>
    <w:p>
      <w:pPr>
        <w:pStyle w:val="BodyJ"/>
      </w:pPr>
      <w:r>
        <w:t xml:space="preserve">Vista así, la humildad no es una virtud separada de la phronesis que este libro viene invocando desde el capítulo 6: es su condición de funcionamiento. La prudencia práctica integra, en el caso particular, lo que ningún algoritmo integra por nosotros — conocimiento causal, emoción leída como dato, valores del paciente y oportunidad: el momento de actuar ahora o esperar. Esa integración sólo permanece honesta si alguien vigila sus límites, y la humildad es exactamente eso: la phronesis vuelta sobre sí misma, la parte de la prudencia que sabe cuánta de la propia prudencia es conjetura. Con ella queda a la vista el hilo que el libro venía tendiendo: el capítulo 2 mostró la abducción — la conjetura que crea explicaciones —; el capítulo 5, la metacognición que la vigila mientras trabaja; la humildad es la disposición que la mantiene abierta cuando ya produjo una respuesta cómoda. Generar, vigilar, mantener abierto: tres nombres de una misma lealtad al caso.</w:t>
      </w:r>
    </w:p>
    <w:p>
      <w:pPr>
        <w:pStyle w:val="BodyJ"/>
      </w:pPr>
      <w:r>
        <w:t xml:space="preserve">Por eso este libro necesita la humildad no como ornamento ético sino como pieza estructural. La reevaluación del método HII-D (capítulo 15) es humildad convertida en procedimiento: la cláusula "qué me haría cambiar", escrita antes de saber si habrá que cambiar, es la forma que toma esta virtud cuando se la obliga a dejar huella en la ficha.</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Miranda Fricker denominó injusticia epistémica al daño cometido contra alguien en su capacidad de sujeto de conocimiento (Fricker, 2007). En salud, Carel y Kidd mostraron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merece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mostró que el testimonio es una fuente básica de conocimiento, tan constitutiva como la percepción o la memoria: sin una confianza por defecto en lo que otros informan, ni la ciencia ni la vida cotidiana serían posibles (Coady, 1992).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La anamnesis es exactamente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Escuchar de manera epistémica implica preguntar qué sabe esta persona que el equipo no puede observar, qué interpretación atribuye a sus síntomas y qué experiencias anteriores modifican su decisión. También exige distinguir desacuerdo de incapacidad. Un paciente puede comprender la evidencia y valorar de manera diferente los desenlaces. Cuando Carmen dijo "esta vez el dolor era otro", estaba entregando el dato pronóstico más importante del ingreso; la nota que lo hubiera omitido habría cometido, además de una injusticia, un error técnico. La regla general merece escribirse: una ficha que borra el testimonio del paciente no es sólo injusta — es epistemológicamente más pobre, y una frase medular que no conserva la voz del enfermo cuando esa voz es el dato está incompleta según su propio estándar.</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mientras que la nota que muestra qué se sabía, qué se dudaba y cuándo se planeó reevaluar demuestra exactamente lo que el derecho sanitario pondera — un proceso razonable con la información disponible. La trazabilidad honesta no es ingenuidad jurídica; es la mejor defensa que la epistemología puede ofrecer, además de la única compatible con seguir pensando.</w:t>
      </w:r>
    </w:p>
    <w:p>
      <w:pPr>
        <w:pStyle w:val="BodyJ"/>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hacer el análisis de trayectoria del capítulo 7 —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nuestra recomendación, dónde están sus límites y cómo responderemos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exactamente el peso que puede sostener.</w:t>
      </w:r>
    </w:p>
    <w:p>
      <w:pPr>
        <w:pStyle w:val="BodyJ"/>
        <w:spacing w:after="80" w:before="160"/>
      </w:pPr>
      <w:r>
        <w:rPr>
          <w:b/>
          <w:bCs/>
        </w:rPr>
        <w:t xml:space="preserve">Tres preguntas para la próxima visita.</w:t>
      </w:r>
    </w:p>
    <w:p>
      <w:pPr>
        <w:pStyle w:val="BodyJ"/>
        <w:numPr>
          <w:ilvl w:val="0"/>
          <w:numId w:val="21"/>
        </w:numPr>
      </w:pPr>
      <w:r>
        <w:t xml:space="preserve">¿A qué paciente le estoy creyendo menos de lo que su testimonio merece, y por qué?</w:t>
      </w:r>
    </w:p>
    <w:p>
      <w:pPr>
        <w:pStyle w:val="BodyJ"/>
        <w:numPr>
          <w:ilvl w:val="0"/>
          <w:numId w:val="21"/>
        </w:numPr>
      </w:pPr>
      <w:r>
        <w:t xml:space="preserve">Mi última recomendación firme: ¿podría explicar qué hechos la sostienen, qué incertidumbres la modificarían y qué valores del paciente pesan?</w:t>
      </w:r>
    </w:p>
    <w:p>
      <w:pPr>
        <w:pStyle w:val="BodyJ"/>
        <w:numPr>
          <w:ilvl w:val="0"/>
          <w:numId w:val="21"/>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292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29250" cy="4305300"/>
                          </a:xfrm>
                          <a:prstGeom prst="rect">
                            <a:avLst/>
                          </a:prstGeom>
                        </pic:spPr>
                      </pic:pic>
                    </a:graphicData>
                  </a:graphic>
                </wp:inline>
              </w:drawing>
            </w:r>
          </w:p>
          <w:p>
            <w:pPr>
              <w:pStyle w:val="Caption"/>
            </w:pPr>
            <w:r>
              <w:t xml:space="preserve">Figura 9.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Qué añade frente a los modelos existentes</w:t>
      </w:r>
    </w:p>
    <w:p>
      <w:pPr>
        <w:pStyle w:val="BodyJ"/>
      </w:pPr>
      <w:r>
        <w:t xml:space="preserve">HII-D entra a un territorio poblado, y conviene decir exactamente qué agrega. La nota SOAP y el registro orientado por problemas ordenan el documento (Weed, 1968a); la representación del problema comprime el caso (Bordage, 1994); los illness scripts organizan el conocimiento experto (Charlin et al., 2007; Custers, 2015); las teorías de doble proceso describen los modos de procesamiento (Evans &amp; Stanovich, 2013); la reflexión deliberada estructura la comparación de hipótesis (Mamede et al., 2008); los modelos de metacognición supervisan la confianza y la estrategia (Nelson &amp; Narens, 1990; Fleming &amp; Lau, 2014); y el programa de seguridad diagnóstica vigila trayectorias y sistemas (National Academies of Sciences, Engineering, and Medicine, 2015).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Enfoque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Qué organiza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Aporte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Qué añade HII-D</w:t>
            </w:r>
          </w:p>
        </w:tc>
      </w:tr>
      <w:tr>
        <w:tc>
          <w:tcPr>
            <w:tcW w:type="dxa" w:w="1750"/>
            <w:tcMar>
              <w:top w:type="dxa" w:w="60"/>
              <w:left w:type="dxa" w:w="100"/>
              <w:bottom w:type="dxa" w:w="60"/>
              <w:right w:type="dxa" w:w="100"/>
            </w:tcMar>
            <w:vAlign w:val="top"/>
          </w:tcPr>
          <w:p>
            <w:pPr>
              <w:spacing w:after="0"/>
            </w:pPr>
            <w:r>
              <w:rPr>
                <w:sz w:val="17"/>
                <w:szCs w:val="17"/>
              </w:rPr>
              <w:t xml:space="preserve">SOAP</w:t>
            </w:r>
          </w:p>
        </w:tc>
        <w:tc>
          <w:tcPr>
            <w:tcW w:type="dxa" w:w="2150"/>
            <w:tcMar>
              <w:top w:type="dxa" w:w="60"/>
              <w:left w:type="dxa" w:w="100"/>
              <w:bottom w:type="dxa" w:w="60"/>
              <w:right w:type="dxa" w:w="100"/>
            </w:tcMar>
            <w:vAlign w:val="top"/>
          </w:tcPr>
          <w:p>
            <w:pPr>
              <w:spacing w:after="0"/>
            </w:pPr>
            <w:r>
              <w:rPr>
                <w:sz w:val="17"/>
                <w:szCs w:val="17"/>
              </w:rPr>
              <w:t xml:space="preserve">La nota clínica</w:t>
            </w:r>
          </w:p>
        </w:tc>
        <w:tc>
          <w:tcPr>
            <w:tcW w:type="dxa" w:w="2560"/>
            <w:tcMar>
              <w:top w:type="dxa" w:w="60"/>
              <w:left w:type="dxa" w:w="100"/>
              <w:bottom w:type="dxa" w:w="60"/>
              <w:right w:type="dxa" w:w="100"/>
            </w:tcMar>
            <w:vAlign w:val="top"/>
          </w:tcPr>
          <w:p>
            <w:pPr>
              <w:spacing w:after="0"/>
            </w:pPr>
            <w:r>
              <w:rPr>
                <w:sz w:val="17"/>
                <w:szCs w:val="17"/>
              </w:rPr>
              <w:t xml:space="preserve">Orden documental</w:t>
            </w:r>
          </w:p>
        </w:tc>
        <w:tc>
          <w:tcPr>
            <w:tcW w:type="dxa" w:w="2560"/>
            <w:tcMar>
              <w:top w:type="dxa" w:w="60"/>
              <w:left w:type="dxa" w:w="100"/>
              <w:bottom w:type="dxa" w:w="60"/>
              <w:right w:type="dxa" w:w="100"/>
            </w:tcMar>
            <w:vAlign w:val="top"/>
          </w:tcPr>
          <w:p>
            <w:pPr>
              <w:spacing w:after="0"/>
            </w:pPr>
            <w:r>
              <w:rPr>
                <w:sz w:val="17"/>
                <w:szCs w:val="17"/>
              </w:rPr>
              <w:t xml:space="preserve">Estatuto y fuerza de cada afirmación</w:t>
            </w:r>
          </w:p>
        </w:tc>
      </w:tr>
      <w:tr>
        <w:tc>
          <w:tcPr>
            <w:tcW w:type="dxa" w:w="1750"/>
            <w:tcMar>
              <w:top w:type="dxa" w:w="60"/>
              <w:left w:type="dxa" w:w="100"/>
              <w:bottom w:type="dxa" w:w="60"/>
              <w:right w:type="dxa" w:w="100"/>
            </w:tcMar>
            <w:vAlign w:val="top"/>
          </w:tcPr>
          <w:p>
            <w:pPr>
              <w:spacing w:after="0"/>
            </w:pPr>
            <w:r>
              <w:rPr>
                <w:sz w:val="17"/>
                <w:szCs w:val="17"/>
              </w:rPr>
              <w:t xml:space="preserve">Registro orientado por problemas</w:t>
            </w:r>
          </w:p>
        </w:tc>
        <w:tc>
          <w:tcPr>
            <w:tcW w:type="dxa" w:w="2150"/>
            <w:tcMar>
              <w:top w:type="dxa" w:w="60"/>
              <w:left w:type="dxa" w:w="100"/>
              <w:bottom w:type="dxa" w:w="60"/>
              <w:right w:type="dxa" w:w="100"/>
            </w:tcMar>
            <w:vAlign w:val="top"/>
          </w:tcPr>
          <w:p>
            <w:pPr>
              <w:spacing w:after="0"/>
            </w:pPr>
            <w:r>
              <w:rPr>
                <w:sz w:val="17"/>
                <w:szCs w:val="17"/>
              </w:rPr>
              <w:t xml:space="preserve">La continuidad longitudinal</w:t>
            </w:r>
          </w:p>
        </w:tc>
        <w:tc>
          <w:tcPr>
            <w:tcW w:type="dxa" w:w="2560"/>
            <w:tcMar>
              <w:top w:type="dxa" w:w="60"/>
              <w:left w:type="dxa" w:w="100"/>
              <w:bottom w:type="dxa" w:w="60"/>
              <w:right w:type="dxa" w:w="100"/>
            </w:tcMar>
            <w:vAlign w:val="top"/>
          </w:tcPr>
          <w:p>
            <w:pPr>
              <w:spacing w:after="0"/>
            </w:pPr>
            <w:r>
              <w:rPr>
                <w:sz w:val="17"/>
                <w:szCs w:val="17"/>
              </w:rPr>
              <w:t xml:space="preserve">Vincula problema, evaluación y plan</w:t>
            </w:r>
          </w:p>
        </w:tc>
        <w:tc>
          <w:tcPr>
            <w:tcW w:type="dxa" w:w="2560"/>
            <w:tcMar>
              <w:top w:type="dxa" w:w="60"/>
              <w:left w:type="dxa" w:w="100"/>
              <w:bottom w:type="dxa" w:w="60"/>
              <w:right w:type="dxa" w:w="100"/>
            </w:tcMar>
            <w:vAlign w:val="top"/>
          </w:tcPr>
          <w:p>
            <w:pPr>
              <w:spacing w:after="0"/>
            </w:pPr>
            <w:r>
              <w:rPr>
                <w:sz w:val="17"/>
                <w:szCs w:val="17"/>
              </w:rPr>
              <w:t xml:space="preserve">Distingue problema, hecho, hipótesis e incertidumbre</w:t>
            </w:r>
          </w:p>
        </w:tc>
      </w:tr>
      <w:tr>
        <w:tc>
          <w:tcPr>
            <w:tcW w:type="dxa" w:w="1750"/>
            <w:tcMar>
              <w:top w:type="dxa" w:w="60"/>
              <w:left w:type="dxa" w:w="100"/>
              <w:bottom w:type="dxa" w:w="60"/>
              <w:right w:type="dxa" w:w="100"/>
            </w:tcMar>
            <w:vAlign w:val="top"/>
          </w:tcPr>
          <w:p>
            <w:pPr>
              <w:spacing w:after="0"/>
            </w:pPr>
            <w:r>
              <w:rPr>
                <w:sz w:val="17"/>
                <w:szCs w:val="17"/>
              </w:rPr>
              <w:t xml:space="preserve">Representación del problema</w:t>
            </w:r>
          </w:p>
        </w:tc>
        <w:tc>
          <w:tcPr>
            <w:tcW w:type="dxa" w:w="2150"/>
            <w:tcMar>
              <w:top w:type="dxa" w:w="60"/>
              <w:left w:type="dxa" w:w="100"/>
              <w:bottom w:type="dxa" w:w="60"/>
              <w:right w:type="dxa" w:w="100"/>
            </w:tcMar>
            <w:vAlign w:val="top"/>
          </w:tcPr>
          <w:p>
            <w:pPr>
              <w:spacing w:after="0"/>
            </w:pPr>
            <w:r>
              <w:rPr>
                <w:sz w:val="17"/>
                <w:szCs w:val="17"/>
              </w:rPr>
              <w:t xml:space="preserve">El caso</w:t>
            </w:r>
          </w:p>
        </w:tc>
        <w:tc>
          <w:tcPr>
            <w:tcW w:type="dxa" w:w="2560"/>
            <w:tcMar>
              <w:top w:type="dxa" w:w="60"/>
              <w:left w:type="dxa" w:w="100"/>
              <w:bottom w:type="dxa" w:w="60"/>
              <w:right w:type="dxa" w:w="100"/>
            </w:tcMar>
            <w:vAlign w:val="top"/>
          </w:tcPr>
          <w:p>
            <w:pPr>
              <w:spacing w:after="0"/>
            </w:pPr>
            <w:r>
              <w:rPr>
                <w:sz w:val="17"/>
                <w:szCs w:val="17"/>
              </w:rPr>
              <w:t xml:space="preserve">Compresión con calificadores semánticos</w:t>
            </w:r>
          </w:p>
        </w:tc>
        <w:tc>
          <w:tcPr>
            <w:tcW w:type="dxa" w:w="2560"/>
            <w:tcMar>
              <w:top w:type="dxa" w:w="60"/>
              <w:left w:type="dxa" w:w="100"/>
              <w:bottom w:type="dxa" w:w="60"/>
              <w:right w:type="dxa" w:w="100"/>
            </w:tcMar>
            <w:vAlign w:val="top"/>
          </w:tcPr>
          <w:p>
            <w:pPr>
              <w:spacing w:after="0"/>
            </w:pPr>
            <w:r>
              <w:rPr>
                <w:sz w:val="17"/>
                <w:szCs w:val="17"/>
              </w:rPr>
              <w:t xml:space="preserve">Procedencia, límites, decisión y reapertura</w:t>
            </w:r>
          </w:p>
        </w:tc>
      </w:tr>
      <w:tr>
        <w:tc>
          <w:tcPr>
            <w:tcW w:type="dxa" w:w="1750"/>
            <w:tcMar>
              <w:top w:type="dxa" w:w="60"/>
              <w:left w:type="dxa" w:w="100"/>
              <w:bottom w:type="dxa" w:w="60"/>
              <w:right w:type="dxa" w:w="100"/>
            </w:tcMar>
            <w:vAlign w:val="top"/>
          </w:tcPr>
          <w:p>
            <w:pPr>
              <w:spacing w:after="0"/>
            </w:pPr>
            <w:r>
              <w:rPr>
                <w:sz w:val="17"/>
                <w:szCs w:val="17"/>
              </w:rPr>
              <w:t xml:space="preserve">Illness scripts</w:t>
            </w:r>
          </w:p>
        </w:tc>
        <w:tc>
          <w:tcPr>
            <w:tcW w:type="dxa" w:w="2150"/>
            <w:tcMar>
              <w:top w:type="dxa" w:w="60"/>
              <w:left w:type="dxa" w:w="100"/>
              <w:bottom w:type="dxa" w:w="60"/>
              <w:right w:type="dxa" w:w="100"/>
            </w:tcMar>
            <w:vAlign w:val="top"/>
          </w:tcPr>
          <w:p>
            <w:pPr>
              <w:spacing w:after="0"/>
            </w:pPr>
            <w:r>
              <w:rPr>
                <w:sz w:val="17"/>
                <w:szCs w:val="17"/>
              </w:rPr>
              <w:t xml:space="preserve">El conocimiento experto</w:t>
            </w:r>
          </w:p>
        </w:tc>
        <w:tc>
          <w:tcPr>
            <w:tcW w:type="dxa" w:w="2560"/>
            <w:tcMar>
              <w:top w:type="dxa" w:w="60"/>
              <w:left w:type="dxa" w:w="100"/>
              <w:bottom w:type="dxa" w:w="60"/>
              <w:right w:type="dxa" w:w="100"/>
            </w:tcMar>
            <w:vAlign w:val="top"/>
          </w:tcPr>
          <w:p>
            <w:pPr>
              <w:spacing w:after="0"/>
            </w:pPr>
            <w:r>
              <w:rPr>
                <w:sz w:val="17"/>
                <w:szCs w:val="17"/>
              </w:rPr>
              <w:t xml:space="preserve">Condiciones, mecanismo y consecuencias</w:t>
            </w:r>
          </w:p>
        </w:tc>
        <w:tc>
          <w:tcPr>
            <w:tcW w:type="dxa" w:w="2560"/>
            <w:tcMar>
              <w:top w:type="dxa" w:w="60"/>
              <w:left w:type="dxa" w:w="100"/>
              <w:bottom w:type="dxa" w:w="60"/>
              <w:right w:type="dxa" w:w="100"/>
            </w:tcMar>
            <w:vAlign w:val="top"/>
          </w:tcPr>
          <w:p>
            <w:pPr>
              <w:spacing w:after="0"/>
            </w:pPr>
            <w:r>
              <w:rPr>
                <w:sz w:val="17"/>
                <w:szCs w:val="17"/>
              </w:rPr>
              <w:t xml:space="preserve">Audita su aplicación al paciente singular</w:t>
            </w:r>
          </w:p>
        </w:tc>
      </w:tr>
      <w:tr>
        <w:tc>
          <w:tcPr>
            <w:tcW w:type="dxa" w:w="1750"/>
            <w:tcMar>
              <w:top w:type="dxa" w:w="60"/>
              <w:left w:type="dxa" w:w="100"/>
              <w:bottom w:type="dxa" w:w="60"/>
              <w:right w:type="dxa" w:w="100"/>
            </w:tcMar>
            <w:vAlign w:val="top"/>
          </w:tcPr>
          <w:p>
            <w:pPr>
              <w:spacing w:after="0"/>
            </w:pPr>
            <w:r>
              <w:rPr>
                <w:sz w:val="17"/>
                <w:szCs w:val="17"/>
              </w:rPr>
              <w:t xml:space="preserve">Doble proceso</w:t>
            </w:r>
          </w:p>
        </w:tc>
        <w:tc>
          <w:tcPr>
            <w:tcW w:type="dxa" w:w="2150"/>
            <w:tcMar>
              <w:top w:type="dxa" w:w="60"/>
              <w:left w:type="dxa" w:w="100"/>
              <w:bottom w:type="dxa" w:w="60"/>
              <w:right w:type="dxa" w:w="100"/>
            </w:tcMar>
            <w:vAlign w:val="top"/>
          </w:tcPr>
          <w:p>
            <w:pPr>
              <w:spacing w:after="0"/>
            </w:pPr>
            <w:r>
              <w:rPr>
                <w:sz w:val="17"/>
                <w:szCs w:val="17"/>
              </w:rPr>
              <w:t xml:space="preserve">Los modos de procesamiento</w:t>
            </w:r>
          </w:p>
        </w:tc>
        <w:tc>
          <w:tcPr>
            <w:tcW w:type="dxa" w:w="2560"/>
            <w:tcMar>
              <w:top w:type="dxa" w:w="60"/>
              <w:left w:type="dxa" w:w="100"/>
              <w:bottom w:type="dxa" w:w="60"/>
              <w:right w:type="dxa" w:w="100"/>
            </w:tcMar>
            <w:vAlign w:val="top"/>
          </w:tcPr>
          <w:p>
            <w:pPr>
              <w:spacing w:after="0"/>
            </w:pPr>
            <w:r>
              <w:rPr>
                <w:sz w:val="17"/>
                <w:szCs w:val="17"/>
              </w:rPr>
              <w:t xml:space="preserve">Rapidez, intuición y deliberación</w:t>
            </w:r>
          </w:p>
        </w:tc>
        <w:tc>
          <w:tcPr>
            <w:tcW w:type="dxa" w:w="2560"/>
            <w:tcMar>
              <w:top w:type="dxa" w:w="60"/>
              <w:left w:type="dxa" w:w="100"/>
              <w:bottom w:type="dxa" w:w="60"/>
              <w:right w:type="dxa" w:w="100"/>
            </w:tcMar>
            <w:vAlign w:val="top"/>
          </w:tcPr>
          <w:p>
            <w:pPr>
              <w:spacing w:after="0"/>
            </w:pPr>
            <w:r>
              <w:rPr>
                <w:sz w:val="17"/>
                <w:szCs w:val="17"/>
              </w:rPr>
              <w:t xml:space="preserve">No infiere el proceso sólo desde el producto</w:t>
            </w:r>
          </w:p>
        </w:tc>
      </w:tr>
      <w:tr>
        <w:tc>
          <w:tcPr>
            <w:tcW w:type="dxa" w:w="1750"/>
            <w:tcMar>
              <w:top w:type="dxa" w:w="60"/>
              <w:left w:type="dxa" w:w="100"/>
              <w:bottom w:type="dxa" w:w="60"/>
              <w:right w:type="dxa" w:w="100"/>
            </w:tcMar>
            <w:vAlign w:val="top"/>
          </w:tcPr>
          <w:p>
            <w:pPr>
              <w:spacing w:after="0"/>
            </w:pPr>
            <w:r>
              <w:rPr>
                <w:sz w:val="17"/>
                <w:szCs w:val="17"/>
              </w:rPr>
              <w:t xml:space="preserve">Reflexión deliberada</w:t>
            </w:r>
          </w:p>
        </w:tc>
        <w:tc>
          <w:tcPr>
            <w:tcW w:type="dxa" w:w="2150"/>
            <w:tcMar>
              <w:top w:type="dxa" w:w="60"/>
              <w:left w:type="dxa" w:w="100"/>
              <w:bottom w:type="dxa" w:w="60"/>
              <w:right w:type="dxa" w:w="100"/>
            </w:tcMar>
            <w:vAlign w:val="top"/>
          </w:tcPr>
          <w:p>
            <w:pPr>
              <w:spacing w:after="0"/>
            </w:pPr>
            <w:r>
              <w:rPr>
                <w:sz w:val="17"/>
                <w:szCs w:val="17"/>
              </w:rPr>
              <w:t xml:space="preserve">Las hipótesis rivales</w:t>
            </w:r>
          </w:p>
        </w:tc>
        <w:tc>
          <w:tcPr>
            <w:tcW w:type="dxa" w:w="2560"/>
            <w:tcMar>
              <w:top w:type="dxa" w:w="60"/>
              <w:left w:type="dxa" w:w="100"/>
              <w:bottom w:type="dxa" w:w="60"/>
              <w:right w:type="dxa" w:w="100"/>
            </w:tcMar>
            <w:vAlign w:val="top"/>
          </w:tcPr>
          <w:p>
            <w:pPr>
              <w:spacing w:after="0"/>
            </w:pPr>
            <w:r>
              <w:rPr>
                <w:sz w:val="17"/>
                <w:szCs w:val="17"/>
              </w:rPr>
              <w:t xml:space="preserve">Evidencia a favor y en contra</w:t>
            </w:r>
          </w:p>
        </w:tc>
        <w:tc>
          <w:tcPr>
            <w:tcW w:type="dxa" w:w="2560"/>
            <w:tcMar>
              <w:top w:type="dxa" w:w="60"/>
              <w:left w:type="dxa" w:w="100"/>
              <w:bottom w:type="dxa" w:w="60"/>
              <w:right w:type="dxa" w:w="100"/>
            </w:tcMar>
            <w:vAlign w:val="top"/>
          </w:tcPr>
          <w:p>
            <w:pPr>
              <w:spacing w:after="0"/>
            </w:pPr>
            <w:r>
              <w:rPr>
                <w:sz w:val="17"/>
                <w:szCs w:val="17"/>
              </w:rPr>
              <w:t xml:space="preserve">Umbral, acción, responsabilidad y reevaluación</w:t>
            </w:r>
          </w:p>
        </w:tc>
      </w:tr>
      <w:tr>
        <w:tc>
          <w:tcPr>
            <w:tcW w:type="dxa" w:w="1750"/>
            <w:tcMar>
              <w:top w:type="dxa" w:w="60"/>
              <w:left w:type="dxa" w:w="100"/>
              <w:bottom w:type="dxa" w:w="60"/>
              <w:right w:type="dxa" w:w="100"/>
            </w:tcMar>
            <w:vAlign w:val="top"/>
          </w:tcPr>
          <w:p>
            <w:pPr>
              <w:spacing w:after="0"/>
            </w:pPr>
            <w:r>
              <w:rPr>
                <w:sz w:val="17"/>
                <w:szCs w:val="17"/>
              </w:rPr>
              <w:t xml:space="preserve">Modelo metacognitivo</w:t>
            </w:r>
          </w:p>
        </w:tc>
        <w:tc>
          <w:tcPr>
            <w:tcW w:type="dxa" w:w="2150"/>
            <w:tcMar>
              <w:top w:type="dxa" w:w="60"/>
              <w:left w:type="dxa" w:w="100"/>
              <w:bottom w:type="dxa" w:w="60"/>
              <w:right w:type="dxa" w:w="100"/>
            </w:tcMar>
            <w:vAlign w:val="top"/>
          </w:tcPr>
          <w:p>
            <w:pPr>
              <w:spacing w:after="0"/>
            </w:pPr>
            <w:r>
              <w:rPr>
                <w:sz w:val="17"/>
                <w:szCs w:val="17"/>
              </w:rPr>
              <w:t xml:space="preserve">El monitoreo y la regulación</w:t>
            </w:r>
          </w:p>
        </w:tc>
        <w:tc>
          <w:tcPr>
            <w:tcW w:type="dxa" w:w="2560"/>
            <w:tcMar>
              <w:top w:type="dxa" w:w="60"/>
              <w:left w:type="dxa" w:w="100"/>
              <w:bottom w:type="dxa" w:w="60"/>
              <w:right w:type="dxa" w:w="100"/>
            </w:tcMar>
            <w:vAlign w:val="top"/>
          </w:tcPr>
          <w:p>
            <w:pPr>
              <w:spacing w:after="0"/>
            </w:pPr>
            <w:r>
              <w:rPr>
                <w:sz w:val="17"/>
                <w:szCs w:val="17"/>
              </w:rPr>
              <w:t xml:space="preserve">Supervisa confianza y estrategia</w:t>
            </w:r>
          </w:p>
        </w:tc>
        <w:tc>
          <w:tcPr>
            <w:tcW w:type="dxa" w:w="2560"/>
            <w:tcMar>
              <w:top w:type="dxa" w:w="60"/>
              <w:left w:type="dxa" w:w="100"/>
              <w:bottom w:type="dxa" w:w="60"/>
              <w:right w:type="dxa" w:w="100"/>
            </w:tcMar>
            <w:vAlign w:val="top"/>
          </w:tcPr>
          <w:p>
            <w:pPr>
              <w:spacing w:after="0"/>
            </w:pPr>
            <w:r>
              <w:rPr>
                <w:sz w:val="17"/>
                <w:szCs w:val="17"/>
              </w:rPr>
              <w:t xml:space="preserve">Examina el producto lingüístico, documental y colectivo</w:t>
            </w:r>
          </w:p>
        </w:tc>
      </w:tr>
      <w:tr>
        <w:tc>
          <w:tcPr>
            <w:tcW w:type="dxa" w:w="1750"/>
            <w:tcMar>
              <w:top w:type="dxa" w:w="60"/>
              <w:left w:type="dxa" w:w="100"/>
              <w:bottom w:type="dxa" w:w="60"/>
              <w:right w:type="dxa" w:w="100"/>
            </w:tcMar>
            <w:vAlign w:val="top"/>
          </w:tcPr>
          <w:p>
            <w:pPr>
              <w:spacing w:after="0"/>
            </w:pPr>
            <w:r>
              <w:rPr>
                <w:sz w:val="17"/>
                <w:szCs w:val="17"/>
              </w:rPr>
              <w:t xml:space="preserve">Seguridad diagnóstica</w:t>
            </w:r>
          </w:p>
        </w:tc>
        <w:tc>
          <w:tcPr>
            <w:tcW w:type="dxa" w:w="2150"/>
            <w:tcMar>
              <w:top w:type="dxa" w:w="60"/>
              <w:left w:type="dxa" w:w="100"/>
              <w:bottom w:type="dxa" w:w="60"/>
              <w:right w:type="dxa" w:w="100"/>
            </w:tcMar>
            <w:vAlign w:val="top"/>
          </w:tcPr>
          <w:p>
            <w:pPr>
              <w:spacing w:after="0"/>
            </w:pPr>
            <w:r>
              <w:rPr>
                <w:sz w:val="17"/>
                <w:szCs w:val="17"/>
              </w:rPr>
              <w:t xml:space="preserve">La trayectoria y el sistema</w:t>
            </w:r>
          </w:p>
        </w:tc>
        <w:tc>
          <w:tcPr>
            <w:tcW w:type="dxa" w:w="2560"/>
            <w:tcMar>
              <w:top w:type="dxa" w:w="60"/>
              <w:left w:type="dxa" w:w="100"/>
              <w:bottom w:type="dxa" w:w="60"/>
              <w:right w:type="dxa" w:w="100"/>
            </w:tcMar>
            <w:vAlign w:val="top"/>
          </w:tcPr>
          <w:p>
            <w:pPr>
              <w:spacing w:after="0"/>
            </w:pPr>
            <w:r>
              <w:rPr>
                <w:sz w:val="17"/>
                <w:szCs w:val="17"/>
              </w:rPr>
              <w:t xml:space="preserve">Previene pérdidas y demoras</w:t>
            </w:r>
          </w:p>
        </w:tc>
        <w:tc>
          <w:tcPr>
            <w:tcW w:type="dxa" w:w="2560"/>
            <w:tcMar>
              <w:top w:type="dxa" w:w="60"/>
              <w:left w:type="dxa" w:w="100"/>
              <w:bottom w:type="dxa" w:w="60"/>
              <w:right w:type="dxa" w:w="100"/>
            </w:tcMar>
            <w:vAlign w:val="top"/>
          </w:tcPr>
          <w:p>
            <w:pPr>
              <w:spacing w:after="0"/>
            </w:pPr>
            <w:r>
              <w:rPr>
                <w:sz w:val="17"/>
                <w:szCs w:val="17"/>
              </w:rPr>
              <w:t xml:space="preserve">Gramática microclínica de la afirmación</w:t>
            </w:r>
          </w:p>
        </w:tc>
      </w:tr>
    </w:tbl>
    <w:p>
      <w:pPr>
        <w:spacing w:after="120"/>
      </w:pPr>
    </w:p>
    <w:p>
      <w:pPr>
        <w:pStyle w:val="BodyJ"/>
      </w:pPr>
      <w:r>
        <w:t xml:space="preserve">HII-D no reemplaza a ninguno: opera como una capa de auditoría que puede usarse dentro de una nota SOAP, de una representación del problema, de una discusión diagnóstica o de una revisión de seguridad. Si un servicio ya trabaja bien con alguno de estos marcos, HII-D no le pide cambiarlo; le pide que cada afirmación importante pueda responder de dónde viene, cuánto pesa y qué la haría caer.</w:t>
      </w: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conviene precisar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sustentado. Deben explicitarse los enlaces causales no observados.</w:t>
      </w:r>
    </w:p>
    <w:p>
      <w:pPr>
        <w:pStyle w:val="BodyJ"/>
      </w:pPr>
      <w:r>
        <w:t xml:space="preserve">Una inferencia clínica útil explica por qué los hechos se agrupan y qué predice. Si no cambia comprensión, conducta o vigilancia, quizá sea sólo un nombre.</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 y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pPr>
      <w:r>
        <w:t xml:space="preserve">Toda decisión incluye un plan de reapertura: criterio clínico, examen pendiente, plazo o evento. Sin él, HII-D queda incompleto.</w:t>
      </w:r>
    </w:p>
    <w:p>
      <w:pPr>
        <w:pStyle w:val="Heading3"/>
        <w:spacing w:after="120" w:before="280"/>
      </w:pPr>
      <w:r>
        <w:rPr>
          <w:rFonts w:ascii="Georgia" w:cs="Georgia" w:eastAsia="Georgia" w:hAnsi="Georgia"/>
          <w:b/>
          <w:bCs/>
          <w:color w:val="2B2B2B"/>
          <w:sz w:val="25"/>
          <w:szCs w:val="25"/>
        </w:rPr>
        <w:t xml:space="preserve">Plantilla condensada</w:t>
      </w:r>
    </w:p>
    <w:p>
      <w:pPr>
        <w:pStyle w:val="BodyJ"/>
        <w:numPr>
          <w:ilvl w:val="0"/>
          <w:numId w:val="6"/>
        </w:numPr>
      </w:pPr>
      <w:r>
        <w:t xml:space="preserve">Pregunta operativa:</w:t>
      </w:r>
    </w:p>
    <w:p>
      <w:pPr>
        <w:pStyle w:val="BodyJ"/>
        <w:numPr>
          <w:ilvl w:val="0"/>
          <w:numId w:val="6"/>
        </w:numPr>
      </w:pPr>
      <w:r>
        <w:t xml:space="preserve">Hechos decisivos:</w:t>
      </w:r>
    </w:p>
    <w:p>
      <w:pPr>
        <w:pStyle w:val="BodyJ"/>
        <w:numPr>
          <w:ilvl w:val="0"/>
          <w:numId w:val="6"/>
        </w:numPr>
      </w:pPr>
      <w:r>
        <w:t xml:space="preserve">Inferencia principal y grado:</w:t>
      </w:r>
    </w:p>
    <w:p>
      <w:pPr>
        <w:pStyle w:val="BodyJ"/>
        <w:numPr>
          <w:ilvl w:val="0"/>
          <w:numId w:val="6"/>
        </w:numPr>
      </w:pPr>
      <w:r>
        <w:t xml:space="preserve">Alternativa que cambiaría conducta:</w:t>
      </w:r>
    </w:p>
    <w:p>
      <w:pPr>
        <w:pStyle w:val="BodyJ"/>
        <w:numPr>
          <w:ilvl w:val="0"/>
          <w:numId w:val="6"/>
        </w:numPr>
      </w:pPr>
      <w:r>
        <w:t xml:space="preserve">Incertidumbre crítica:</w:t>
      </w:r>
    </w:p>
    <w:p>
      <w:pPr>
        <w:pStyle w:val="BodyJ"/>
        <w:numPr>
          <w:ilvl w:val="0"/>
          <w:numId w:val="6"/>
        </w:numPr>
      </w:pPr>
      <w:r>
        <w:t xml:space="preserve">Contexto global (funcionalidad, pronóstico de fondo, red de apoyo):</w:t>
      </w:r>
    </w:p>
    <w:p>
      <w:pPr>
        <w:pStyle w:val="BodyJ"/>
        <w:numPr>
          <w:ilvl w:val="0"/>
          <w:numId w:val="6"/>
        </w:numPr>
      </w:pPr>
      <w:r>
        <w:t xml:space="preserve">Decisión y razón:</w:t>
      </w:r>
    </w:p>
    <w:p>
      <w:pPr>
        <w:pStyle w:val="BodyJ"/>
        <w:numPr>
          <w:ilvl w:val="0"/>
          <w:numId w:val="6"/>
        </w:numPr>
      </w:pPr>
      <w:r>
        <w:t xml:space="preserve">Criterio de reevaluación:</w:t>
      </w:r>
    </w:p>
    <w:p>
      <w:pPr>
        <w:pStyle w:val="TallerHead"/>
      </w:pPr>
      <w:r>
        <w:t xml:space="preserve">Caja de herramientas. HII-D en 60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2"/>
        </w:numPr>
      </w:pPr>
      <w:r>
        <w:rPr>
          <w:b/>
          <w:bCs/>
        </w:rPr>
        <w:t xml:space="preserve">¿Qué vi y qué me contaron?</w:t>
      </w:r>
      <w:r>
        <w:t xml:space="preserve"> (un hecho decisivo, con su fuente)</w:t>
      </w:r>
    </w:p>
    <w:p>
      <w:pPr>
        <w:pStyle w:val="BodyJ"/>
        <w:numPr>
          <w:ilvl w:val="0"/>
          <w:numId w:val="22"/>
        </w:numPr>
      </w:pPr>
      <w:r>
        <w:rPr>
          <w:b/>
          <w:bCs/>
        </w:rPr>
        <w:t xml:space="preserve">¿Qué creo y cuánto derecho tengo a creerlo?</w:t>
      </w:r>
      <w:r>
        <w:t xml:space="preserve"> (la inferencia principal, con su grado)</w:t>
      </w:r>
    </w:p>
    <w:p>
      <w:pPr>
        <w:pStyle w:val="BodyJ"/>
        <w:numPr>
          <w:ilvl w:val="0"/>
          <w:numId w:val="22"/>
        </w:numPr>
      </w:pPr>
      <w:r>
        <w:rPr>
          <w:b/>
          <w:bCs/>
        </w:rPr>
        <w:t xml:space="preserve">¿Qué daño importante podría producir si estoy equivocado?</w:t>
      </w:r>
      <w:r>
        <w:t xml:space="preserve"> (la incertidumbre peligrosa, no todas)</w:t>
      </w:r>
    </w:p>
    <w:p>
      <w:pPr>
        <w:pStyle w:val="BodyJ"/>
        <w:numPr>
          <w:ilvl w:val="0"/>
          <w:numId w:val="22"/>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w:t>
      </w:r>
    </w:p>
    <w:p>
      <w:pPr>
        <w:pStyle w:val="BodyJ"/>
      </w:pPr>
      <w:r>
        <w:t xml:space="preserve">En una ronda,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Heading3"/>
        <w:spacing w:after="120" w:before="280"/>
      </w:pPr>
      <w:r>
        <w:rPr>
          <w:rFonts w:ascii="Georgia" w:cs="Georgia" w:eastAsia="Georgia" w:hAnsi="Georgia"/>
          <w:b/>
          <w:bCs/>
          <w:color w:val="2B2B2B"/>
          <w:sz w:val="25"/>
          <w:szCs w:val="25"/>
        </w:rPr>
        <w:t xml:space="preserve">Calibración y auditoría del método</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conviene registrar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merece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15. Su paciente, esta semana</w:t>
      </w:r>
    </w:p>
    <w:p>
      <w:pPr>
        <w:pStyle w:val="BodyJ"/>
      </w:pPr>
      <w:r>
        <w:t xml:space="preserve">Elija el caso más incómodo de su lista actual —el que genera discusión en cada ronda o el que nadie discute hace días— y complete la plantilla condensada por escrito.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3"/>
        </w:numPr>
      </w:pPr>
      <w:r>
        <w:t xml:space="preserve">¿Cuál es la pregunta operativa de mi caso más difícil —la decisión real en juego, no "el diagnóstico"?</w:t>
      </w:r>
    </w:p>
    <w:p>
      <w:pPr>
        <w:pStyle w:val="BodyJ"/>
        <w:numPr>
          <w:ilvl w:val="0"/>
          <w:numId w:val="23"/>
        </w:numPr>
      </w:pPr>
      <w:r>
        <w:t xml:space="preserve">¿Mi nota de hoy permite a otro médico reconstruir mis cuatro capas, o sólo mi conclusión?</w:t>
      </w:r>
    </w:p>
    <w:p>
      <w:pPr>
        <w:pStyle w:val="BodyJ"/>
        <w:numPr>
          <w:ilvl w:val="0"/>
          <w:numId w:val="23"/>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Diez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completa atraviesa este libro; aquí queda su forma condensada, la que cabría en una discusión de caso.</w:t>
      </w:r>
    </w:p>
    <w:p>
      <w:pPr>
        <w:pStyle w:val="BodyJ"/>
      </w:pPr>
      <w:r>
        <w:t xml:space="preserve">Mujer de 61 años con hernia incisional y tres ingresos por suboclusión resueltos sin cirugía. Cuarto episodio con íleo, shock, hiperlactatemia, perfusión periférica alterada y hemocultivos con bacilos gramnegativos. Mejora con reposo digestivo, antibióticos y noradrenalina. La tomografía no muestra perforación, isquemia ni estrangulación.</w:t>
      </w:r>
    </w:p>
    <w:p>
      <w:pPr>
        <w:pStyle w:val="BodyJ"/>
      </w:pPr>
      <w:r>
        <w:rPr>
          <w:i/>
          <w:iCs/>
        </w:rPr>
        <w:t xml:space="preserve">Hechos:</w:t>
      </w:r>
      <w:r>
        <w:t xml:space="preserve"> recurrencia documentada y acelerada; episodio actual fisiológicamente grave; bacteriemia; respuesta favorable; ausencia de complicación anatómica visible en la imagen.</w:t>
      </w:r>
    </w:p>
    <w:p>
      <w:pPr>
        <w:pStyle w:val="BodyJ"/>
      </w:pPr>
      <w:r>
        <w:rPr>
          <w:i/>
          <w:iCs/>
        </w:rPr>
        <w:t xml:space="preserve">Inferencia:</w:t>
      </w:r>
      <w:r>
        <w:t xml:space="preserve"> foco abdominal y relación con el evento obstructivo son probables, pero el mecanismo exacto no está demostrado. La ausencia de estrangulación reduce la indicación de emergencia, no el riesgo futuro.</w:t>
      </w:r>
    </w:p>
    <w:p>
      <w:pPr>
        <w:pStyle w:val="BodyJ"/>
      </w:pPr>
      <w:r>
        <w:rPr>
          <w:i/>
          <w:iCs/>
        </w:rPr>
        <w:t xml:space="preserve">Incertidumbre:</w:t>
      </w:r>
      <w:r>
        <w:t xml:space="preserve"> probabilidad y momento de recurrencia; causalidad microbiológica exacta; aptitud y riesgo operatorio una vez recuperada.</w:t>
      </w:r>
    </w:p>
    <w:p>
      <w:pPr>
        <w:pStyle w:val="BodyJ"/>
      </w:pPr>
      <w:r>
        <w:rPr>
          <w:i/>
          <w:iCs/>
        </w:rPr>
        <w:t xml:space="preserve">Decisión:</w:t>
      </w:r>
      <w:r>
        <w:t xml:space="preserve"> valoración quirúrgica temprana para reparación electiva una vez optimizada, con decisión compartida documentada. El argumento no es "fracasó todo manejo médico", sino que la gravedad actual cambia el costo esperado de una nueva estrategia expectante.</w:t>
      </w:r>
    </w:p>
    <w:p>
      <w:pPr>
        <w:pStyle w:val="BodyJ"/>
      </w:pPr>
      <w:r>
        <w:rPr>
          <w:i/>
          <w:iCs/>
        </w:rPr>
        <w:t xml:space="preserve">Frase medular:</w:t>
      </w:r>
      <w:r>
        <w:t xml:space="preserve"> "Obstrucción recurrente por hernia incisional, por primera vez asociada a shock y bacteriemia, sin complicación anatómica aguda en tomografía; el cambio cualitativo de gravedad justifica priorizar resolución electiva tras recuperación fisiológica."</w:t>
      </w:r>
    </w:p>
    <w:p>
      <w:pPr>
        <w:pStyle w:val="BodyJ"/>
      </w:pPr>
      <w:r>
        <w:rPr>
          <w:i/>
          <w:iCs/>
        </w:rPr>
        <w:t xml:space="preserve">Epílogo.</w:t>
      </w:r>
      <w:r>
        <w:t xml:space="preserve"> Carmen fue operada seis semanas después, en forma programada. La cirugía encontró adherencias firmes y un anillo herniario estrecho; no hubo complicaciones mayores. Nada de eso demuestra que la decisión fue correcta —un desenlace no valida un proceso—, pero el proceso era defendible antes de conocer el desenlace, que es lo único que puede pedírsele a una decisión clínica. La frase de su ingreso, "cuadro habitual, manejo habitual", quedó en la ficha como lo que era: la hipótesis rápida que el trabajo de tres semanas convirtió en otra cosa.</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Un paciente con lesión medular completa, vejiga neurogénica, sonda Foley y neoplasia avanzada presenta orina turbia, piuria y urocultivo positivo después de recambio de sonda. Está afebril, estable y sin otro cambio clínico. Los marcadores inflamatorios están elevados, sin valor basal y con explicación tumoral posible. Tiene antecedente de enterobacteria productora de BLEE.</w:t>
      </w:r>
    </w:p>
    <w:p>
      <w:pPr>
        <w:pStyle w:val="BodyJ"/>
      </w:pPr>
      <w:r>
        <w:rPr>
          <w:i/>
          <w:iCs/>
        </w:rPr>
        <w:t xml:space="preserve">Hechos:</w:t>
      </w:r>
      <w:r>
        <w:t xml:space="preserve"> colonización de alto riesgo basal; cultivo positivo; piuria; ausencia de fiebre o inestabilidad; síntomas urinarios clásicos no evaluables; costo alto de antibiótico amplio.</w:t>
      </w:r>
    </w:p>
    <w:p>
      <w:pPr>
        <w:pStyle w:val="BodyJ"/>
      </w:pPr>
      <w:r>
        <w:rPr>
          <w:i/>
          <w:iCs/>
        </w:rPr>
        <w:t xml:space="preserve">Inferencia:</w:t>
      </w:r>
      <w:r>
        <w:t xml:space="preserve"> bacteriuria asociada a catéter es más probable que infección sintomática con la información actual. Piuria y turbidez no distinguen por sí solas colonización de infección.</w:t>
      </w:r>
    </w:p>
    <w:p>
      <w:pPr>
        <w:pStyle w:val="BodyJ"/>
      </w:pPr>
      <w:r>
        <w:rPr>
          <w:i/>
          <w:iCs/>
        </w:rPr>
        <w:t xml:space="preserve">Incertidumbre:</w:t>
      </w:r>
      <w:r>
        <w:t xml:space="preserve"> la lesión medular modifica la expresión clínica; se requiere vigilancia de signos autonómicos, espasticidad, malestar nuevo o deterioro sistémico.</w:t>
      </w:r>
    </w:p>
    <w:p>
      <w:pPr>
        <w:pStyle w:val="BodyJ"/>
      </w:pPr>
      <w:r>
        <w:rPr>
          <w:i/>
          <w:iCs/>
        </w:rPr>
        <w:t xml:space="preserve">Decisión:</w:t>
      </w:r>
      <w:r>
        <w:t xml:space="preserve"> no tratar de inmediato; establecer criterios explícitos de reevaluación. El antecedente de BLEE no es argumento para tratar antes, sino una razón adicional para exigir umbral clínico suficiente.</w:t>
      </w:r>
    </w:p>
    <w:p>
      <w:pPr>
        <w:pStyle w:val="BodyJ"/>
      </w:pPr>
      <w:r>
        <w:rPr>
          <w:i/>
          <w:iCs/>
        </w:rPr>
        <w:t xml:space="preserve">Frase medular:</w:t>
      </w:r>
      <w:r>
        <w:t xml:space="preserve"> "Urocultivo positivo y piuria en usuario crónico de Foley, sin manifestaciones sistémicas nuevas que sostengan CAUTI; cuadro más compatible con bacteriuria asociada a catéter, con vigilancia reforzada por expresión sintomática limitada y antecedente de resistencia."</w:t>
      </w:r>
    </w:p>
    <w:p>
      <w:pPr>
        <w:pStyle w:val="Heading3"/>
        <w:spacing w:after="120" w:before="280"/>
      </w:pPr>
      <w:r>
        <w:rPr>
          <w:rFonts w:ascii="Georgia" w:cs="Georgia" w:eastAsia="Georgia" w:hAnsi="Georgia"/>
          <w:b/>
          <w:bCs/>
          <w:color w:val="2B2B2B"/>
          <w:sz w:val="25"/>
          <w:szCs w:val="25"/>
        </w:rPr>
        <w:t xml:space="preserve">Viñeta 3. Globus y necesidad de una explicación no reductiva</w:t>
      </w:r>
    </w:p>
    <w:p>
      <w:pPr>
        <w:pStyle w:val="BodyJ"/>
      </w:pPr>
      <w:r>
        <w:t xml:space="preserve">Una paciente refiere sensación persistente de cuerpo extraño faríngeo, sin disfagia progresiva, odinofagia, pérdida de peso ni alteración estructural en evaluación inicial. Los síntomas fluctúan con estrés y atención corporal. Solicita "un examen que muestre qué tiene".</w:t>
      </w:r>
    </w:p>
    <w:p>
      <w:pPr>
        <w:pStyle w:val="BodyJ"/>
      </w:pPr>
      <w:r>
        <w:rPr>
          <w:i/>
          <w:iCs/>
        </w:rPr>
        <w:t xml:space="preserve">Hechos:</w:t>
      </w:r>
      <w:r>
        <w:t xml:space="preserve"> sensación localizada; ausencia de signos de alarma; evaluación estructural no reveladora; variabilidad contextual.</w:t>
      </w:r>
    </w:p>
    <w:p>
      <w:pPr>
        <w:pStyle w:val="BodyJ"/>
      </w:pPr>
      <w:r>
        <w:rPr>
          <w:i/>
          <w:iCs/>
        </w:rPr>
        <w:t xml:space="preserve">Inferencia:</w:t>
      </w:r>
      <w:r>
        <w:t xml:space="preserve"> globus funcional es probable después de una evaluación apropiada. "Funcional" no significa inventado; describe alteración de percepción, atención, sensibilidad y regulación sin lesión estructural suficiente para explicarla.</w:t>
      </w:r>
    </w:p>
    <w:p>
      <w:pPr>
        <w:pStyle w:val="BodyJ"/>
      </w:pPr>
      <w:r>
        <w:rPr>
          <w:i/>
          <w:iCs/>
        </w:rPr>
        <w:t xml:space="preserve">Incertidumbre:</w:t>
      </w:r>
      <w:r>
        <w:t xml:space="preserve"> ningún examen elimina todo riesgo futuro; la conducta depende de evolución y aparición de banderas rojas. Puede coexistir reflujo, tensión muscular o factores afectivos sin causalidad única.</w:t>
      </w:r>
    </w:p>
    <w:p>
      <w:pPr>
        <w:pStyle w:val="BodyJ"/>
      </w:pPr>
      <w:r>
        <w:rPr>
          <w:i/>
          <w:iCs/>
        </w:rPr>
        <w:t xml:space="preserve">Decisión:</w:t>
      </w:r>
      <w:r>
        <w:t xml:space="preserve"> explicar el diagnóstico positivo, evitar escalamiento indiscriminado de pruebas, tratar factores contribuyentes seleccionados y usar estrategias cognitivo-conductuales orientadas a atención, interpretación y respuesta al síntoma.</w:t>
      </w:r>
    </w:p>
    <w:p>
      <w:pPr>
        <w:pStyle w:val="BodyJ"/>
      </w:pPr>
      <w:r>
        <w:rPr>
          <w:i/>
          <w:iCs/>
        </w:rPr>
        <w:t xml:space="preserve">Frase medular:</w:t>
      </w:r>
      <w:r>
        <w:t xml:space="preserve"> "Sensación de globus sin disfagia verdadera ni signos de alarma y con evaluación estructural negativa, compatible con trastorno funcional de percepción faríngea; se propone manejo positivo y seguimiento, no una búsqueda indefinida de lesión oculta."</w:t>
      </w:r>
    </w:p>
    <w:p>
      <w:pPr>
        <w:pStyle w:val="Heading3"/>
        <w:spacing w:after="120" w:before="280"/>
      </w:pPr>
      <w:r>
        <w:rPr>
          <w:rFonts w:ascii="Georgia" w:cs="Georgia" w:eastAsia="Georgia" w:hAnsi="Georgia"/>
          <w:b/>
          <w:bCs/>
          <w:color w:val="2B2B2B"/>
          <w:sz w:val="25"/>
          <w:szCs w:val="25"/>
        </w:rPr>
        <w:t xml:space="preserve">Viñeta 4. Infiltrados pulmonares y causalidad múltiple</w:t>
      </w:r>
    </w:p>
    <w:p>
      <w:pPr>
        <w:pStyle w:val="BodyJ"/>
      </w:pPr>
      <w:r>
        <w:t xml:space="preserve">Una persona mayor presenta insuficiencia respiratoria con infiltrados multifocales, derrame pequeño y signología obstructiva. Existe posibilidad de infección, congestión, aspiración y reacción inflamatoria farmacológica. Mejora con soporte, antibióticos, broncodilatación y ajuste terapéutico.</w:t>
      </w:r>
    </w:p>
    <w:p>
      <w:pPr>
        <w:pStyle w:val="BodyJ"/>
      </w:pPr>
      <w:r>
        <w:rPr>
          <w:i/>
          <w:iCs/>
        </w:rPr>
        <w:t xml:space="preserve">Hechos:</w:t>
      </w:r>
      <w:r>
        <w:t xml:space="preserve"> insuficiencia respiratoria; hallazgos radiológicos mixtos; marcadores inflamatorios; respuesta bajo intervenciones simultáneas.</w:t>
      </w:r>
    </w:p>
    <w:p>
      <w:pPr>
        <w:pStyle w:val="BodyJ"/>
      </w:pPr>
      <w:r>
        <w:rPr>
          <w:i/>
          <w:iCs/>
        </w:rPr>
        <w:t xml:space="preserve">Inferencia:</w:t>
      </w:r>
      <w:r>
        <w:t xml:space="preserve"> neumopatía multifactorial es una representación más fiel que atribuir todo a una causa. La mejoría no permite identificar qué intervención fue específica.</w:t>
      </w:r>
    </w:p>
    <w:p>
      <w:pPr>
        <w:pStyle w:val="BodyJ"/>
      </w:pPr>
      <w:r>
        <w:rPr>
          <w:i/>
          <w:iCs/>
        </w:rPr>
        <w:t xml:space="preserve">Incertidumbre:</w:t>
      </w:r>
      <w:r>
        <w:t xml:space="preserve"> peso relativo de infección, inflamación y congestión; causalidad farmacológica; riesgo de recurrencia.</w:t>
      </w:r>
    </w:p>
    <w:p>
      <w:pPr>
        <w:pStyle w:val="BodyJ"/>
      </w:pPr>
      <w:r>
        <w:rPr>
          <w:i/>
          <w:iCs/>
        </w:rPr>
        <w:t xml:space="preserve">Decisión:</w:t>
      </w:r>
      <w:r>
        <w:t xml:space="preserve"> completar una duración antibiótica proporcionada si la probabilidad inicial lo justifica, retirar la exposición sospechosa cuando el balance favorece hacerlo y documentar que la causalidad no está demostrada. El seguimiento debe buscar recurrencia tras reexposición y evolución radiológica.</w:t>
      </w:r>
    </w:p>
    <w:p>
      <w:pPr>
        <w:pStyle w:val="BodyJ"/>
      </w:pPr>
      <w:r>
        <w:rPr>
          <w:i/>
          <w:iCs/>
        </w:rPr>
        <w:t xml:space="preserve">Frase medular:</w:t>
      </w:r>
      <w:r>
        <w:t xml:space="preserve"> "Insuficiencia respiratoria por neumopatía multifocal probablemente mixta, con componentes infeccioso-inflamatorio y posible contribución farmacológica; evolución favorable bajo medidas concomitantes, sin posibilidad de atribución causal única."</w:t>
      </w:r>
    </w:p>
    <w:p>
      <w:pPr>
        <w:pStyle w:val="Heading3"/>
        <w:spacing w:after="120" w:before="280"/>
      </w:pPr>
      <w:r>
        <w:rPr>
          <w:rFonts w:ascii="Georgia" w:cs="Georgia" w:eastAsia="Georgia" w:hAnsi="Georgia"/>
          <w:b/>
          <w:bCs/>
          <w:color w:val="2B2B2B"/>
          <w:sz w:val="25"/>
          <w:szCs w:val="25"/>
        </w:rPr>
        <w:t xml:space="preserve">Viñeta 5. Tres de la mañana: decidir con el reloj en contra</w:t>
      </w:r>
    </w:p>
    <w:p>
      <w:pPr>
        <w:pStyle w:val="BodyJ"/>
      </w:pPr>
      <w:r>
        <w:t xml:space="preserve">Urgencias, 3:10. Hombre de 54 años, dolor torácico opresivo de 40 minutos, sudoroso, con antecedente de tabaquismo. Electrocardiograma: alteraciones inespecíficas de la repolarización. Primera troponina: pendiente. Hay otros nueve pacientes esperando y una sola reanimación disponible. No hay tiempo para la plantilla completa; hay tiempo para los sesenta segundos.</w:t>
      </w:r>
    </w:p>
    <w:p>
      <w:pPr>
        <w:pStyle w:val="BodyJ"/>
      </w:pPr>
      <w:r>
        <w:rPr>
          <w:i/>
          <w:iCs/>
        </w:rPr>
        <w:t xml:space="preserve">¿Qué vi y qué me contaron?</w:t>
      </w:r>
      <w:r>
        <w:t xml:space="preserve"> Dolor opresivo con descarga adrenérgica, observado; ECG no diagnóstico pero anormal, medido ahora.</w:t>
      </w:r>
    </w:p>
    <w:p>
      <w:pPr>
        <w:pStyle w:val="BodyJ"/>
      </w:pPr>
      <w:r>
        <w:rPr>
          <w:i/>
          <w:iCs/>
        </w:rPr>
        <w:t xml:space="preserve">¿Qué creo y cuánto derecho tengo?</w:t>
      </w:r>
      <w:r>
        <w:t xml:space="preserve"> Síndrome coronario agudo: posible-probable; el patrón clínico pesa más que el ECG inespecífico. No demostrado.</w:t>
      </w:r>
    </w:p>
    <w:p>
      <w:pPr>
        <w:pStyle w:val="BodyJ"/>
      </w:pPr>
      <w:r>
        <w:rPr>
          <w:i/>
          <w:iCs/>
        </w:rPr>
        <w:t xml:space="preserve">¿Qué daño importante podría producir si estoy equivocado?</w:t>
      </w:r>
      <w:r>
        <w:t xml:space="preserve"> Tratarlo como "dolor inespecífico, espera troponina en sala" y que sea una oclusión en evolución. La incertidumbre peligrosa no es la etiqueta; es el tiempo.</w:t>
      </w:r>
    </w:p>
    <w:p>
      <w:pPr>
        <w:pStyle w:val="BodyJ"/>
      </w:pPr>
      <w:r>
        <w:rPr>
          <w:i/>
          <w:iCs/>
        </w:rPr>
        <w:t xml:space="preserve">¿Qué hago y qué me haría cambiar?</w:t>
      </w:r>
      <w:r>
        <w:t xml:space="preserve"> Monitor, acceso, antiagregación según protocolo, ECG seriado en 15 minutos, troponina acelerada; escala a activación de hemodinamia si nuevo ECG cambia o el dolor persiste. Queda escrito: "SCA no demostrado; conducta por umbral dada gravedad del error de omisión".</w:t>
      </w:r>
    </w:p>
    <w:p>
      <w:pPr>
        <w:pStyle w:val="BodyJ"/>
      </w:pPr>
      <w:r>
        <w:rPr>
          <w:i/>
          <w:iCs/>
        </w:rPr>
        <w:t xml:space="preserve">Frase medular:</w:t>
      </w:r>
      <w:r>
        <w:t xml:space="preserve"> "Dolor torácico de perfil isquémico con ECG no diagnóstico: se maneja como SCA probable por asimetría de consecuencias mientras la seriación confirma o degrada la hipótesis."</w:t>
      </w:r>
    </w:p>
    <w:p>
      <w:pPr>
        <w:pStyle w:val="BodyJ"/>
      </w:pPr>
      <w:r>
        <w:rPr>
          <w:i/>
          <w:iCs/>
        </w:rPr>
        <w:t xml:space="preserve">Lectura metacognitiva.</w:t>
      </w:r>
      <w:r>
        <w:t xml:space="preserve"> La decisión correcta a las 3:10 no fue diagnóstica sino estratégica: comprar tiempo de vigilancia con intervenciones de bajo riesgo. El error clásico en este escenario no es intelectual, es logístico: la hipótesis correcta ("probable SCA") sin sistema de reevaluación (¿quién repite el ECG si la sala explota?). El criterio de reapertura con responsable es la mitad de la decisión.</w:t>
      </w:r>
    </w:p>
    <w:p>
      <w:pPr>
        <w:pStyle w:val="Heading3"/>
        <w:spacing w:after="120" w:before="280"/>
      </w:pPr>
      <w:r>
        <w:rPr>
          <w:rFonts w:ascii="Georgia" w:cs="Georgia" w:eastAsia="Georgia" w:hAnsi="Georgia"/>
          <w:b/>
          <w:bCs/>
          <w:color w:val="2B2B2B"/>
          <w:sz w:val="25"/>
          <w:szCs w:val="25"/>
        </w:rPr>
        <w:t xml:space="preserve">Viñeta 6. La consulta ambulatoria y el chequeo reciente</w:t>
      </w:r>
    </w:p>
    <w:p>
      <w:pPr>
        <w:pStyle w:val="BodyJ"/>
      </w:pPr>
      <w:r>
        <w:t xml:space="preserve">Atención primaria. Mujer de 47 años consulta por fatiga de tres meses. Trae exámenes "normales de hace poco": hemograma y perfil realizados cinco meses atrás, cuando la fatiga no existía. Refiere además sudoración nocturna ocasional que atribuye a "premenopausia" y ha perdido "dos o tres kilos, por comer menos". Agenda llena, doce minutos por paciente.</w:t>
      </w:r>
    </w:p>
    <w:p>
      <w:pPr>
        <w:pStyle w:val="BodyJ"/>
      </w:pPr>
      <w:r>
        <w:rPr>
          <w:i/>
          <w:iCs/>
        </w:rPr>
        <w:t xml:space="preserve">Hechos:</w:t>
      </w:r>
      <w:r>
        <w:t xml:space="preserve"> fatiga nueva de tres meses (relato consistente); exámenes normales previos al síntoma (dato real, pero anterior al problema); sudoración y baja de peso referidas con explicación alternativa plausible; examen físico de hoy sin adenopatías palpables ni visceromegalia (búsqueda dirigida, limitada por tiempo).</w:t>
      </w:r>
    </w:p>
    <w:p>
      <w:pPr>
        <w:pStyle w:val="BodyJ"/>
      </w:pPr>
      <w:r>
        <w:rPr>
          <w:i/>
          <w:iCs/>
        </w:rPr>
        <w:t xml:space="preserve">Inferencia:</w:t>
      </w:r>
      <w:r>
        <w:t xml:space="preserve"> la mayoría de las fatigas en este contexto son benignas o funcionales: probable. Pero el conjunto fatiga + sudoración + baja de peso configura una tríada que no debe cerrarse contra exámenes previos al síntoma: los "normales de hace poco" no cubren el período de la enfermedad actual.</w:t>
      </w:r>
    </w:p>
    <w:p>
      <w:pPr>
        <w:pStyle w:val="BodyJ"/>
      </w:pPr>
      <w:r>
        <w:rPr>
          <w:i/>
          <w:iCs/>
        </w:rPr>
        <w:t xml:space="preserve">Incertidumbre:</w:t>
      </w:r>
      <w:r>
        <w:t xml:space="preserve"> la peligrosa no es "¿qué causa la fatiga?" sino "¿hay un proceso sistémico en curso que estos doce minutos no pueden excluir?". Reducible con laboratorio actual dirigido y un control programado, no con más preguntas hoy.</w:t>
      </w:r>
    </w:p>
    <w:p>
      <w:pPr>
        <w:pStyle w:val="BodyJ"/>
      </w:pPr>
      <w:r>
        <w:rPr>
          <w:i/>
          <w:iCs/>
        </w:rPr>
        <w:t xml:space="preserve">Decisión:</w:t>
      </w:r>
      <w:r>
        <w:t xml:space="preserve"> laboratorio actualizado (hemograma, VHS/PCR, TSH, glicemia, perfil hepático), control con resultados en dos semanas con la misma profesional, y safety-netting explícito por escrito: reconsultar antes si fiebre, adenopatías, dolor óseo o baja de peso mayor. No se tranquiliza con los exámenes viejos ni se alarma sin datos: se convierte el tiempo en prueba diagnóstica con red de seguridad.</w:t>
      </w:r>
    </w:p>
    <w:p>
      <w:pPr>
        <w:pStyle w:val="BodyJ"/>
      </w:pPr>
      <w:r>
        <w:rPr>
          <w:i/>
          <w:iCs/>
        </w:rPr>
        <w:t xml:space="preserve">Frase medular:</w:t>
      </w:r>
      <w:r>
        <w:t xml:space="preserve"> "Fatiga de tres meses con sudoración y baja de peso leves; exámenes normales previos al inicio del cuadro no excluyen proceso actual: se actualiza estudio y se programa control con criterios explícitos de reconsulta."</w:t>
      </w:r>
    </w:p>
    <w:p>
      <w:pPr>
        <w:pStyle w:val="BodyJ"/>
      </w:pPr>
      <w:r>
        <w:rPr>
          <w:i/>
          <w:iCs/>
        </w:rPr>
        <w:t xml:space="preserve">Lectura metacognitiva.</w:t>
      </w:r>
      <w:r>
        <w:t xml:space="preserve"> El riesgo ambulatorio típico es el cierre por evidencia caducada: "tiene exámenes normales" es un hecho cuya fecha lo vuelve casi irrelevante. La herramienta central de la atención primaria —el tiempo longitudinal— sólo funciona como prueba si tiene control programado y red de seguridad; sin ellos, es una espera que confía en la suerte.</w:t>
      </w:r>
    </w:p>
    <w:p>
      <w:pPr>
        <w:pStyle w:val="Heading3"/>
        <w:spacing w:after="120" w:before="280"/>
      </w:pPr>
      <w:r>
        <w:rPr>
          <w:rFonts w:ascii="Georgia" w:cs="Georgia" w:eastAsia="Georgia" w:hAnsi="Georgia"/>
          <w:b/>
          <w:bCs/>
          <w:color w:val="2B2B2B"/>
          <w:sz w:val="25"/>
          <w:szCs w:val="25"/>
        </w:rPr>
        <w:t xml:space="preserve">Viñeta 7. Pronóstico incierto al final de la vida</w:t>
      </w:r>
    </w:p>
    <w:p>
      <w:pPr>
        <w:pStyle w:val="BodyJ"/>
      </w:pPr>
      <w:r>
        <w:t xml:space="preserve">Hombre de 78 años con cáncer de páncreas metastásico, en tercera línea de tratamiento, ingresa por deterioro funcional rápido y una neumonía. La familia pregunta cuánto tiempo queda; una hija pide "que se haga todo"; el equipo de oncología sugiere que "podría haber una ventana para otra línea". El paciente, lúcido a ratos, dice que está cansado.</w:t>
      </w:r>
    </w:p>
    <w:p>
      <w:pPr>
        <w:pStyle w:val="BodyJ"/>
      </w:pPr>
      <w:r>
        <w:rPr>
          <w:i/>
          <w:iCs/>
        </w:rPr>
        <w:t xml:space="preserve">Hechos:</w:t>
      </w:r>
      <w:r>
        <w:t xml:space="preserve"> enfermedad oncológica avanzada en progresión bajo tratamiento (documentado); deterioro funcional acelerado en semanas (trayectoria observada por la familia y objetivable); infección aguda potencialmente reversible; voluntad expresada por el paciente en momentos de lucidez, consistente en dos conversaciones separadas.</w:t>
      </w:r>
    </w:p>
    <w:p>
      <w:pPr>
        <w:pStyle w:val="BodyJ"/>
      </w:pPr>
      <w:r>
        <w:rPr>
          <w:i/>
          <w:iCs/>
        </w:rPr>
        <w:t xml:space="preserve">Inferencia:</w:t>
      </w:r>
      <w:r>
        <w:t xml:space="preserve"> la neumonía es tratable; la trayectoria de fondo es de final de vida próximo. Pronóstico en semanas a pocos meses: probable, con imprecisión irreductible en el caso individual. "Podría responder a otra línea" es una posibilidad no cuantificada, no una expectativa fundada en la evolución observada.</w:t>
      </w:r>
    </w:p>
    <w:p>
      <w:pPr>
        <w:pStyle w:val="BodyJ"/>
      </w:pPr>
      <w:r>
        <w:rPr>
          <w:i/>
          <w:iCs/>
        </w:rPr>
        <w:t xml:space="preserve">Incertidumbre:</w:t>
      </w:r>
      <w:r>
        <w:t xml:space="preserve"> el plazo exacto es incognoscible; lo comunicable es la dirección de la trayectoria y los escenarios. La incertidumbre que domina no es pronóstica sino de metas: ¿qué quiere este hombre para el tiempo que queda? Esa no se resuelve con exámenes sino con conversación.</w:t>
      </w:r>
    </w:p>
    <w:p>
      <w:pPr>
        <w:pStyle w:val="BodyJ"/>
      </w:pPr>
      <w:r>
        <w:rPr>
          <w:i/>
          <w:iCs/>
        </w:rPr>
        <w:t xml:space="preserve">Decisión:</w:t>
      </w:r>
      <w:r>
        <w:t xml:space="preserve"> tratar la neumonía con objetivo de confort y posible retorno a casa (intervención reversible, proporcionada); pausar la discusión de nueva línea hasta ver respuesta funcional; conversación estructurada de metas con paciente y familia: qué sabemos (la enfermedad progresa), qué creemos (el tiempo se mide probablemente en semanas a meses), qué no sabemos (el plazo exacto; si esta infección marcará un descenso definitivo), qué proponemos (priorizar lo que él declaró importante). Criterio de reevaluación: respuesta funcional a 72 horas.</w:t>
      </w:r>
    </w:p>
    <w:p>
      <w:pPr>
        <w:pStyle w:val="BodyJ"/>
      </w:pPr>
      <w:r>
        <w:rPr>
          <w:i/>
          <w:iCs/>
        </w:rPr>
        <w:t xml:space="preserve">Frase medular:</w:t>
      </w:r>
      <w:r>
        <w:t xml:space="preserve"> "Neumonía potencialmente reversible sobre cáncer avanzado en progresión con deterioro funcional acelerado: se trata la parte reversible con metas de confort, se comunica la trayectoria sin fingir precisión de plazo, y las decisiones mayores se subordinan a las metas del paciente, no a la disponibilidad de otra línea."</w:t>
      </w:r>
    </w:p>
    <w:p>
      <w:pPr>
        <w:pStyle w:val="BodyJ"/>
      </w:pPr>
      <w:r>
        <w:rPr>
          <w:i/>
          <w:iCs/>
        </w:rPr>
        <w:t xml:space="preserve">Lectura metacognitiva.</w:t>
      </w:r>
      <w:r>
        <w:t xml:space="preserve"> El final de la vida concentra todos los temas del libro: la tentación de responder "¿cuánto queda?" con una cifra falsa (certeza retórica), la de esconderse en "no se puede saber" (abandono), y la confusión entre lo técnicamente posible y lo proporcionado — el juicio de proporcionalidad del capítulo 10, que aquí exige lo que más cuesta: un pronóstico honesto. Comunicar dirección y escenarios en vez de plazos, y anclar la decisión en las metas del enfermo, es la forma que toma aquí la incertidumbre bien gobernada.</w:t>
      </w:r>
    </w:p>
    <w:p>
      <w:pPr>
        <w:pStyle w:val="Heading3"/>
        <w:spacing w:after="120" w:before="280"/>
      </w:pPr>
      <w:r>
        <w:rPr>
          <w:rFonts w:ascii="Georgia" w:cs="Georgia" w:eastAsia="Georgia" w:hAnsi="Georgia"/>
          <w:b/>
          <w:bCs/>
          <w:color w:val="2B2B2B"/>
          <w:sz w:val="25"/>
          <w:szCs w:val="25"/>
        </w:rPr>
        <w:t xml:space="preserve">Viñeta 8. Anatomía de un error consumado</w:t>
      </w:r>
    </w:p>
    <w:p>
      <w:pPr>
        <w:pStyle w:val="BodyJ"/>
      </w:pPr>
      <w:r>
        <w:t xml:space="preserve">Esta viñeta analiza un error completo, con la disciplina del capítulo 8: sin usar nombres de sesgos y sin dejar que el desenlace conocido juzgue lo que era razonable saber en cada momento.</w:t>
      </w:r>
    </w:p>
    <w:p>
      <w:pPr>
        <w:pStyle w:val="BodyJ"/>
      </w:pPr>
      <w:r>
        <w:rPr>
          <w:i/>
          <w:iCs/>
        </w:rPr>
        <w:t xml:space="preserve">El caso.</w:t>
      </w:r>
      <w:r>
        <w:t xml:space="preserve"> Mujer de 82 años, traída de su casa por "compromiso del estado general". Nota de ingreso nocturno: "ITU en anciana, frecuente en ella según hija; orina de mal olor. Se inicia ceftriaxona". Día 2: "afebril, sigue decaída, ITU en tratamiento". Día 3: "evolución lenta, propia de la edad". Noche del día 3: hipotensión, abdomen agudo; laparotomía: colecistitis gangrenosa. Sobrevive tras UCI prolongada.</w:t>
      </w:r>
    </w:p>
    <w:p>
      <w:pPr>
        <w:pStyle w:val="BodyJ"/>
      </w:pPr>
      <w:r>
        <w:rPr>
          <w:i/>
          <w:iCs/>
        </w:rPr>
        <w:t xml:space="preserve">Reconstrucción por capas.</w:t>
      </w:r>
      <w:r>
        <w:t xml:space="preserve"> </w:t>
      </w:r>
      <w:r>
        <w:rPr>
          <w:b/>
          <w:bCs/>
        </w:rPr>
        <w:t xml:space="preserve">Hechos disponibles el día 1:</w:t>
      </w:r>
      <w:r>
        <w:t xml:space="preserve"> compromiso general inespecífico (relato); "ITU frecuente" (dato heredado de la hija, nunca verificado en registros); orina de mal olor (observación de baja especificidad); sin fiebre documentada; abdomen "blando" en un examen nocturno no dirigido; sin laboratorio hepático solicitado. </w:t>
      </w:r>
      <w:r>
        <w:rPr>
          <w:b/>
          <w:bCs/>
        </w:rPr>
        <w:t xml:space="preserve">Inferencia del día 1:</w:t>
      </w:r>
      <w:r>
        <w:t xml:space="preserve"> "ITU" —formulada como hecho, no como hipótesis; fuerza real: posible, apoyada sobre todo en la frecuencia de la etiqueta en ancianas y en el dato heredado. </w:t>
      </w:r>
      <w:r>
        <w:rPr>
          <w:b/>
          <w:bCs/>
        </w:rPr>
        <w:t xml:space="preserve">Incertidumbre nunca escrita:</w:t>
      </w:r>
      <w:r>
        <w:t xml:space="preserve"> ¿qué explica el compromiso general si la orina no lo explica? (una anciana decaída "por ITU" sin fiebre ni sepsis urinaria es una historia que se cuenta mejor de lo que se sostiene). </w:t>
      </w:r>
      <w:r>
        <w:rPr>
          <w:b/>
          <w:bCs/>
        </w:rPr>
        <w:t xml:space="preserve">Decisión del día 1:</w:t>
      </w:r>
      <w:r>
        <w:t xml:space="preserve"> antibiótico razonable como apuesta empírica; el error no fue tratarla, fue tratarla </w:t>
      </w:r>
      <w:r>
        <w:rPr>
          <w:i/>
          <w:iCs/>
        </w:rPr>
        <w:t xml:space="preserve">sin criterio de reapertura</w:t>
      </w:r>
      <w:r>
        <w:t xml:space="preserve">: ninguna nota decía qué evolución obligaría a reexaminar.</w:t>
      </w:r>
    </w:p>
    <w:p>
      <w:pPr>
        <w:pStyle w:val="BodyJ"/>
      </w:pPr>
      <w:r>
        <w:rPr>
          <w:i/>
          <w:iCs/>
        </w:rPr>
        <w:t xml:space="preserve">Dónde estuvo la oportunidad.</w:t>
      </w:r>
      <w:r>
        <w:t xml:space="preserve"> El día 2, "afebril pero sigue decaída" era una discordancia informativa: el tratamiento correcto de la hipótesis correcta debía producir mejoría del estado general, no sólo apirexia. La reinterpretación ("evolución lenta, propia de la edad") inmunizó la hipótesis justo cuando la evolución la estaba degradando. Un examen abdominal dirigido, un perfil hepático o la simple pregunta de pase de visita —"¿qué no explica la ITU?"— tenían, ese día, su máximo valor. El día 3 la pregunta ya era innecesaria: el abdomen la respondió solo.</w:t>
      </w:r>
    </w:p>
    <w:p>
      <w:pPr>
        <w:pStyle w:val="BodyJ"/>
      </w:pPr>
      <w:r>
        <w:rPr>
          <w:i/>
          <w:iCs/>
        </w:rPr>
        <w:t xml:space="preserve">Lo que no debe concluirse.</w:t>
      </w:r>
      <w:r>
        <w:t xml:space="preserve"> El desenlace no demuestra que el equipo fuera incompetente, ni que toda "ITU en anciana" esconda una colecistitis. Con la información del día 1, la ITU era una apuesta empírica defendible. Lo indefendible era la arquitectura: un dato heredado con autoridad de hecho, una etiqueta que absorbió el caso, ninguna incertidumbre registrada, ninguna condición de reapertura. El mismo proceso, con desenlace benigno (una ITU real que respondía), habría dejado la misma vulnerabilidad instalada para la próxima paciente.</w:t>
      </w:r>
    </w:p>
    <w:p>
      <w:pPr>
        <w:pStyle w:val="BodyJ"/>
      </w:pPr>
      <w:r>
        <w:rPr>
          <w:i/>
          <w:iCs/>
        </w:rPr>
        <w:t xml:space="preserve">Frase medular (la que faltó el día 1):</w:t>
      </w:r>
      <w:r>
        <w:t xml:space="preserve"> "Compromiso del estado general no explicado en mujer de 82 años; bacteriuria posible como causa, no demostrada —tratamiento empírico iniciado. El decaimiento no tiene aún explicación suficiente: reexaminar abdomen y ampliar estudio si no hay mejoría global en 48 horas."</w:t>
      </w:r>
    </w:p>
    <w:p>
      <w:pPr>
        <w:pStyle w:val="BodyJ"/>
      </w:pPr>
      <w:r>
        <w:rPr>
          <w:i/>
          <w:iCs/>
        </w:rPr>
        <w:t xml:space="preserve">Lectura metacognitiva.</w:t>
      </w:r>
      <w:r>
        <w:t xml:space="preserve"> Nótese que la frase que faltó no requería más conocimiento médico, más tiempo ni más exámenes esa noche. Requería una disciplina de escritura: separar el hecho (decaimiento no explicado) de la inferencia (bacteriuria posible), conservar la incertidumbre (explicación insuficiente) y programar la revisión (48 horas, criterio global). Es la demostración más dura de la tesis de este libro: la epistemología de una frase puede ser la diferencia entre un susto y una laparotomía de madrugada.</w:t>
      </w:r>
    </w:p>
    <w:p>
      <w:pPr>
        <w:pStyle w:val="Heading3"/>
        <w:spacing w:after="120" w:before="280"/>
      </w:pPr>
      <w:r>
        <w:rPr>
          <w:rFonts w:ascii="Georgia" w:cs="Georgia" w:eastAsia="Georgia" w:hAnsi="Georgia"/>
          <w:b/>
          <w:bCs/>
          <w:color w:val="2B2B2B"/>
          <w:sz w:val="25"/>
          <w:szCs w:val="25"/>
        </w:rPr>
        <w:t xml:space="preserve">Viñeta 9. "Lo veo raro": el testimonio de la madre</w:t>
      </w:r>
    </w:p>
    <w:p>
      <w:pPr>
        <w:pStyle w:val="BodyJ"/>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pPr>
      <w:r>
        <w:rPr>
          <w:i/>
          <w:iCs/>
        </w:rPr>
        <w:t xml:space="preserve">Hechos:</w:t>
      </w:r>
      <w:r>
        <w:t xml:space="preserve"> temperatura normalizada bajo antipirético (dato medido, pero bajo intervención); examen sin foco en una evaluación puntual; y un relato de tercero que describe un cambio conductual respecto del basal — información longitudinal a la que ningún examen de veinte minutos accede.</w:t>
      </w:r>
    </w:p>
    <w:p>
      <w:pPr>
        <w:pStyle w:val="BodyJ"/>
      </w:pPr>
      <w:r>
        <w:rPr>
          <w:i/>
          <w:iCs/>
        </w:rPr>
        <w:t xml:space="preserve">Inferencia:</w:t>
      </w:r>
      <w:r>
        <w:t xml:space="preserve"> cuadro viral banal es lo más probable por prevalencia. Pero la preocupación parental por "no ser él mismo" no es ruido afectivo: es una observación experta sobre el único basal disponible, y la evidencia le da rango de señal — en series de atención primaria, la intuición del clínico de que "algo anda mal", frecuentemente gatillada por la inquietud de los padres, tuvo mayor valor diagnóstico que la mayoría de los signos aislados para detectar infección grave (Van den Bruel et al., 2012).</w:t>
      </w:r>
    </w:p>
    <w:p>
      <w:pPr>
        <w:pStyle w:val="BodyJ"/>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el equivalente pediátrico de la injusticia testimonial del capítulo 14 — y además, simplemente, mala medicina: pocas fuentes de información tienen mejor razón señal-ruido que quien mira a ese niño todos los días.</w:t>
      </w:r>
    </w:p>
    <w:p>
      <w:pPr>
        <w:pStyle w:val="Heading3"/>
        <w:spacing w:after="120" w:before="280"/>
      </w:pPr>
      <w:r>
        <w:rPr>
          <w:rFonts w:ascii="Georgia" w:cs="Georgia" w:eastAsia="Georgia" w:hAnsi="Georgia"/>
          <w:b/>
          <w:bCs/>
          <w:color w:val="2B2B2B"/>
          <w:sz w:val="25"/>
          <w:szCs w:val="25"/>
        </w:rPr>
        <w:t xml:space="preserve">Viñeta 10. El dolor abdominal de la paciente que "somatiza"</w:t>
      </w:r>
    </w:p>
    <w:p>
      <w:pPr>
        <w:pStyle w:val="BodyJ"/>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 la paciente tolera mal la palpación y su tratamiento antipsicótico puede atenuar la expresión del dolor y enlentecer el tránsito.</w:t>
      </w:r>
    </w:p>
    <w:p>
      <w:pPr>
        <w:pStyle w:val="BodyJ"/>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atribuir los síntomas físicos a la enfermedad mental— y consecuencias medibles: las personas con enfermedad mental grave mueren 15 a 20 años antes, en gran parte por enfermedad física subdiagnosticada y subtratada (Thornicroft, 2011).</w:t>
      </w:r>
    </w:p>
    <w:p>
      <w:pPr>
        <w:pStyle w:val="BodyJ"/>
      </w:pPr>
      <w:r>
        <w:rPr>
          <w:i/>
          <w:iCs/>
        </w:rPr>
        <w:t xml:space="preserve">Incertidumbre:</w:t>
      </w:r>
      <w:r>
        <w:t xml:space="preserve"> la peligrosa es un abdomen quirúrgico enmascarado — por el antipsicótico, por la dificultad comunicativa y por la disposición del equipo a cerrar temprano. Es exactamente el caso donde el examen "poco confiable" obliga a más objetividad, no a menos: laboratorio e imagen deciden lo que la palpación no puede.</w:t>
      </w:r>
    </w:p>
    <w:p>
      <w:pPr>
        <w:pStyle w:val="BodyJ"/>
      </w:pPr>
      <w:r>
        <w:rPr>
          <w:i/>
          <w:iCs/>
        </w:rPr>
        <w:t xml:space="preserve">Decisión:</w:t>
      </w:r>
      <w:r>
        <w:t xml:space="preserve"> mismo estándar que para cualquier paciente con dolor abdominal y taquicardia — laboratorio completo, imagen según hallazgos, reevaluación programada— más un estándar adicional: documentar explícitamente que la evaluación fue limitada y por qué, para que el siguiente lector no herede "abdomen negativo" donde hubo "abdomen no evaluable". La etiqueta "somatiza" no entra a la ficha sin procedencia.</w:t>
      </w:r>
    </w:p>
    <w:p>
      <w:pPr>
        <w:pStyle w:val="BodyJ"/>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pPr>
      <w:r>
        <w:rPr>
          <w:i/>
          <w:iCs/>
        </w:rPr>
        <w:t xml:space="preserve">Lectura metacognitiva.</w:t>
      </w:r>
      <w:r>
        <w:t xml:space="preserve"> Esta viñeta es el capítulo 14 con mortalidad: la injusticia testimonial —descontar el relato por quién lo dice— aquí no es sólo un agravio moral sino un mecanismo causal de la brecha de 15 a 20 años de vida. Nótese el movimiento epistémico central: cuando el testimonio y el examen valen menos de lo habitual, el estándar de estudio objetivo sube en compensación. El ensombrecimiento hace exactamente lo contrario — usa la dificultad como excusa para bajar el estándar — y por eso mata.</w:t>
      </w:r>
    </w:p>
    <w:p>
      <w:pPr>
        <w:pStyle w:val="Heading3"/>
        <w:spacing w:after="120" w:before="280"/>
      </w:pPr>
      <w:r>
        <w:rPr>
          <w:rFonts w:ascii="Georgia" w:cs="Georgia" w:eastAsia="Georgia" w:hAnsi="Georgia"/>
          <w:b/>
          <w:bCs/>
          <w:color w:val="2B2B2B"/>
          <w:sz w:val="25"/>
          <w:szCs w:val="25"/>
        </w:rPr>
        <w:t xml:space="preserve">Lo común a las diez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—de la urgencia de las 3:00 al final de la vida, del lactante que no habla a la paciente a la que no se le cree— la decisión termina con la misma cláusula: qué la haría cambiar, quién lo detectará y cuándo.</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ronda,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conviene declararla. De un lado, Croskerry y su tradición sostienen que conocer los sesgos y entrenar estrategias de debiasing mejora el diagnóstico (Croskerry, 2003; Croskerry et al., 2013a, 2013b). Del otro, Norman, Monteiro y colegas han acumulado evidencia incómoda: la mayoría de los errores diagnósticos se asocia a déficits de conocimiento más que a fallas puras de proceso,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de este libro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este libro propone no es vigilancia interna permanente ni listas universales —las versiones que la evidencia ha desinflado—, sino artefactos externos y selectivos: un lenguaje que obliga a graduar afirmaciones, una estructura de nota que conserva las capas, pausas activadas por disparadores definidos y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Rondas y pases de turno</w:t>
      </w:r>
    </w:p>
    <w:p>
      <w:pPr>
        <w:pStyle w:val="BodyJ"/>
      </w:pPr>
      <w:r>
        <w:t xml:space="preserve">Una ronda puede incorporar una pausa breve en casos seleccionados:</w:t>
      </w:r>
    </w:p>
    <w:p>
      <w:pPr>
        <w:pStyle w:val="BodyJ"/>
        <w:numPr>
          <w:ilvl w:val="0"/>
          <w:numId w:val="6"/>
        </w:numPr>
      </w:pPr>
      <w:r>
        <w:t xml:space="preserve">¿cuál es la pregunta operativa de hoy?;</w:t>
      </w:r>
    </w:p>
    <w:p>
      <w:pPr>
        <w:pStyle w:val="BodyJ"/>
        <w:numPr>
          <w:ilvl w:val="0"/>
          <w:numId w:val="6"/>
        </w:numPr>
      </w:pPr>
      <w:r>
        <w:t xml:space="preserve">¿qué hecho nuevo cambió la representación?;</w:t>
      </w:r>
    </w:p>
    <w:p>
      <w:pPr>
        <w:pStyle w:val="BodyJ"/>
        <w:numPr>
          <w:ilvl w:val="0"/>
          <w:numId w:val="6"/>
        </w:numPr>
      </w:pPr>
      <w:r>
        <w:t xml:space="preserve">¿qué inferencia estamos tratando como si fuera dato?;</w:t>
      </w:r>
    </w:p>
    <w:p>
      <w:pPr>
        <w:pStyle w:val="BodyJ"/>
        <w:numPr>
          <w:ilvl w:val="0"/>
          <w:numId w:val="6"/>
        </w:numPr>
      </w:pPr>
      <w:r>
        <w:t xml:space="preserve">¿qué incertidumbre podría producir mayor daño?;</w:t>
      </w:r>
    </w:p>
    <w:p>
      <w:pPr>
        <w:pStyle w:val="BodyJ"/>
        <w:numPr>
          <w:ilvl w:val="0"/>
          <w:numId w:val="6"/>
        </w:numPr>
      </w:pPr>
      <w:r>
        <w:t xml:space="preserve">¿quién verificará el resultado pendiente?</w:t>
      </w:r>
    </w:p>
    <w:p>
      <w:pPr>
        <w:pStyle w:val="BodyJ"/>
      </w:pPr>
      <w:r>
        <w:t xml:space="preserve">El pase de turno debe transmitir tareas epistémicas, no sólo tratamientos. "Pendiente observar si…" y "si ocurre X, reabrir Y" son componentes de seguridad.</w:t>
      </w:r>
    </w:p>
    <w:p>
      <w:pPr>
        <w:pStyle w:val="Heading3"/>
        <w:spacing w:after="120" w:before="280"/>
      </w:pPr>
      <w:r>
        <w:rPr>
          <w:rFonts w:ascii="Georgia" w:cs="Georgia" w:eastAsia="Georgia" w:hAnsi="Georgia"/>
          <w:b/>
          <w:bCs/>
          <w:color w:val="2B2B2B"/>
          <w:sz w:val="25"/>
          <w:szCs w:val="25"/>
        </w:rPr>
        <w:t xml:space="preserve">Conferencias de aprendizaje</w:t>
      </w:r>
    </w:p>
    <w:p>
      <w:pPr>
        <w:pStyle w:val="BodyJ"/>
      </w:pPr>
      <w:r>
        <w:t xml:space="preserve">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8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Heading3"/>
        <w:spacing w:after="120" w:before="280"/>
      </w:pPr>
      <w:r>
        <w:rPr>
          <w:rFonts w:ascii="Georgia" w:cs="Georgia" w:eastAsia="Georgia" w:hAnsi="Georgia"/>
          <w:b/>
          <w:bCs/>
          <w:color w:val="2B2B2B"/>
          <w:sz w:val="25"/>
          <w:szCs w:val="25"/>
        </w:rPr>
        <w:t xml:space="preserve">Feedback diagnóstico</w:t>
      </w:r>
    </w:p>
    <w:p>
      <w:pPr>
        <w:pStyle w:val="BodyJ"/>
      </w:pPr>
      <w:r>
        <w:t xml:space="preserve">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exceso de confianza en un dominio, subestimación de recurrencias, tendencia a tratar cultivos sin síndrome o dificultad para reconocer diagnósticos funcionales. El Taller 5 de este libro es su versión mínima. El portafolio como instrumento docente tiene además desarrollo propio en la educación médica latinoamericana, incluida la validación en español de instrumentos para evaluar su uso (Riquelme et al., 2011).</w:t>
      </w:r>
    </w:p>
    <w:p>
      <w:pPr>
        <w:pStyle w:val="Heading3"/>
        <w:spacing w:after="120" w:before="280"/>
      </w:pPr>
      <w:r>
        <w:rPr>
          <w:rFonts w:ascii="Georgia" w:cs="Georgia" w:eastAsia="Georgia" w:hAnsi="Georgia"/>
          <w:b/>
          <w:bCs/>
          <w:color w:val="2B2B2B"/>
          <w:sz w:val="25"/>
          <w:szCs w:val="25"/>
        </w:rPr>
        <w:t xml:space="preserve">Lenguaje institucional</w:t>
      </w:r>
    </w:p>
    <w:p>
      <w:pPr>
        <w:pStyle w:val="BodyJ"/>
      </w:pPr>
      <w:r>
        <w:t xml:space="preserve">Las plantillas de ficha pueden apoyar o degradar el pensamiento. Campos obligatorios interminables producen copia; campos demasiado libres ocultan información crítica. Una plantilla equilibrada incluye problema, hechos nuevos, evaluación con grado de certeza, plan y criterios de reevaluación.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Evaluar el razonamiento, no sólo la respuesta</w:t>
      </w:r>
    </w:p>
    <w:p>
      <w:pPr>
        <w:pStyle w:val="BodyJ"/>
      </w:pPr>
      <w:r>
        <w:t xml:space="preserve">La educación clínica suele premiar el diagnóstico correcto, aunque haya sido obtenido por un proceso frágil, y castigar el diagnóstico incorrecto incluso cuando la incertidumbre estaba bien calibrada. Este patrón enseña a ocultar dudas y reconstruir narrativas retrospectivas. Una evaluación metacognitiva debe observar también representación del problema, calidad de alternativas, uso de evidencia contradictoria, confianza y plan de revisión.</w:t>
      </w:r>
    </w:p>
    <w:p>
      <w:pPr>
        <w:pStyle w:val="BodyJ"/>
      </w:pPr>
      <w:r>
        <w:t xml:space="preserve">Los docentes pueden pedir al aprendiz que marque cada afirmación como hecho, inferencia o incertidumbre; que identifique el dato de mayor peso; que señale qué cambio modificaría la conducta; y que estime su confianza antes de conocer la respuesta. El objetivo no es ralentizar todas las decisiones, sino construir un repertorio de pausas transferibles a casos reales.</w:t>
      </w:r>
    </w:p>
    <w:p>
      <w:pPr>
        <w:pStyle w:val="BodyJ"/>
      </w:pPr>
      <w:r>
        <w:t xml:space="preserve">Las instituciones aprenden cuando conservan no sólo resultados, sino trayectorias de decisión. Auditorías, reuniones clínicas y sistemas de reporte deberían reconstruir qué información estaba disponible en cada momento y cómo circuló. Esa memoria protege contra el sesgo retrospectivo y permite transformar errores en cambios concretos de representación, coordinación o umbral.</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EnUnaFrase"/>
      </w:pPr>
      <w:r>
        <w:rPr>
          <w:b/>
          <w:bCs/>
        </w:rPr>
        <w:t xml:space="preserve">En una frase.</w:t>
      </w:r>
      <w:r>
        <w:t xml:space="preserve"> La metacognición clínica se enseña con representaciones y feedback, y se organiza con rondas,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4"/>
        </w:numPr>
      </w:pPr>
      <w:r>
        <w:t xml:space="preserve">La última vez que enseñé un caso, ¿pedí el diagnóstico o pedí primero la representación del problema?</w:t>
      </w:r>
    </w:p>
    <w:p>
      <w:pPr>
        <w:pStyle w:val="BodyJ"/>
        <w:numPr>
          <w:ilvl w:val="0"/>
          <w:numId w:val="24"/>
        </w:numPr>
      </w:pPr>
      <w:r>
        <w:t xml:space="preserve">¿Qué pasó con el último paciente que derivé o di de alta con diagnóstico incierto — y cómo podría enterarme sistemáticamente?</w:t>
      </w:r>
    </w:p>
    <w:p>
      <w:pPr>
        <w:pStyle w:val="BodyJ"/>
        <w:numPr>
          <w:ilvl w:val="0"/>
          <w:numId w:val="24"/>
        </w:numPr>
      </w:pPr>
      <w:r>
        <w:t xml:space="preserve">Si mañana dirigiera mi servicio, ¿cuál de las tres palancas (ronda, ficha, revisión de errores) cambiaría primero, y qué costaría?</w:t>
      </w:r>
    </w:p>
    <w:p>
      <w:pPr>
        <w:pStyle w:val="Heading2"/>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La inteligencia artificial en el proceso clínico: roles, riesgos y defensas</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 no en abstracto, sino con la evidencia ya disponible—; y cómo enfrentarlos sin renunciar a la herramienta ni al juicio. Y sostiene una tesis transversal: casi ninguno de estos riesgos es nuevo. Cada uno es un sesgo que este libro ya describió, ahora con amplificador.</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 contenido no sustentado o inconsistente con la fuente o 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El rol en el proceso diagnóstico</w:t>
      </w:r>
    </w:p>
    <w:p>
      <w:pPr>
        <w:pStyle w:val="BodyJ"/>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pPr>
      <w:r>
        <w:t xml:space="preserve">Pero el dato más instructivo sobre el rol diagnóstico real es otro: un ensayo aleatorizado entregó a internistas un modelo de lenguaje como apoyo para resolver casos clínicos. El grupo con el modelo no diagnosticó mejor que el grupo sin él — y el modelo solo, sin médico, superó a ambos (Goh et al., 2024). La lectura fácil ("la máquina ya es mejor") pasa por alto la lección metacognitiva: el eslabón débil no fue el modelo ni el médico, sino la conversación entre ambos. Los clínicos usaron la herramienta como oráculo de confirmación — pegarle el caso y mirar si coincide con lo que ya pensaban — en vez de usarla para lo que mejor hace: ampliar el espacio de hipótesis, proponer el contraejemplo, señalar el dato que no encaja. El capítulo 2 mostró que la generación de alternativas es el momento creativo del diagnóstico; usada ahí, la IA es un multiplicador. Usada como confirmadora rápida, es un espejo del anclaje.</w:t>
      </w:r>
    </w:p>
    <w:p>
      <w:pPr>
        <w:pStyle w:val="Heading3"/>
        <w:spacing w:after="120" w:before="280"/>
      </w:pPr>
      <w:r>
        <w:rPr>
          <w:rFonts w:ascii="Georgia" w:cs="Georgia" w:eastAsia="Georgia" w:hAnsi="Georgia"/>
          <w:b/>
          <w:bCs/>
          <w:color w:val="2B2B2B"/>
          <w:sz w:val="25"/>
          <w:szCs w:val="25"/>
        </w:rPr>
        <w:t xml:space="preserve">El rol en el proceso terapéutico</w:t>
      </w:r>
    </w:p>
    <w:p>
      <w:pPr>
        <w:pStyle w:val="BodyJ"/>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este libro pide para cualquier afirmación — ¿funciona aquí, con estos pacientes, con esta prevalencia? Es la lección de la Parte III aplicada al software: una herramienta no hereda la validez de su marca, y la validación externa no es un trámite — es la diferencia entre una alerta y un ruido.</w:t>
      </w:r>
    </w:p>
    <w:p>
      <w:pPr>
        <w:pStyle w:val="BodyJ"/>
      </w:pPr>
      <w:r>
        <w:t xml:space="preserve">Hay un segundo límite terapéutico más silencioso. Una recomendación de intervención generada por IA opera sobre lo que está escrito, y el capítulo 10 mostró que lo menos escrito de la ficha es precisamente el contexto global — funcionalidad basal, pronóstico de fondo, red de apoyo, fines del paciente. Un sistema que no ve esos hechos no puede ponderarlos: recomendará la intervención "indicada" para la enfermedad documentada, que es exactamente el error de la indicación aislada. La IA no exime del cruce con la bioética; lo vuelve más urgente, porque automatiza la mitad técnica del razonamiento y deja la otra mitad — la que juzga si la intervención es proporcionada para este enfermo — enteramente del lado humano.</w:t>
      </w:r>
    </w:p>
    <w:p>
      <w:pPr>
        <w:pStyle w:val="Heading3"/>
        <w:spacing w:after="120" w:before="280"/>
      </w:pPr>
      <w:r>
        <w:rPr>
          <w:rFonts w:ascii="Georgia" w:cs="Georgia" w:eastAsia="Georgia" w:hAnsi="Georgia"/>
          <w:b/>
          <w:bCs/>
          <w:color w:val="2B2B2B"/>
          <w:sz w:val="25"/>
          <w:szCs w:val="25"/>
        </w:rPr>
        <w:t xml:space="preserve">Competencia sin garantía</w:t>
      </w:r>
    </w:p>
    <w:p>
      <w:pPr>
        <w:pStyle w:val="BodyJ"/>
      </w:pPr>
      <w:r>
        <w:t xml:space="preserve">Estudios han mostrado que modelos avanzados codifican conocimiento médico y alcanzan alto rendimiento en preguntas y casos seleccionados (Singhal et al., 2023). Lee, Bubeck y Petro describieron beneficios potenciales junto con límites y riesgos de GPT-4 en medicina (Lee et al., 2023). El rendimiento promedio no garantiza confiabilidad en un caso individual, especialmente cuando faltan datos, hay ambigüedad o la tarea exige conocimiento local. Y las consecuencias no intencionadas del aprendizaje automático en medicina —desde la automatización de sesgos presentes en los datos hasta la erosión de habilidades por deferencia— han sido advertidas desde antes de los modelos generativos (Cabitza et al., 2017).</w:t>
      </w:r>
    </w:p>
    <w:p>
      <w:pPr>
        <w:pStyle w:val="BodyJ"/>
      </w:pPr>
      <w:r>
        <w:t xml:space="preserve">La fluidez aumenta el riesgo de automatización: el usuario puede aceptar una respuesta porque está bien estructurada. El problema es metacognitivo. La confianza percibida en el lenguaje no informa necesariamente la probabilidad de corrección. La IA puede parecer mejor calibrada de lo que está.</w:t>
      </w:r>
    </w:p>
    <w:p>
      <w:pPr>
        <w:pStyle w:val="Heading3"/>
        <w:spacing w:after="120" w:before="280"/>
      </w:pPr>
      <w:r>
        <w:rPr>
          <w:rFonts w:ascii="Georgia" w:cs="Georgia" w:eastAsia="Georgia" w:hAnsi="Georgia"/>
          <w:b/>
          <w:bCs/>
          <w:color w:val="2B2B2B"/>
          <w:sz w:val="25"/>
          <w:szCs w:val="25"/>
        </w:rPr>
        <w:t xml:space="preserve">El catálogo de riesgos</w:t>
      </w:r>
    </w:p>
    <w:p>
      <w:pPr>
        <w:pStyle w:val="BodyJ"/>
      </w:pPr>
      <w:r>
        <w:t xml:space="preserve">Los riesgos de la IA clínica ya no son especulación; tienen literatura propia. Conviene tenerlos en catálogo, con su parentesco epistémico a la vista:</w:t>
      </w:r>
    </w:p>
    <w:p>
      <w:pPr>
        <w:pStyle w:val="BodyJ"/>
        <w:numPr>
          <w:ilvl w:val="0"/>
          <w:numId w:val="6"/>
        </w:numPr>
      </w:pPr>
      <w:r>
        <w:rPr>
          <w:b/>
          <w:bCs/>
        </w:rPr>
        <w:t xml:space="preserve">Confabulación.</w:t>
      </w:r>
      <w:r>
        <w:t xml:space="preserve"> Contenido no sustentado presentado con coherencia (Ji et al., 2023). Es la certeza retórica del capítulo 4, industrializada: prosa donde los hechos, las inferencias y lo inventado llegan con la misma sintaxis.</w:t>
      </w:r>
    </w:p>
    <w:p>
      <w:pPr>
        <w:pStyle w:val="BodyJ"/>
        <w:numPr>
          <w:ilvl w:val="0"/>
          <w:numId w:val="6"/>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 el usuario que habría acertado solo y se equivoca por deferencia (Goddard et al., 2012). La versión de la era de los modelos de lenguaje ya tiene ensayo aleatorizado: médicos que habían completado veinte horas de alfabetización en IA, expuestos a recomendaciones de un modelo con errores deliberados, perdieron catorce puntos de exactitud diagnóstica frente a quienes recibieron recomendaciones correctas (Qazi et al., 2026). La alfabetización general no inmuniza; la vigilancia caso a caso no se delega en un curso. Es el anclaje del capítulo 7 más la autoridad no interrogada, con interfaz.</w:t>
      </w:r>
    </w:p>
    <w:p>
      <w:pPr>
        <w:pStyle w:val="BodyJ"/>
        <w:numPr>
          <w:ilvl w:val="0"/>
          <w:numId w:val="6"/>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 seis puntos absolutos menos que antes de la exposición (Budzyń et al., 2025). La pericia perceptual del capítulo 6 se mantiene con práctica; si la máquina practica por nosotros, la cuenta llega en la primera guardia sin máquina.</w:t>
      </w:r>
    </w:p>
    <w:p>
      <w:pPr>
        <w:pStyle w:val="BodyJ"/>
        <w:numPr>
          <w:ilvl w:val="0"/>
          <w:numId w:val="6"/>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 y en poblaciones históricamente subatendidas se gasta menos (Obermeyer et al., 2019). El error no estaba en la matemática sino en la elección del sustituto: la carga teórica de la observación del capítulo 1, a escala poblacional. Ningún dato de entrenamiento es neutro; alguien decidió qué medir.</w:t>
      </w:r>
    </w:p>
    <w:p>
      <w:pPr>
        <w:pStyle w:val="BodyJ"/>
        <w:numPr>
          <w:ilvl w:val="0"/>
          <w:numId w:val="6"/>
        </w:numPr>
      </w:pPr>
      <w:r>
        <w:rPr>
          <w:b/>
          <w:bCs/>
        </w:rPr>
        <w:t xml:space="preserve">Sobreconfianza no calibrada.</w:t>
      </w:r>
      <w:r>
        <w:t xml:space="preserve"> La confianza verbalizada de los modelos tiende a la sobreconfianza sistemática (Kadavath et al., 2022; Xiong et al., 2024): el "estoy bastante seguro" del modelo es tono, no calibración — la sobreconfianza del capítulo 5, sin siquiera un historial propio de errores que la eduque.</w:t>
      </w:r>
    </w:p>
    <w:p>
      <w:pPr>
        <w:pStyle w:val="BodyJ"/>
        <w:numPr>
          <w:ilvl w:val="0"/>
          <w:numId w:val="6"/>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pPr>
      <w:r>
        <w:t xml:space="preserve">La columna vertebral del catálogo es una sola observación: la IA no introdujo errores nuevos en la medicina. Automatizó los que ya teníamos y les quitó los frenos naturales — la lentitud, la duda, el cansancio que a veces obligaba a pedir ayuda.</w:t>
      </w:r>
    </w:p>
    <w:p>
      <w:pPr>
        <w:pStyle w:val="Heading3"/>
        <w:spacing w:after="120" w:before="280"/>
      </w:pPr>
      <w:r>
        <w:rPr>
          <w:rFonts w:ascii="Georgia" w:cs="Georgia" w:eastAsia="Georgia" w:hAnsi="Georgia"/>
          <w:b/>
          <w:bCs/>
          <w:color w:val="2B2B2B"/>
          <w:sz w:val="25"/>
          <w:szCs w:val="25"/>
        </w:rPr>
        <w:t xml:space="preserve">El riesgo de fondo: la formación del razonador</w:t>
      </w:r>
    </w:p>
    <w:p>
      <w:pPr>
        <w:pStyle w:val="BodyJ"/>
      </w:pPr>
      <w:r>
        <w:t xml:space="preserve">Hay un riesgo más lento que todos los del catálogo, y puede importar más: el efecto de la IA sobre quien todavía está aprendiendo a razonar. La educación médica ya le puso nombres a la tríada (Abdulnour et al., 2025): </w:t>
      </w:r>
      <w:r>
        <w:rPr>
          <w:i/>
          <w:iCs/>
        </w:rPr>
        <w:t xml:space="preserve">deskilling</w:t>
      </w:r>
      <w:r>
        <w:t xml:space="preserve"> — sé razonar, delego repetidamente, dejo de ejercitar, la capacidad se deteriora—; </w:t>
      </w:r>
      <w:r>
        <w:rPr>
          <w:i/>
          <w:iCs/>
        </w:rPr>
        <w:t xml:space="preserve">never-skilling</w:t>
      </w:r>
      <w:r>
        <w:t xml:space="preserve"> — la IA estuvo disponible desde el inicio de la formación, la operación cognitiva nunca se ejecutó las veces necesarias, la competencia nunca se consolidó—; y </w:t>
      </w:r>
      <w:r>
        <w:rPr>
          <w:i/>
          <w:iCs/>
        </w:rPr>
        <w:t xml:space="preserve">mis-skilling</w:t>
      </w:r>
      <w:r>
        <w:t xml:space="preserve"> — se aprendió, pero patrones incorrectos, imitando salidas que nadie auditaba—. El segundo es el más grave porque es invisible: la habilidad perdida deja un recuerdo y una alarma; la que nunca se construyó no deja nada que echar de menos.</w:t>
      </w:r>
    </w:p>
    <w:p>
      <w:pPr>
        <w:pStyle w:val="BodyJ"/>
      </w:pPr>
      <w:r>
        <w:t xml:space="preserve">El mecanismo es preciso, y una parte de este libro ya lo había descrito sin nombrar la IA. Escribir la nota clínica no es registrar un pensamiento terminado: seleccionar qué dato importa, jerarquizarlo y estructurarlo es parte del proceso mismo de pensar — la tesis del capítulo 12, la ficha como instrumento de pensamiento. Por eso la automatización completa de la escritura clínica no ahorra sólo tiempo: puede eliminar la instancia en la que el clínico construye su razonamiento, degradando el registro y al registrador a la vez (McCoy et al., 2024). La ecuación merece escribirse entera: ahorro de trabajo cognitivo inmediato, a cambio de las operaciones mediante las cuales se construye la competencia.</w:t>
      </w:r>
    </w:p>
    <w:p>
      <w:pPr>
        <w:pStyle w:val="BodyJ"/>
      </w:pPr>
      <w:r>
        <w:t xml:space="preserve">Hay un tercer fenómeno que ni siquiera exige que la IA se equivoque: la captura cognitiva. Quien ve primero la respuesta del modelo ya no genera hipótesis desde el caso: su búsqueda de alternativas, su lectura de los datos y su ponderación posterior quedan condicionadas por lo que ya leyó — el anclaje del capítulo 7, con la diferencia de que aquí el ancla puede llegar antes que el paciente. Una IA excelente que entrega demasiado pronto la hipótesis, la síntesis o la inferencia que el aprendiz debía producir no daña la respuesta de hoy; daña la arquitectura del aprendizaje. Porque el valor cognitivo de un caso no está sólo en llegar a la conclusión correcta: está en ejecutar las operaciones que permiten llegar a ella, revisarla y, cuando corresponde, abandonarla. Una herramienta que aumenta el porcentaje de respuestas correctas puede, paradójicamente, mejorar el desempeño de hoy mientras empeora al razonador de mañana.</w:t>
      </w:r>
    </w:p>
    <w:p>
      <w:pPr>
        <w:pStyle w:val="BodyJ"/>
      </w:pPr>
      <w:r>
        <w:t xml:space="preserve">La aviación conoce esta trampa con nombre propio: la paradoja de la automatización — cuanto más competente es el sistema, menos ejercita el humano las habilidades necesarias para detectar cuándo falla, que es exactamente cuando más se lo necesita (Abdulnour et al., 2026). La respuesta pedagógica propuesta frente a ella coincide, casi palabra por palabra, con la disciplina de este libro: razonar primero de forma independiente, consultar después, y usar la IA para desafiar, ampliar o refinar ese razonamiento — nunca para reemplazar su ejecución.</w:t>
      </w:r>
    </w:p>
    <w:p>
      <w:pPr>
        <w:pStyle w:val="Heading3"/>
        <w:spacing w:after="120" w:before="280"/>
      </w:pPr>
      <w:r>
        <w:rPr>
          <w:rFonts w:ascii="Georgia" w:cs="Georgia" w:eastAsia="Georgia" w:hAnsi="Georgia"/>
          <w:b/>
          <w:bCs/>
          <w:color w:val="2B2B2B"/>
          <w:sz w:val="25"/>
          <w:szCs w:val="25"/>
        </w:rPr>
        <w:t xml:space="preserve">Cómo enfrentarlos: las defensas del clínico</w:t>
      </w:r>
    </w:p>
    <w:p>
      <w:pPr>
        <w:pStyle w:val="BodyJ"/>
      </w:pPr>
      <w:r>
        <w:t xml:space="preserve">La primera defensa ya está en este libro.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De esa auditoría se desprenden reglas de uso que caben en una tarjeta:</w:t>
      </w:r>
    </w:p>
    <w:p>
      <w:pPr>
        <w:pStyle w:val="BodyJ"/>
        <w:numPr>
          <w:ilvl w:val="0"/>
          <w:numId w:val="25"/>
        </w:numPr>
      </w:pPr>
      <w:r>
        <w:rPr>
          <w:b/>
          <w:bCs/>
        </w:rPr>
        <w:t xml:space="preserve">Razonar antes de consultar.</w:t>
      </w:r>
      <w:r>
        <w:t xml:space="preserve"> Formular la propia hipótesis y el propio plan antes de abrir el asistente: la respuesta vista primero captura la búsqueda posterior. La IA se usa contra un borrador propio, no en su lugar.</w:t>
      </w:r>
    </w:p>
    <w:p>
      <w:pPr>
        <w:pStyle w:val="BodyJ"/>
        <w:numPr>
          <w:ilvl w:val="0"/>
          <w:numId w:val="25"/>
        </w:numPr>
      </w:pPr>
      <w:r>
        <w:rPr>
          <w:b/>
          <w:bCs/>
        </w:rPr>
        <w:t xml:space="preserve">Verificar la afirmación decisiva contra una fuente primaria antes de actuar.</w:t>
      </w:r>
      <w:r>
        <w:t xml:space="preserve"> No todas: la decisiva — la que, de ser falsa, cambia la conducta.</w:t>
      </w:r>
    </w:p>
    <w:p>
      <w:pPr>
        <w:pStyle w:val="BodyJ"/>
        <w:numPr>
          <w:ilvl w:val="0"/>
          <w:numId w:val="25"/>
        </w:numPr>
      </w:pPr>
      <w:r>
        <w:rPr>
          <w:b/>
          <w:bCs/>
        </w:rPr>
        <w:t xml:space="preserve">Usar la herramienta para abrir, no para cerrar.</w:t>
      </w:r>
      <w:r>
        <w:t xml:space="preserve"> Pedir alternativas, contraejemplos y "qué no encaja con este diagnóstico" aprovecha exactamente lo que el ensayo de Goh mostró que desaprovechamos; pedirle confirmación de la hipótesis propia industrializa el anclaje.</w:t>
      </w:r>
    </w:p>
    <w:p>
      <w:pPr>
        <w:pStyle w:val="BodyJ"/>
        <w:numPr>
          <w:ilvl w:val="0"/>
          <w:numId w:val="25"/>
        </w:numPr>
      </w:pPr>
      <w:r>
        <w:rPr>
          <w:b/>
          <w:bCs/>
        </w:rPr>
        <w:t xml:space="preserve">Tratar su confianza como tono, no como evidencia.</w:t>
      </w:r>
      <w:r>
        <w:t xml:space="preserve"> La seguridad de la prosa no informa la probabilidad de corrección — igual que la seguridad de un colega no sustituye sus razones.</w:t>
      </w:r>
    </w:p>
    <w:p>
      <w:pPr>
        <w:pStyle w:val="BodyJ"/>
        <w:numPr>
          <w:ilvl w:val="0"/>
          <w:numId w:val="25"/>
        </w:numPr>
      </w:pPr>
      <w:r>
        <w:rPr>
          <w:b/>
          <w:bCs/>
        </w:rPr>
        <w:t xml:space="preserve">Nunca pegar y firmar.</w:t>
      </w:r>
      <w:r>
        <w:t xml:space="preserve"> Lo que entra a la ficha bajo la firma propia es afirmación propia; el capítulo 12 mostró que la ficha produce lo visible, y una confabulación copiada se convierte en hecho heredado para el siguiente lector — y la síntesis delegada es, además, pensamiento que no ocurrió (McCoy et al., 2024).</w:t>
      </w:r>
    </w:p>
    <w:p>
      <w:pPr>
        <w:pStyle w:val="BodyJ"/>
        <w:numPr>
          <w:ilvl w:val="0"/>
          <w:numId w:val="25"/>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Cómo enfrentarlos: las defensas de la institución</w:t>
      </w:r>
    </w:p>
    <w:p>
      <w:pPr>
        <w:pStyle w:val="BodyJ"/>
      </w:pPr>
      <w:r>
        <w:t xml:space="preserve">Las defensas individuales no bastan, porque varios riesgos del catálogo operan a escala de sistema. Una institución que despliega IA clínica contrae obligaciones epistémicas precisas:</w:t>
      </w:r>
    </w:p>
    <w:p>
      <w:pPr>
        <w:pStyle w:val="BodyJ"/>
        <w:numPr>
          <w:ilvl w:val="0"/>
          <w:numId w:val="6"/>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numPr>
          <w:ilvl w:val="0"/>
          <w:numId w:val="6"/>
        </w:numPr>
      </w:pPr>
      <w:r>
        <w:rPr>
          <w:b/>
          <w:bCs/>
        </w:rPr>
        <w:t xml:space="preserve">Monitoreo continuo con umbrales de retirada.</w:t>
      </w:r>
      <w:r>
        <w:t xml:space="preserve"> Definir antes del despliegue qué degradación obliga a recalibrar o apagar: la falsabilidad del capítulo 15, aplicada al software.</w:t>
      </w:r>
    </w:p>
    <w:p>
      <w:pPr>
        <w:pStyle w:val="BodyJ"/>
        <w:numPr>
          <w:ilvl w:val="0"/>
          <w:numId w:val="6"/>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numPr>
          <w:ilvl w:val="0"/>
          <w:numId w:val="6"/>
        </w:numPr>
      </w:pPr>
      <w:r>
        <w:rPr>
          <w:b/>
          <w:bCs/>
        </w:rPr>
        <w:t xml:space="preserve">Presupuesto de alertas.</w:t>
      </w:r>
      <w:r>
        <w:t xml:space="preserve"> Cada alarma nueva compite por la misma atención finita; una alerta de bajo valor predictivo no es inocua — es ruido que entrena a ignorar, y el equipo que aprendió a ignorar no distingue qué está ignorando.</w:t>
      </w:r>
    </w:p>
    <w:p>
      <w:pPr>
        <w:pStyle w:val="BodyJ"/>
        <w:numPr>
          <w:ilvl w:val="0"/>
          <w:numId w:val="6"/>
        </w:numPr>
      </w:pPr>
      <w:r>
        <w:rPr>
          <w:b/>
          <w:bCs/>
        </w:rPr>
        <w:t xml:space="preserve">Formación que supervise el uso, no sólo la respuesta.</w:t>
      </w:r>
      <w:r>
        <w:t xml:space="preserve"> En docencia, observar cómo el aprendiz usa cognitivamente la herramienta — cuándo consulta, qué acepta, qué verifica, qué habría respondido antes de mirar — y proteger espacios deliberados de práctica sin asistencia (Abdulnour et al., 2025): la competencia que nunca se construyó no se puede "recuperar".</w:t>
      </w:r>
    </w:p>
    <w:p>
      <w:pPr>
        <w:pStyle w:val="BodyJ"/>
        <w:numPr>
          <w:ilvl w:val="0"/>
          <w:numId w:val="6"/>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Heading3"/>
        <w:spacing w:after="120" w:before="280"/>
      </w:pPr>
      <w:r>
        <w:rPr>
          <w:rFonts w:ascii="Georgia" w:cs="Georgia" w:eastAsia="Georgia" w:hAnsi="Georgia"/>
          <w:b/>
          <w:bCs/>
          <w:color w:val="2B2B2B"/>
          <w:sz w:val="25"/>
          <w:szCs w:val="25"/>
        </w:rPr>
        <w:t xml:space="preserve">Metacognición artificial</w:t>
      </w:r>
    </w:p>
    <w:p>
      <w:pPr>
        <w:pStyle w:val="BodyJ"/>
      </w:pPr>
      <w:r>
        <w:t xml:space="preserve">Algunos sistemas pueden expresar confianza, criticar una respuesta o revisar pasos. Eso no demuestra autoconocimiento en el sentido humano. Una salida metacognitiva puede ser otra generación entrenada para imitar evaluación. La pregunta práctica no es si el sistema "sabe que sabe", sino si sus señales de confianza están empíricamente calibradas y si el flujo de trabajo detecta fallas.</w:t>
      </w:r>
    </w:p>
    <w:p>
      <w:pPr>
        <w:pStyle w:val="BodyJ"/>
      </w:pPr>
      <w:r>
        <w:t xml:space="preserve">Esa pregunta ya tiene datos. La evidencia disponible muestra que la confianza verbalizada de los grandes modelos —el "estoy bastante seguro" que escriben— tiende a la sobreconfianza sistemática y se calibra mal, aun cuando algunas señales internas del modelo discriminan mejor de lo que su prosa deja ver (Kadavath et al., 2022; Xiong et al., 2024). La implicación práctica es idéntica a la del capítulo 5, aplicada ahora a la máquina: preguntarle a un modelo cuán seguro está no sustituye la verificación, igual que la seguridad de un colega no sustituye sus razones. La calibración se demuestra con series de predicciones y desenlaces, no con tono.</w:t>
      </w:r>
    </w:p>
    <w:p>
      <w:pPr>
        <w:pStyle w:val="Heading3"/>
        <w:spacing w:after="120" w:before="280"/>
      </w:pPr>
      <w:r>
        <w:rPr>
          <w:rFonts w:ascii="Georgia" w:cs="Georgia" w:eastAsia="Georgia" w:hAnsi="Georgia"/>
          <w:b/>
          <w:bCs/>
          <w:color w:val="2B2B2B"/>
          <w:sz w:val="25"/>
          <w:szCs w:val="25"/>
        </w:rPr>
        <w:t xml:space="preserve">La IA como espejo y provocación filosófica</w:t>
      </w:r>
    </w:p>
    <w:p>
      <w:pPr>
        <w:pStyle w:val="BodyJ"/>
      </w:pPr>
      <w:r>
        <w:t xml:space="preserve">La IA revela que una frase puede conservar la forma externa del razonamiento sin tener acceso directo al evento. Esto obliga a recordar que la coherencia verbal nunca fue garantía suficiente. También muestra el valor del lenguaje como espacio de prueba: pedir alternativas, contraejemplos y explicitar incertidumbre puede mejorar la deliberación humana, aunque no vuelva verdadero al modelo.</w:t>
      </w:r>
    </w:p>
    <w:p>
      <w:pPr>
        <w:pStyle w:val="Quote1"/>
      </w:pPr>
      <w:r>
        <w:t xml:space="preserve">La IA puede ampliar el espacio de hipótesis; no puede asumir por sí sola la responsabilidad de transformar una hipótesis en conducta clínica.</w:t>
      </w:r>
    </w:p>
    <w:p>
      <w:pPr>
        <w:pStyle w:val="BodyJ"/>
      </w:pPr>
      <w:r>
        <w:t xml:space="preserve">Usada con disciplina, puede ser un instrumento metacognitivo externo. Usada por deferencia, puede reforzar el mismo error que pretendía corregir: convertir plausibilidad en certeza.</w:t>
      </w:r>
    </w:p>
    <w:p>
      <w:pPr>
        <w:pStyle w:val="TallerHead"/>
      </w:pPr>
      <w:r>
        <w:t xml:space="preserve">Taller 17. La autopsia de una respuesta</w:t>
      </w:r>
    </w:p>
    <w:p>
      <w:pPr>
        <w:pStyle w:val="BodyJ"/>
      </w:pPr>
      <w:r>
        <w:t xml:space="preserve">Tome un caso real ya resuelto de su servicio —debidamente anonimizado— y péguelo en un asistente de lenguaje pidiendo evaluación y plan. Imprima la respuesta y márquela con tres colores: (1) afirmaciones sustentadas en datos que el caso contenía; (2) contenido que el modelo agregó — detalles "típicos", causalidades, datos que nadie le dio; (3) incertidumbre declarada. Después, haga una segunda pregunta al modelo: "¿qué evidencia haría improbable tu diagnóstico principal?".</w:t>
      </w:r>
    </w:p>
    <w:p>
      <w:pPr>
        <w:pStyle w:val="BodyJ"/>
      </w:pPr>
      <w:r>
        <w:rPr>
          <w:i/>
          <w:iCs/>
        </w:rPr>
        <w:t xml:space="preserve">Solución comentada.</w:t>
      </w:r>
      <w:r>
        <w:t xml:space="preserve"> En ejercicios docentes, tres hallazgos vuelven una y otra vez. Primero, el color 2 aparece más de lo esperado: el modelo rellena huecos con verosimilitud — una evolución "esperable", un factor de riesgo "presumible" — y esa es exactamente la definición de confabulación; contarlas cura más que leer sobre ellas. Segundo, el color 3 suele ser genérico ("se sugiere correlacionar con la clínica") y no específico del caso: incertidumbre de fórmula, no de contenido — compárela con la que exige el léxico del capítulo 4. Tercero, la respuesta a la segunda pregunta suele ser mejor que la primera: el modelo enumera con soltura los datos que refutarían su propia propuesta — pero sólo si alguien se lo pide. La herramienta contiene su propio antídoto; la pregunta que lo libera sigue siendo humana.</w:t>
      </w:r>
    </w:p>
    <w:p>
      <w:pPr>
        <w:pStyle w:val="EnUnaFrase"/>
      </w:pPr>
      <w:r>
        <w:rPr>
          <w:b/>
          <w:bCs/>
        </w:rPr>
        <w:t xml:space="preserve">En una frase.</w:t>
      </w:r>
      <w:r>
        <w:t xml:space="preserve"> La IA generativa produce exactamente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6"/>
        </w:numPr>
      </w:pPr>
      <w:r>
        <w:t xml:space="preserve">Si uso IA en este caso, ¿qué dato de su respuesta verifiqué contra una fuente primaria antes de actuar?</w:t>
      </w:r>
    </w:p>
    <w:p>
      <w:pPr>
        <w:pStyle w:val="BodyJ"/>
        <w:numPr>
          <w:ilvl w:val="0"/>
          <w:numId w:val="26"/>
        </w:numPr>
      </w:pPr>
      <w:r>
        <w:t xml:space="preserve">¿Qué agregó el modelo que el caso no contenía?</w:t>
      </w:r>
    </w:p>
    <w:p>
      <w:pPr>
        <w:pStyle w:val="BodyJ"/>
        <w:numPr>
          <w:ilvl w:val="0"/>
          <w:numId w:val="26"/>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18</w:t>
      </w:r>
      <w:r>
        <w:rPr>
          <w:rFonts w:ascii="Georgia" w:cs="Georgia" w:eastAsia="Georgia" w:hAnsi="Georgia"/>
          <w:b/>
          <w:bCs/>
          <w:color w:val="3D5A6C"/>
          <w:sz w:val="32"/>
          <w:szCs w:val="32"/>
        </w:rPr>
        <w:br/>
        <w:t xml:space="preserve">La palabra exacta: lo que la poesía sabe del juicio clínico</w:t>
      </w:r>
    </w:p>
    <w:p>
      <w:pPr>
        <w:pStyle w:val="BodyJ"/>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spacing w:after="120" w:before="280"/>
      </w:pPr>
      <w:r>
        <w:rPr>
          <w:rFonts w:ascii="Georgia" w:cs="Georgia" w:eastAsia="Georgia" w:hAnsi="Georgia"/>
          <w:b/>
          <w:bCs/>
          <w:color w:val="2B2B2B"/>
          <w:sz w:val="25"/>
          <w:szCs w:val="25"/>
        </w:rPr>
        <w:t xml:space="preserve">Dos oficios de la conexión</w:t>
      </w:r>
    </w:p>
    <w:p>
      <w:pPr>
        <w:pStyle w:val="BodyJ"/>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pPr>
      <w:r>
        <w:t xml:space="preserve">El parentesco es lógico antes que sentimental. Una metáfora es la hipótesis de que dos cosas lejanas comparten estructura; un diagnóstico es una metáfora que acepta ser puesta a prueba — "este cuadro es una colecistitis" apuesta a que lo que ocurre en este cuerpo comparte estructura con un patrón aprendido. Ambos movimientos son la abducción del capítulo 2, y ambos requieren el mismo estado que el capítulo 14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spacing w:after="120" w:before="280"/>
      </w:pPr>
      <w:r>
        <w:rPr>
          <w:rFonts w:ascii="Georgia" w:cs="Georgia" w:eastAsia="Georgia" w:hAnsi="Georgia"/>
          <w:b/>
          <w:bCs/>
          <w:color w:val="2B2B2B"/>
          <w:sz w:val="25"/>
          <w:szCs w:val="25"/>
        </w:rPr>
        <w:t xml:space="preserve">Huidobro, o la palabra que crea</w:t>
      </w:r>
    </w:p>
    <w:p>
      <w:pPr>
        <w:pStyle w:val="BodyJ"/>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exactamente el peligro contra el que este libro lleva diecisiete capítulos escribiendo.</w:t>
      </w:r>
    </w:p>
    <w:p>
      <w:pPr>
        <w:pStyle w:val="BodyJ"/>
      </w:pPr>
      <w:r>
        <w:t xml:space="preserve">Porque la ficha clínica también hace florecer rosas. La "neumonía aspirativa" del prefacio —dos palabras limpias que crearon un antecedente que nadie observó— es creacionismo puro; el "somatiza" de la viñeta 10, también. El capítulo 12 mostró el mecanismo: la ficha produce lo visible, y sus criaturas verbales adquieren vida institucional. La diferencia con la poesía es brutal: las rosas de Huidobro viven en el poema; las nuestras reciben antibióticos, cirugías y altas. El lenguaje clínico descuidado es creacionista por defecto — y un servicio lleno de pequeños dioses es un lugar peligroso para estar enfermo.</w:t>
      </w:r>
    </w:p>
    <w:p>
      <w:pPr>
        <w:pStyle w:val="Heading3"/>
        <w:spacing w:after="120" w:before="280"/>
      </w:pPr>
      <w:r>
        <w:rPr>
          <w:rFonts w:ascii="Georgia" w:cs="Georgia" w:eastAsia="Georgia" w:hAnsi="Georgia"/>
          <w:b/>
          <w:bCs/>
          <w:color w:val="2B2B2B"/>
          <w:sz w:val="25"/>
          <w:szCs w:val="25"/>
        </w:rPr>
        <w:t xml:space="preserve">Parra, o la deflación</w:t>
      </w:r>
    </w:p>
    <w:p>
      <w:pPr>
        <w:pStyle w:val="BodyJ"/>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 y, con nombre y apellido implícitos, la condena de "la poesía de pequeño dios" (Parra, 1969). La réplica a Huidobro no es una interpretación: está en el texto.</w:t>
      </w:r>
    </w:p>
    <w:p>
      <w:pPr>
        <w:pStyle w:val="BodyJ"/>
      </w:pPr>
      <w:r>
        <w:t xml:space="preserve">La antipoesía es un programa epistemológico completo: quitarle a la palabra los poderes que no puede sostener y devolverla al tamaño de la experiencia. Visto desde ahí, el léxico del capítulo 4 es antipoesía aplicada: "sin evidencia actual de" es un verso parriano — feo, honesto, exacto, imposible de recitar con voz engolada. La ficha lúcida se escribe más cerca de Parra que de Huidobro: lengua de todos los días, dignidad del "no sé", desconfianza instintiva de toda frase que suene demasiado bien.</w:t>
      </w:r>
    </w:p>
    <w:p>
      <w:pPr>
        <w:pStyle w:val="Heading3"/>
        <w:spacing w:after="120" w:before="280"/>
      </w:pPr>
      <w:r>
        <w:rPr>
          <w:rFonts w:ascii="Georgia" w:cs="Georgia" w:eastAsia="Georgia" w:hAnsi="Georgia"/>
          <w:b/>
          <w:bCs/>
          <w:color w:val="2B2B2B"/>
          <w:sz w:val="25"/>
          <w:szCs w:val="25"/>
        </w:rPr>
        <w:t xml:space="preserve">La belleza como señal y como trampa</w:t>
      </w:r>
    </w:p>
    <w:p>
      <w:pPr>
        <w:pStyle w:val="BodyJ"/>
      </w:pPr>
      <w:r>
        <w:t xml:space="preserve">El clic estético del diagnóstico existe y es información. La parsimonia, la convergencia, el encaje sin residuo son la forma sensible de aquello que el capítulo 2 llamó fuerza por convergencia: cuando una explicación ordena todos los hechos sin forzar ninguno, algo en nosotros lo registra como belleza antes de poder justificarlo. Esa señal vale: propone candidatos que el análisis no habría listado.</w:t>
      </w:r>
    </w:p>
    <w:p>
      <w:pPr>
        <w:pStyle w:val="BodyJ"/>
      </w:pPr>
      <w:r>
        <w:t xml:space="preserve">Pero este libro ya conoció a la impostora. La historia coherente del hindsight, la narrativa atractiva que infla la confianza (capítulo 5), la prosa fluida de los modelos de lenguaje (capítulo 17): todas son bellas y ninguna es, por serlo, verdadera. La belleza no distingue entre orden hallado y orden impuesto —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pPr>
      <w:r>
        <w:t xml:space="preserve">Queda la belleza final, la que menos se nombra: la de hacer lo correcto en el contexto correcto. Una estabilización bien conducida tiene forma estética — nada sobró, nada faltó, cada intervención llegó a su hora; es la phronesis del capítulo 6 vuelta percepción. Pero es una belleza que sólo puede declararse retrospectivamente, y sólo si el proceso era defendible antes de conocer el desenlace (capítulo 10). En medicina la estética es un subproducto del rigor. Cuando se la busca directamente —el diagnóstico brillante, la frase imponente—, se obtiene Huidobro en la ficha.</w:t>
      </w:r>
    </w:p>
    <w:p>
      <w:pPr>
        <w:pStyle w:val="Heading3"/>
        <w:spacing w:after="120" w:before="280"/>
      </w:pPr>
      <w:r>
        <w:rPr>
          <w:rFonts w:ascii="Georgia" w:cs="Georgia" w:eastAsia="Georgia" w:hAnsi="Georgia"/>
          <w:b/>
          <w:bCs/>
          <w:color w:val="2B2B2B"/>
          <w:sz w:val="25"/>
          <w:szCs w:val="25"/>
        </w:rPr>
        <w:t xml:space="preserve">Leer poesía como entrenamiento clínico</w:t>
      </w:r>
    </w:p>
    <w:p>
      <w:pPr>
        <w:pStyle w:val="BodyJ"/>
      </w:pPr>
      <w:r>
        <w:t xml:space="preserve">Si el parentesco es real, leer poesía no es un lujo cultural del médico: es gimnasio específico. Entrena la precisión léxica — el poeta agoniza entre dos palabras casi iguales, que es exactamente la distancia entre "descartado" y "sin evidencia actual de". Entrena la tolerancia a la ambigüedad sostenida — un poema no se "resuelve", se habita; como ciertas incertidumbres del capítulo 3. Entrena el oído para el relato: la anamnesis tiene ritmo, silencios y palabras elegidas, y "esta vez la hernia no se dejó acomodar" es, técnicamente, un verso —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pPr>
      <w:r>
        <w:t xml:space="preserve">No es casualidad que el investigador principal de la saga del capítulo 10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TallerHead"/>
      </w:pPr>
      <w:r>
        <w:t xml:space="preserve">Taller 18. La prueba de Parra</w:t>
      </w:r>
    </w:p>
    <w:p>
      <w:pPr>
        <w:pStyle w:val="BodyJ"/>
      </w:pPr>
      <w:r>
        <w:t xml:space="preserve">Tome la frase medular de su paciente más reciente y sométala a dos preguntas. Primera: ¿hay en ella alguna palabra huidobriana — que haga florecer lo que nadie observó (un mecanismo no demostrado, una causal de contrabando, un "descartado" sin método)? Segunda: ¿puede reescribirse en palabras de todos los días sin perder un gramo de precisión — y si al traducirla se desinfla, qué la sostenía: la evidencia o la retórica?</w:t>
      </w:r>
    </w:p>
    <w:p>
      <w:pPr>
        <w:pStyle w:val="BodyJ"/>
      </w:pPr>
      <w:r>
        <w:rPr>
          <w:i/>
          <w:iCs/>
        </w:rPr>
        <w:t xml:space="preserve">Solución comentada.</w:t>
      </w:r>
      <w:r>
        <w:t xml:space="preserve"> Ejemplo: "Shock séptico de foco urinario, descartándose foco abdominal". Prueba uno: "de foco urinario" hace florecer una causal (¿demostrada o presunta?), y "descartándose" es un gerundio que promete lo que todavía no ocurrió — dos rosas creadas en nueve palabras. Prueba dos, en lengua parriana: "Shock con urocultivo positivo; foco urinario probable; abdomen aún sin imagen". La segunda versión es menos imponente y más útil: sobrevive a la visita de la mañana. Si su frase pasa las dos pruebas, tiene lo que este libro entiende por estilo: exactitud que se puede defender en voz alta.</w:t>
      </w:r>
    </w:p>
    <w:p>
      <w:pPr>
        <w:pStyle w:val="EnUnaFrase"/>
      </w:pPr>
      <w:r>
        <w:rPr>
          <w:b/>
          <w:bCs/>
        </w:rPr>
        <w:t xml:space="preserve">En una frase.</w:t>
      </w:r>
      <w:r>
        <w:t xml:space="preserve"> La poesía y el juicio clínico comparten el arte de la conexión exacta y difieren en el tribunal — al poema lo juzga el oído, al diagnóstico lo juzga la evolución — y por eso la ficha lúcida se escribe con Parra, no con Huidobro.</w:t>
      </w:r>
    </w:p>
    <w:p>
      <w:pPr>
        <w:pStyle w:val="BodyJ"/>
        <w:spacing w:after="80" w:before="160"/>
      </w:pPr>
      <w:r>
        <w:rPr>
          <w:b/>
          <w:bCs/>
        </w:rPr>
        <w:t xml:space="preserve">Tres preguntas para la próxima visita.</w:t>
      </w:r>
    </w:p>
    <w:p>
      <w:pPr>
        <w:pStyle w:val="BodyJ"/>
        <w:numPr>
          <w:ilvl w:val="0"/>
          <w:numId w:val="27"/>
        </w:numPr>
      </w:pPr>
      <w:r>
        <w:t xml:space="preserve">¿Qué palabra de mi última nota está "haciendo florecer" algo que nadie observó?</w:t>
      </w:r>
    </w:p>
    <w:p>
      <w:pPr>
        <w:pStyle w:val="BodyJ"/>
        <w:numPr>
          <w:ilvl w:val="0"/>
          <w:numId w:val="27"/>
        </w:numPr>
      </w:pPr>
      <w:r>
        <w:t xml:space="preserve">El diagnóstico que más me satisface hoy: ¿me convence por la evidencia o por lo bien que cierra la historia?</w:t>
      </w:r>
    </w:p>
    <w:p>
      <w:pPr>
        <w:pStyle w:val="BodyJ"/>
        <w:numPr>
          <w:ilvl w:val="0"/>
          <w:numId w:val="27"/>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Es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Es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La inteligencia artificial vuelve esta exigencia aún más visible. La plausibilidad verbal puede separarse de la verdad. Por ello, tanto ante una respuesta automática como ante nuestra propia narrativa, debemos preguntar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nuestra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Es la forma propia del juicio clínico. La frase medular es valiosa porque condensa esa arquitectura: conserva el hecho, gradúa la inferencia, localiza la incertidumbre y hace visible la decisión.</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sustentado.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Contexto global: funcionalidad basal, pronóstico de fondo, red de apoyo social y familiar.</w:t>
      </w:r>
    </w:p>
    <w:p>
      <w:pPr>
        <w:pStyle w:val="BodyJ"/>
        <w:numPr>
          <w:ilvl w:val="0"/>
          <w:numId w:val="6"/>
        </w:numPr>
      </w:pPr>
      <w:r>
        <w:t xml:space="preserve">Preferencias del paciente (citadas, no presumidas).</w:t>
      </w:r>
    </w:p>
    <w:p>
      <w:pPr>
        <w:pStyle w:val="BodyJ"/>
        <w:numPr>
          <w:ilvl w:val="0"/>
          <w:numId w:val="6"/>
        </w:numPr>
      </w:pPr>
      <w:r>
        <w:t xml:space="preserve">Proporcionalidad: ¿la intervención guarda proporción con el pronóstico y los fines del enfermo?</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el grado de inferencia, la incertidumbre crítica y el efecto sobre la conducta.</w:t>
      </w:r>
    </w:p>
    <w:p>
      <w:pPr>
        <w:pStyle w:val="BodyJ"/>
      </w:pPr>
      <w:r>
        <w:rPr>
          <w:b/>
          <w:bCs/>
        </w:rPr>
        <w:t xml:space="preserve">Versión de 60 segundos</w:t>
      </w:r>
      <w:r>
        <w:t xml:space="preserve"> (para casos de rutina o alta presión de tiempo)</w:t>
      </w:r>
    </w:p>
    <w:p>
      <w:pPr>
        <w:pStyle w:val="BodyJ"/>
        <w:numPr>
          <w:ilvl w:val="0"/>
          <w:numId w:val="28"/>
        </w:numPr>
      </w:pPr>
      <w:r>
        <w:t xml:space="preserve">¿Qué vi y qué me contaron? (un hecho decisivo, con fuente)</w:t>
      </w:r>
    </w:p>
    <w:p>
      <w:pPr>
        <w:pStyle w:val="BodyJ"/>
        <w:numPr>
          <w:ilvl w:val="0"/>
          <w:numId w:val="28"/>
        </w:numPr>
      </w:pPr>
      <w:r>
        <w:t xml:space="preserve">¿Qué creo y cuánto derecho tengo a creerlo? (inferencia con grado)</w:t>
      </w:r>
    </w:p>
    <w:p>
      <w:pPr>
        <w:pStyle w:val="BodyJ"/>
        <w:numPr>
          <w:ilvl w:val="0"/>
          <w:numId w:val="28"/>
        </w:numPr>
      </w:pPr>
      <w:r>
        <w:t xml:space="preserve">¿Qué daño importante podría producir si estoy equivocado? (la incertidumbre peligrosa)</w:t>
      </w:r>
    </w:p>
    <w:p>
      <w:pPr>
        <w:pStyle w:val="BodyJ"/>
        <w:numPr>
          <w:ilvl w:val="0"/>
          <w:numId w:val="28"/>
        </w:numPr>
      </w:pPr>
      <w:r>
        <w:t xml:space="preserve">¿Qué hago y qué me haría cambiar antes del próximo control? (decisión con reapertura)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"CAUTI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9"/>
        </w:numPr>
      </w:pPr>
      <w:r>
        <w:t xml:space="preserve">¿Puedo describir el caso sin usar el diagnóstico actual?</w:t>
      </w:r>
    </w:p>
    <w:p>
      <w:pPr>
        <w:pStyle w:val="BodyJ"/>
        <w:numPr>
          <w:ilvl w:val="0"/>
          <w:numId w:val="29"/>
        </w:numPr>
      </w:pPr>
      <w:r>
        <w:t xml:space="preserve">¿Qué dato sostiene más mi conclusión?</w:t>
      </w:r>
    </w:p>
    <w:p>
      <w:pPr>
        <w:pStyle w:val="BodyJ"/>
        <w:numPr>
          <w:ilvl w:val="0"/>
          <w:numId w:val="29"/>
        </w:numPr>
      </w:pPr>
      <w:r>
        <w:t xml:space="preserve">¿Ese dato es específico o sólo compatible?</w:t>
      </w:r>
    </w:p>
    <w:p>
      <w:pPr>
        <w:pStyle w:val="BodyJ"/>
        <w:numPr>
          <w:ilvl w:val="0"/>
          <w:numId w:val="29"/>
        </w:numPr>
      </w:pPr>
      <w:r>
        <w:t xml:space="preserve">¿Qué hallazgo no encaja?</w:t>
      </w:r>
    </w:p>
    <w:p>
      <w:pPr>
        <w:pStyle w:val="BodyJ"/>
        <w:numPr>
          <w:ilvl w:val="0"/>
          <w:numId w:val="29"/>
        </w:numPr>
      </w:pPr>
      <w:r>
        <w:t xml:space="preserve">¿Qué información estoy suponiendo que fue verificada?</w:t>
      </w:r>
    </w:p>
    <w:p>
      <w:pPr>
        <w:pStyle w:val="BodyJ"/>
        <w:numPr>
          <w:ilvl w:val="0"/>
          <w:numId w:val="29"/>
        </w:numPr>
      </w:pPr>
      <w:r>
        <w:t xml:space="preserve">¿Qué alternativa cambiaría la conducta inmediata?</w:t>
      </w:r>
    </w:p>
    <w:p>
      <w:pPr>
        <w:pStyle w:val="BodyJ"/>
        <w:numPr>
          <w:ilvl w:val="0"/>
          <w:numId w:val="29"/>
        </w:numPr>
      </w:pPr>
      <w:r>
        <w:t xml:space="preserve">¿Estoy usando la respuesta al tratamiento como prueba causal demasiado fuerte?</w:t>
      </w:r>
    </w:p>
    <w:p>
      <w:pPr>
        <w:pStyle w:val="BodyJ"/>
        <w:numPr>
          <w:ilvl w:val="0"/>
          <w:numId w:val="29"/>
        </w:numPr>
      </w:pPr>
      <w:r>
        <w:t xml:space="preserve">¿La gravedad es coherente con mi explicación?</w:t>
      </w:r>
    </w:p>
    <w:p>
      <w:pPr>
        <w:pStyle w:val="BodyJ"/>
        <w:numPr>
          <w:ilvl w:val="0"/>
          <w:numId w:val="29"/>
        </w:numPr>
      </w:pPr>
      <w:r>
        <w:t xml:space="preserve">¿Existe reconsulta, recurrencia o evolución inesperada?</w:t>
      </w:r>
    </w:p>
    <w:p>
      <w:pPr>
        <w:pStyle w:val="BodyJ"/>
        <w:numPr>
          <w:ilvl w:val="0"/>
          <w:numId w:val="29"/>
        </w:numPr>
      </w:pPr>
      <w:r>
        <w:t xml:space="preserve">¿Mi confianza proviene de evidencia o de familiaridad y fluidez?</w:t>
      </w:r>
    </w:p>
    <w:p>
      <w:pPr>
        <w:pStyle w:val="BodyJ"/>
        <w:numPr>
          <w:ilvl w:val="0"/>
          <w:numId w:val="29"/>
        </w:numPr>
      </w:pPr>
      <w:r>
        <w:t xml:space="preserve">¿Cuál es el costo de esperar y cuál el costo de actuar?</w:t>
      </w:r>
    </w:p>
    <w:p>
      <w:pPr>
        <w:pStyle w:val="BodyJ"/>
        <w:numPr>
          <w:ilvl w:val="0"/>
          <w:numId w:val="29"/>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ronda—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ronda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60 segundos en voz alta. Duración objetivo: dos minutos por caso. El jefe de ronda modela; no interroga.</w:t>
      </w:r>
    </w:p>
    <w:p>
      <w:pPr>
        <w:pStyle w:val="BodyJ"/>
        <w:numPr>
          <w:ilvl w:val="0"/>
          <w:numId w:val="6"/>
        </w:numPr>
      </w:pPr>
      <w:r>
        <w:t xml:space="preserve">Pase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reevaluación".</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8: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Barreras esperables y respuestas</w:t>
      </w:r>
    </w:p>
    <w:p>
      <w:pPr>
        <w:pStyle w:val="BodyJ"/>
        <w:numPr>
          <w:ilvl w:val="0"/>
          <w:numId w:val="6"/>
        </w:numPr>
      </w:pPr>
      <w:r>
        <w:rPr>
          <w:b/>
          <w:bCs/>
        </w:rPr>
        <w:t xml:space="preserve">"No hay tiempo."</w:t>
      </w:r>
      <w:r>
        <w:t xml:space="preserve"> La versión de 60 segundos existe para eso; la pausa es selectiva por disparador, no universal. El tiempo que consume se compara con el que consume un solo cierre prematuro no detectado.</w:t>
      </w:r>
    </w:p>
    <w:p>
      <w:pPr>
        <w:pStyle w:val="BodyJ"/>
        <w:numPr>
          <w:ilvl w:val="0"/>
          <w:numId w:val="6"/>
        </w:numPr>
      </w:pPr>
      <w:r>
        <w:rPr>
          <w:b/>
          <w:bCs/>
        </w:rPr>
        <w:t xml:space="preserve">"Esto burocratiza."</w:t>
      </w:r>
      <w:r>
        <w:t xml:space="preserve"> La plantilla se usa en tres situaciones, no en todas. La regla es proporcionalidad: una línea para lo rutinario, estructura para lo grave, incierto o irreversible.</w:t>
      </w:r>
    </w:p>
    <w:p>
      <w:pPr>
        <w:pStyle w:val="BodyJ"/>
        <w:numPr>
          <w:ilvl w:val="0"/>
          <w:numId w:val="6"/>
        </w:numPr>
      </w:pPr>
      <w:r>
        <w:rPr>
          <w:b/>
          <w:bCs/>
        </w:rPr>
        <w:t xml:space="preserve">"La ficha electrónica no lo permite."</w:t>
      </w:r>
      <w:r>
        <w:t xml:space="preserve"> El léxico y la pausa no requieren software. La plantilla cabe en texto libre.</w:t>
      </w:r>
    </w:p>
    <w:p>
      <w:pPr>
        <w:pStyle w:val="BodyJ"/>
        <w:numPr>
          <w:ilvl w:val="0"/>
          <w:numId w:val="6"/>
        </w:numPr>
      </w:pPr>
      <w:r>
        <w:rPr>
          <w:b/>
          <w:bCs/>
        </w:rPr>
        <w:t xml:space="preserve">"El equipo no va a exponer sus dudas."</w:t>
      </w:r>
      <w:r>
        <w:t xml:space="preserve"> La seguridad psicológica se modela desde arriba: el primer "no lo sé, y esto es lo que haremos para saberlo" tiene que decirlo la jefatura.</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rPr>
          <w:b/>
          <w:bCs/>
        </w:rPr>
        <w:t xml:space="preserve">Abducción.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w:t>
      </w:r>
      <w:r>
        <w:t xml:space="preserve"> Persistencia de una hipótesis inicial que conserva autoridad aun cuando la evidencia acumulada la ha degradado.</w:t>
      </w:r>
    </w:p>
    <w:p>
      <w:pPr>
        <w:pStyle w:val="BodyJ"/>
      </w:pPr>
      <w:r>
        <w:rPr>
          <w:b/>
          <w:bCs/>
        </w:rPr>
        <w:t xml:space="preserve">Calibración.</w:t>
      </w:r>
      <w:r>
        <w:t xml:space="preserve"> Correspondencia entre la confianza declarada y la proporción real de aciertos, evaluada sobre una serie de juicios.</w:t>
      </w:r>
    </w:p>
    <w:p>
      <w:pPr>
        <w:pStyle w:val="BodyJ"/>
      </w:pPr>
      <w:r>
        <w:rPr>
          <w:b/>
          <w:bCs/>
        </w:rPr>
        <w:t xml:space="preserve">Cierre prematuro.</w:t>
      </w:r>
      <w:r>
        <w:t xml:space="preserve"> Aceptación de un diagnóstico antes de haberlo verificado suficientemente, con suspensión de la búsqueda de alternativas.</w:t>
      </w:r>
    </w:p>
    <w:p>
      <w:pPr>
        <w:pStyle w:val="BodyJ"/>
      </w:pPr>
      <w:r>
        <w:rPr>
          <w:b/>
          <w:bCs/>
        </w:rPr>
        <w:t xml:space="preserve">Cognición distribuida.</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w:t>
      </w:r>
      <w:r>
        <w:t xml:space="preserve"> Capacidad de reconocer o ejecutar más de lo que puede formularse explícitamente (Polanyi).</w:t>
      </w:r>
    </w:p>
    <w:p>
      <w:pPr>
        <w:pStyle w:val="BodyJ"/>
      </w:pPr>
      <w:r>
        <w:rPr>
          <w:b/>
          <w:bCs/>
        </w:rPr>
        <w:t xml:space="preserve">Contrafactual.</w:t>
      </w:r>
      <w:r>
        <w:t xml:space="preserve"> Escenario comparativo implícito en toda afirmación causal: qué habría ocurrido sin la exposición o la intervención.</w:t>
      </w:r>
    </w:p>
    <w:p>
      <w:pPr>
        <w:pStyle w:val="BodyJ"/>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pPr>
      <w:r>
        <w:rPr>
          <w:b/>
          <w:bCs/>
        </w:rPr>
        <w:t xml:space="preserve">Cuatro tópicos (método de los).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pPr>
      <w:r>
        <w:rPr>
          <w:b/>
          <w:bCs/>
        </w:rPr>
        <w:t xml:space="preserve">Decisión compartida.</w:t>
      </w:r>
      <w:r>
        <w:t xml:space="preserve"> Proceso de deliberación entre profesional y paciente sobre opciones, evidencia y preferencias, distinto de la mera entrega de información (Elwyn).</w:t>
      </w:r>
    </w:p>
    <w:p>
      <w:pPr>
        <w:pStyle w:val="BodyJ"/>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pPr>
      <w:r>
        <w:rPr>
          <w:b/>
          <w:bCs/>
        </w:rPr>
        <w:t xml:space="preserve">Densidad epistémica.</w:t>
      </w:r>
      <w:r>
        <w:t xml:space="preserve"> Propiedad de una formulación clínica que conserva los ejes que cambian la interpretación (tiempo, severidad, mecanismo, evidencia contraria, consecuencia) en lugar de sólo abreviar.</w:t>
      </w:r>
    </w:p>
    <w:p>
      <w:pPr>
        <w:pStyle w:val="BodyJ"/>
      </w:pPr>
      <w:r>
        <w:rPr>
          <w:b/>
          <w:bCs/>
        </w:rPr>
        <w:t xml:space="preserve">Deskilling / never-skilling / mis-skilling.</w:t>
      </w:r>
      <w:r>
        <w:t xml:space="preserve"> Tríada de riesgos formativos de la IA clínica: perder por desuso una competencia ya adquirida; no consolidarla nunca porque la herramienta ejecutó la tarea desde el inicio de la formación; o adquirirla mal, imitando salidas no auditadas (Abdulnour et al.). El segundo es el más difícil de detectar: no deja recuerdo de lo perdido.</w:t>
      </w:r>
    </w:p>
    <w:p>
      <w:pPr>
        <w:pStyle w:val="BodyJ"/>
      </w:pPr>
      <w:r>
        <w:rPr>
          <w:b/>
          <w:bCs/>
        </w:rPr>
        <w:t xml:space="preserve">Doble proceso.</w:t>
      </w:r>
      <w:r>
        <w:t xml:space="preserve"> Familia de teorías que distingue procesamiento rápido, asociativo y automático de procesamiento lento, analítico y controlado; ambos pueden acertar o errar.</w:t>
      </w:r>
    </w:p>
    <w:p>
      <w:pPr>
        <w:pStyle w:val="BodyJ"/>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pPr>
      <w:r>
        <w:rPr>
          <w:b/>
          <w:bCs/>
        </w:rPr>
        <w:t xml:space="preserve">Encapsulación.</w:t>
      </w:r>
      <w:r>
        <w:t xml:space="preserve"> Compresión del conocimiento biomédico en conceptos clínicos de nivel superior, característica del desarrollo de la pericia (Schmidt y Rikers).</w:t>
      </w:r>
    </w:p>
    <w:p>
      <w:pPr>
        <w:pStyle w:val="BodyJ"/>
      </w:pPr>
      <w:r>
        <w:rPr>
          <w:b/>
          <w:bCs/>
        </w:rPr>
        <w:t xml:space="preserve">Ensombrecimiento diagnóstico.</w:t>
      </w:r>
      <w:r>
        <w:t xml:space="preserve"> Atribución de síntomas físicos a la enfermedad mental de base, con el consiguiente subdiagnóstico somático; contribuye a la mortalidad prematura en salud mental (Thornicroft).</w:t>
      </w:r>
    </w:p>
    <w:p>
      <w:pPr>
        <w:pStyle w:val="BodyJ"/>
      </w:pPr>
      <w:r>
        <w:rPr>
          <w:b/>
          <w:bCs/>
        </w:rPr>
        <w:t xml:space="preserve">Fragilidad.</w:t>
      </w:r>
      <w:r>
        <w:t xml:space="preserve"> Estado de vulnerabilidad fisiológica multisistémica que predice desenlaces con independencia de la edad y del diagnóstico de ingreso; evaluable clínicamente en minutos (Rockwood et al.). En la decisión terapéutica es un hecho de pleno derecho, no una impresión.</w:t>
      </w:r>
    </w:p>
    <w:p>
      <w:pPr>
        <w:pStyle w:val="BodyJ"/>
      </w:pPr>
      <w:r>
        <w:rPr>
          <w:b/>
          <w:bCs/>
        </w:rPr>
        <w:t xml:space="preserve">Frase medular.</w:t>
      </w:r>
      <w:r>
        <w:t xml:space="preserve"> Formulación breve que condensa la naturaleza del evento, el elemento que cambia el riesgo, el límite principal de certeza y su efecto sobre la conducta.</w:t>
      </w:r>
    </w:p>
    <w:p>
      <w:pPr>
        <w:pStyle w:val="BodyJ"/>
      </w:pPr>
      <w:r>
        <w:rPr>
          <w:b/>
          <w:bCs/>
        </w:rPr>
        <w:t xml:space="preserve">Frecuencias naturales.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ordena el razonamiento en Hechos, Inferencias, Incertidumbre y Decisión, más un movimiento transversal de reevaluación. No validada como instrumento.</w:t>
      </w:r>
    </w:p>
    <w:p>
      <w:pPr>
        <w:pStyle w:val="BodyJ"/>
      </w:pPr>
      <w:r>
        <w:rPr>
          <w:b/>
          <w:bCs/>
        </w:rPr>
        <w:t xml:space="preserve">Humildad epistémica.</w:t>
      </w:r>
      <w:r>
        <w:t xml:space="preserve"> Atención y apropiación de las propias limitaciones cognitivas (Whitcomb et al.). No es timidez para afirmar: es la disposición que mantiene el caso abierto — permite seguir explorando, seguir aprendiendo y reubicar el foco y el manejo cuando la trayectoria contradice el mapa.</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w:t>
      </w:r>
      <w:r>
        <w:t xml:space="preserve"> La que proviene de variabilidad o contingencia que persiste aun con conocimiento completo del sistema.</w:t>
      </w:r>
    </w:p>
    <w:p>
      <w:pPr>
        <w:pStyle w:val="BodyJ"/>
      </w:pPr>
      <w:r>
        <w:rPr>
          <w:b/>
          <w:bCs/>
        </w:rPr>
        <w:t xml:space="preserve">Incertidumbre epistémica.</w:t>
      </w:r>
      <w:r>
        <w:t xml:space="preserve"> La que proviene de conocimiento insuficiente y puede, en principio, reducirse con información.</w:t>
      </w:r>
    </w:p>
    <w:p>
      <w:pPr>
        <w:pStyle w:val="BodyJ"/>
      </w:pPr>
      <w:r>
        <w:rPr>
          <w:b/>
          <w:bCs/>
        </w:rPr>
        <w:t xml:space="preserve">Injusticia epistémica.</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Metacognición.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w:t>
      </w:r>
      <w:r>
        <w:t xml:space="preserve"> Recursos del lenguaje que expresan el grado de certeza de una afirmación ("demostrado", "probable", "sin evidencia de").</w:t>
      </w:r>
    </w:p>
    <w:p>
      <w:pPr>
        <w:pStyle w:val="BodyJ"/>
      </w:pPr>
      <w:r>
        <w:rPr>
          <w:b/>
          <w:bCs/>
        </w:rPr>
        <w:t xml:space="preserve">Paradoja de la automatización.</w:t>
      </w:r>
      <w:r>
        <w:t xml:space="preserve"> Cuanto más competente es un sistema automatizado, menos ejercita el humano las habilidades necesarias para detectar sus fallas — que es exactamente cuando más se las necesita (Abdulnour et al.).</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w:t>
      </w:r>
      <w:r>
        <w:t xml:space="preserve"> Probabilidad de una condición antes y después de incorporar el resultado de una prueba; su relación depende del rendimiento de la prueba y de la prevalencia.</w:t>
      </w:r>
    </w:p>
    <w:p>
      <w:pPr>
        <w:pStyle w:val="BodyJ"/>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pPr>
      <w:r>
        <w:rPr>
          <w:b/>
          <w:bCs/>
        </w:rPr>
        <w:t xml:space="preserve">Representación del problema.</w:t>
      </w:r>
      <w:r>
        <w:t xml:space="preserve"> Formulación compacta que transforma los datos del caso en relaciones clínicamente significativas mediante calificadores semánticos.</w:t>
      </w:r>
    </w:p>
    <w:p>
      <w:pPr>
        <w:pStyle w:val="BodyJ"/>
      </w:pPr>
      <w:r>
        <w:rPr>
          <w:b/>
          <w:bCs/>
        </w:rPr>
        <w:t xml:space="preserve">Riesgo inductivo.</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Safety-netting (red de seguridad).</w:t>
      </w:r>
      <w:r>
        <w:t xml:space="preserve"> Instrucciones explícitas de reconsulta y vigilancia que acompañan una decisión tomada bajo incertidumbre, especialmente en ambulatorio.</w:t>
      </w:r>
    </w:p>
    <w:p>
      <w:pPr>
        <w:pStyle w:val="BodyJ"/>
      </w:pPr>
      <w:r>
        <w:rPr>
          <w:b/>
          <w:bCs/>
        </w:rPr>
        <w:t xml:space="preserve">Segunda víctima.</w:t>
      </w:r>
      <w:r>
        <w:t xml:space="preserve"> El clínico dañado por su propio error —culpa, vergüenza, aislamiento— (Wu). Su cuidado no es indulgencia: sin él no hay análisis de trayectoria ni aprendizaje del error.</w:t>
      </w:r>
    </w:p>
    <w:p>
      <w:pPr>
        <w:pStyle w:val="BodyJ"/>
      </w:pPr>
      <w:r>
        <w:rPr>
          <w:b/>
          <w:bCs/>
        </w:rPr>
        <w:t xml:space="preserve">Sensibilidad metacognitiva.</w:t>
      </w:r>
      <w:r>
        <w:t xml:space="preserve"> Capacidad de discriminar los propios aciertos de los propios errores mediante la confianza; distinta del sesgo metacognitivo (tendencia global a confiar mucho o poco).</w:t>
      </w:r>
    </w:p>
    <w:p>
      <w:pPr>
        <w:pStyle w:val="BodyJ"/>
      </w:pPr>
      <w:r>
        <w:rPr>
          <w:b/>
          <w:bCs/>
        </w:rPr>
        <w:t xml:space="preserve">Sesgo de automatización.</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pPr>
      <w:r>
        <w:rPr>
          <w:b/>
          <w:bCs/>
        </w:rPr>
        <w:t xml:space="preserve">Testimonio (epistemología del).</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w:t>
      </w:r>
      <w:r>
        <w:t xml:space="preserve"> Nivel de probabilidad sobre el cual una conducta (testear, tratar) supera a sus alternativas, dado el balance de daños y beneficios (Pauker y Kassirer).</w:t>
      </w:r>
    </w:p>
    <w:p>
      <w:pPr>
        <w:pStyle w:val="BodyJ"/>
      </w:pPr>
      <w:r>
        <w:rPr>
          <w:b/>
          <w:bCs/>
        </w:rPr>
        <w:t xml:space="preserve">Validez del entorno.</w:t>
      </w:r>
      <w:r>
        <w:t xml:space="preserve"> Grado en que un ambiente de práctica ofrece regularidades estables entre señales y desenlaces, junto a oportunidad de aprenderlas con feedback oportuno; condición para que la intuición experta sea confiable (Kahneman y Klein).</w:t>
      </w:r>
    </w:p>
    <w:p>
      <w:pPr>
        <w:pStyle w:val="BodyJ"/>
      </w:pPr>
      <w:r>
        <w:rPr>
          <w:b/>
          <w:bCs/>
        </w:rPr>
        <w:t xml:space="preserve">Validez externa / transportabilidad.</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 vigilada por la metacognición — 5; mantenida abierta por la humildad — 14</w:t>
      </w:r>
    </w:p>
    <w:p>
      <w:pPr>
        <w:pStyle w:val="BodyJ"/>
        <w:numPr>
          <w:ilvl w:val="0"/>
          <w:numId w:val="6"/>
        </w:numPr>
      </w:pPr>
      <w:r>
        <w:t xml:space="preserve">Actos de habla en la ficha (Austin) — 4</w:t>
      </w:r>
    </w:p>
    <w:p>
      <w:pPr>
        <w:pStyle w:val="BodyJ"/>
        <w:numPr>
          <w:ilvl w:val="0"/>
          <w:numId w:val="6"/>
        </w:numPr>
      </w:pPr>
      <w:r>
        <w:t xml:space="preserve">Anclaje — 7, 11, CC (viñeta 8)</w:t>
      </w:r>
    </w:p>
    <w:p>
      <w:pPr>
        <w:pStyle w:val="BodyJ"/>
        <w:numPr>
          <w:ilvl w:val="0"/>
          <w:numId w:val="6"/>
        </w:numPr>
      </w:pPr>
      <w:r>
        <w:t xml:space="preserve">Atrofia de la pericia por asistencia de IA (deskilling) — 17</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13, 14</w:t>
      </w:r>
    </w:p>
    <w:p>
      <w:pPr>
        <w:pStyle w:val="BodyJ"/>
        <w:numPr>
          <w:ilvl w:val="0"/>
          <w:numId w:val="6"/>
        </w:numPr>
      </w:pPr>
      <w:r>
        <w:t xml:space="preserve">Bioética y razonamiento clínico (cuatro tópicos, proporcionalidad, deliberación) — 10, 15, CC (viñeta 7), Ap A</w:t>
      </w:r>
    </w:p>
    <w:p>
      <w:pPr>
        <w:pStyle w:val="BodyJ"/>
        <w:numPr>
          <w:ilvl w:val="0"/>
          <w:numId w:val="6"/>
        </w:numPr>
      </w:pPr>
      <w:r>
        <w:t xml:space="preserve">Calibración — 5, 15, 16, Ap C</w:t>
      </w:r>
    </w:p>
    <w:p>
      <w:pPr>
        <w:pStyle w:val="BodyJ"/>
        <w:numPr>
          <w:ilvl w:val="0"/>
          <w:numId w:val="6"/>
        </w:numPr>
      </w:pPr>
      <w:r>
        <w:t xml:space="preserve">Captura cognitiva por IA (la respuesta antes que el caso) — 17</w:t>
      </w:r>
    </w:p>
    <w:p>
      <w:pPr>
        <w:pStyle w:val="BodyJ"/>
        <w:numPr>
          <w:ilvl w:val="0"/>
          <w:numId w:val="6"/>
        </w:numPr>
      </w:pPr>
      <w:r>
        <w:t xml:space="preserve">Carga teórica de la observación — 1</w:t>
      </w:r>
    </w:p>
    <w:p>
      <w:pPr>
        <w:pStyle w:val="BodyJ"/>
        <w:numPr>
          <w:ilvl w:val="0"/>
          <w:numId w:val="6"/>
        </w:numPr>
      </w:pPr>
      <w:r>
        <w:t xml:space="preserve">Cierre prematuro — 2, 7, CC (viñeta 8)</w:t>
      </w:r>
    </w:p>
    <w:p>
      <w:pPr>
        <w:pStyle w:val="BodyJ"/>
        <w:numPr>
          <w:ilvl w:val="0"/>
          <w:numId w:val="6"/>
        </w:numPr>
      </w:pPr>
      <w:r>
        <w:t xml:space="preserve">Cognición distribuida — 13</w:t>
      </w:r>
    </w:p>
    <w:p>
      <w:pPr>
        <w:pStyle w:val="BodyJ"/>
        <w:numPr>
          <w:ilvl w:val="0"/>
          <w:numId w:val="6"/>
        </w:numPr>
      </w:pPr>
      <w:r>
        <w:t xml:space="preserve">Comparación de HII-D con otros modelos (SOAP, scripts, reflexión deliberada) — 15</w:t>
      </w:r>
    </w:p>
    <w:p>
      <w:pPr>
        <w:pStyle w:val="BodyJ"/>
        <w:numPr>
          <w:ilvl w:val="0"/>
          <w:numId w:val="6"/>
        </w:numPr>
      </w:pPr>
      <w:r>
        <w:t xml:space="preserve">Comunicación de incertidumbre — 13, 14, CC (viñeta 7)</w:t>
      </w:r>
    </w:p>
    <w:p>
      <w:pPr>
        <w:pStyle w:val="BodyJ"/>
        <w:numPr>
          <w:ilvl w:val="0"/>
          <w:numId w:val="6"/>
        </w:numPr>
      </w:pPr>
      <w:r>
        <w:t xml:space="preserve">Conocimiento tácito — 6</w:t>
      </w:r>
    </w:p>
    <w:p>
      <w:pPr>
        <w:pStyle w:val="BodyJ"/>
        <w:numPr>
          <w:ilvl w:val="0"/>
          <w:numId w:val="6"/>
        </w:numPr>
      </w:pPr>
      <w:r>
        <w:t xml:space="preserve">Contexto global del paciente (funcionalidad, pronóstico de fondo, red de apoyo) — 10, 15, Ap A</w:t>
      </w:r>
    </w:p>
    <w:p>
      <w:pPr>
        <w:pStyle w:val="BodyJ"/>
        <w:numPr>
          <w:ilvl w:val="0"/>
          <w:numId w:val="6"/>
        </w:numPr>
      </w:pPr>
      <w:r>
        <w:t xml:space="preserve">Contrafactuales — 11</w:t>
      </w:r>
    </w:p>
    <w:p>
      <w:pPr>
        <w:pStyle w:val="BodyJ"/>
        <w:numPr>
          <w:ilvl w:val="0"/>
          <w:numId w:val="6"/>
        </w:numPr>
      </w:pPr>
      <w:r>
        <w:t xml:space="preserve">Copiado de notas (fósil narrativo) — 12, Ap C</w:t>
      </w:r>
    </w:p>
    <w:p>
      <w:pPr>
        <w:pStyle w:val="BodyJ"/>
        <w:numPr>
          <w:ilvl w:val="0"/>
          <w:numId w:val="6"/>
        </w:numPr>
      </w:pPr>
      <w:r>
        <w:t xml:space="preserve">Creatividad en el juicio clínico (abducción, problem setting, tercera opción) — 2, 18</w:t>
      </w:r>
    </w:p>
    <w:p>
      <w:pPr>
        <w:pStyle w:val="BodyJ"/>
        <w:numPr>
          <w:ilvl w:val="0"/>
          <w:numId w:val="6"/>
        </w:numPr>
      </w:pPr>
      <w:r>
        <w:t xml:space="preserve">Cuatro tópicos (Jonsen, Siegler y Winslade) — 10, Ap A</w:t>
      </w:r>
    </w:p>
    <w:p>
      <w:pPr>
        <w:pStyle w:val="BodyJ"/>
        <w:numPr>
          <w:ilvl w:val="0"/>
          <w:numId w:val="6"/>
        </w:numPr>
      </w:pPr>
      <w:r>
        <w:t xml:space="preserve">Debate sobre la enseñanza del razonamiento (Croskerry vs. Norman/Monteiro) — 16</w:t>
      </w:r>
    </w:p>
    <w:p>
      <w:pPr>
        <w:pStyle w:val="BodyJ"/>
        <w:numPr>
          <w:ilvl w:val="0"/>
          <w:numId w:val="6"/>
        </w:numPr>
      </w:pPr>
      <w:r>
        <w:t xml:space="preserve">Decisión compartida — 13, 14, Interludio III</w:t>
      </w:r>
    </w:p>
    <w:p>
      <w:pPr>
        <w:pStyle w:val="BodyJ"/>
        <w:numPr>
          <w:ilvl w:val="0"/>
          <w:numId w:val="6"/>
        </w:numPr>
      </w:pPr>
      <w:r>
        <w:t xml:space="preserve">Deliberación moral (Gracia) — 10</w:t>
      </w:r>
    </w:p>
    <w:p>
      <w:pPr>
        <w:pStyle w:val="BodyJ"/>
        <w:numPr>
          <w:ilvl w:val="0"/>
          <w:numId w:val="6"/>
        </w:numPr>
      </w:pPr>
      <w:r>
        <w:t xml:space="preserve">Densidad epistémica — 4; seis dimensiones de auditoría — 4, Ap B</w:t>
      </w:r>
    </w:p>
    <w:p>
      <w:pPr>
        <w:pStyle w:val="BodyJ"/>
        <w:numPr>
          <w:ilvl w:val="0"/>
          <w:numId w:val="6"/>
        </w:numPr>
      </w:pPr>
      <w:r>
        <w:t xml:space="preserve">Desaceleración selectiva — 8, Interludio II</w:t>
      </w:r>
    </w:p>
    <w:p>
      <w:pPr>
        <w:pStyle w:val="BodyJ"/>
        <w:numPr>
          <w:ilvl w:val="0"/>
          <w:numId w:val="6"/>
        </w:numPr>
      </w:pPr>
      <w:r>
        <w:t xml:space="preserve">Desacuerdo clínico — 13, Interludio III</w:t>
      </w:r>
    </w:p>
    <w:p>
      <w:pPr>
        <w:pStyle w:val="BodyJ"/>
        <w:numPr>
          <w:ilvl w:val="0"/>
          <w:numId w:val="6"/>
        </w:numPr>
      </w:pPr>
      <w:r>
        <w:t xml:space="preserve">Doble proceso — 6</w:t>
      </w:r>
    </w:p>
    <w:p>
      <w:pPr>
        <w:pStyle w:val="BodyJ"/>
        <w:numPr>
          <w:ilvl w:val="0"/>
          <w:numId w:val="6"/>
        </w:numPr>
      </w:pPr>
      <w:r>
        <w:t xml:space="preserve">Documentación defensiva — 14</w:t>
      </w:r>
    </w:p>
    <w:p>
      <w:pPr>
        <w:pStyle w:val="BodyJ"/>
        <w:numPr>
          <w:ilvl w:val="0"/>
          <w:numId w:val="6"/>
        </w:numPr>
      </w:pPr>
      <w:r>
        <w:t xml:space="preserve">Ensombrecimiento diagnóstico — CC (viñeta 10)</w:t>
      </w:r>
    </w:p>
    <w:p>
      <w:pPr>
        <w:pStyle w:val="BodyJ"/>
        <w:numPr>
          <w:ilvl w:val="0"/>
          <w:numId w:val="6"/>
        </w:numPr>
      </w:pPr>
      <w:r>
        <w:t xml:space="preserve">Errores asimétricos — 10, CC (viñeta 5)</w:t>
      </w:r>
    </w:p>
    <w:p>
      <w:pPr>
        <w:pStyle w:val="BodyJ"/>
        <w:numPr>
          <w:ilvl w:val="0"/>
          <w:numId w:val="6"/>
        </w:numPr>
      </w:pPr>
      <w:r>
        <w:t xml:space="preserve">Evidencia poblacional y particularización — 9</w:t>
      </w:r>
    </w:p>
    <w:p>
      <w:pPr>
        <w:pStyle w:val="BodyJ"/>
        <w:numPr>
          <w:ilvl w:val="0"/>
          <w:numId w:val="6"/>
        </w:numPr>
      </w:pPr>
      <w:r>
        <w:t xml:space="preserve">Falsabilidad del método HII-D — 15</w:t>
      </w:r>
    </w:p>
    <w:p>
      <w:pPr>
        <w:pStyle w:val="BodyJ"/>
        <w:numPr>
          <w:ilvl w:val="0"/>
          <w:numId w:val="6"/>
        </w:numPr>
      </w:pPr>
      <w:r>
        <w:t xml:space="preserve">Feedback diagnóstico — 5, 16, Ap C</w:t>
      </w:r>
    </w:p>
    <w:p>
      <w:pPr>
        <w:pStyle w:val="BodyJ"/>
        <w:numPr>
          <w:ilvl w:val="0"/>
          <w:numId w:val="6"/>
        </w:numPr>
      </w:pPr>
      <w:r>
        <w:t xml:space="preserve">Ficha como dispositivo que produce lo visible (Foucault) — 12</w:t>
      </w:r>
    </w:p>
    <w:p>
      <w:pPr>
        <w:pStyle w:val="BodyJ"/>
        <w:numPr>
          <w:ilvl w:val="0"/>
          <w:numId w:val="6"/>
        </w:numPr>
      </w:pPr>
      <w:r>
        <w:t xml:space="preserve">Fichas clínicas y plantillas — 12, 16, Ap C</w:t>
      </w:r>
    </w:p>
    <w:p>
      <w:pPr>
        <w:pStyle w:val="BodyJ"/>
        <w:numPr>
          <w:ilvl w:val="0"/>
          <w:numId w:val="6"/>
        </w:numPr>
      </w:pPr>
      <w:r>
        <w:t xml:space="preserve">Formación clínica en la era de la IA (deskilling, never-skilling, mis-skilling) — 17</w:t>
      </w:r>
    </w:p>
    <w:p>
      <w:pPr>
        <w:pStyle w:val="BodyJ"/>
        <w:numPr>
          <w:ilvl w:val="0"/>
          <w:numId w:val="6"/>
        </w:numPr>
      </w:pPr>
      <w:r>
        <w:t xml:space="preserve">Fragilidad y funcionalidad como hechos clínicos — 10, 15, Ap A</w:t>
      </w:r>
    </w:p>
    <w:p>
      <w:pPr>
        <w:pStyle w:val="BodyJ"/>
        <w:numPr>
          <w:ilvl w:val="0"/>
          <w:numId w:val="6"/>
        </w:numPr>
      </w:pPr>
      <w:r>
        <w:t xml:space="preserve">Fuentes del hecho clínico (matriz de procedencia) — 1</w:t>
      </w:r>
    </w:p>
    <w:p>
      <w:pPr>
        <w:pStyle w:val="BodyJ"/>
        <w:numPr>
          <w:ilvl w:val="0"/>
          <w:numId w:val="6"/>
        </w:numPr>
      </w:pPr>
      <w:r>
        <w:t xml:space="preserve">Frase medular — 4, 12, C, CC (todas las viñetas); como argumento de Toulmin — 4</w:t>
      </w:r>
    </w:p>
    <w:p>
      <w:pPr>
        <w:pStyle w:val="BodyJ"/>
        <w:numPr>
          <w:ilvl w:val="0"/>
          <w:numId w:val="6"/>
        </w:numPr>
      </w:pPr>
      <w:r>
        <w:t xml:space="preserve">Frecuencias naturales — 2, 10, 13</w:t>
      </w:r>
    </w:p>
    <w:p>
      <w:pPr>
        <w:pStyle w:val="BodyJ"/>
        <w:numPr>
          <w:ilvl w:val="0"/>
          <w:numId w:val="6"/>
        </w:numPr>
      </w:pPr>
      <w:r>
        <w:t xml:space="preserve">Grados de facticidad — 1</w:t>
      </w:r>
    </w:p>
    <w:p>
      <w:pPr>
        <w:pStyle w:val="BodyJ"/>
        <w:numPr>
          <w:ilvl w:val="0"/>
          <w:numId w:val="6"/>
        </w:numPr>
      </w:pPr>
      <w:r>
        <w:t xml:space="preserve">Hindsight bias — 8, 11, 16, CC (viñeta 8)</w:t>
      </w:r>
    </w:p>
    <w:p>
      <w:pPr>
        <w:pStyle w:val="BodyJ"/>
        <w:numPr>
          <w:ilvl w:val="0"/>
          <w:numId w:val="6"/>
        </w:numPr>
      </w:pPr>
      <w:r>
        <w:t xml:space="preserve">HII-D (método) — 12, 15, Ap A; auditoría de IA con — 17</w:t>
      </w:r>
    </w:p>
    <w:p>
      <w:pPr>
        <w:pStyle w:val="BodyJ"/>
        <w:numPr>
          <w:ilvl w:val="0"/>
          <w:numId w:val="6"/>
        </w:numPr>
      </w:pPr>
      <w:r>
        <w:t xml:space="preserve">Humildad epistémica como motor (explorar, aprender, reenfocar) — 14</w:t>
      </w:r>
    </w:p>
    <w:p>
      <w:pPr>
        <w:pStyle w:val="BodyJ"/>
        <w:numPr>
          <w:ilvl w:val="0"/>
          <w:numId w:val="6"/>
        </w:numPr>
      </w:pPr>
      <w:r>
        <w:t xml:space="preserve">Illness scripts — 2, 6, 16</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14, CC (viñeta 10)</w:t>
      </w:r>
    </w:p>
    <w:p>
      <w:pPr>
        <w:pStyle w:val="BodyJ"/>
        <w:numPr>
          <w:ilvl w:val="0"/>
          <w:numId w:val="6"/>
        </w:numPr>
      </w:pPr>
      <w:r>
        <w:t xml:space="preserve">Inteligencia artificial: rol diagnóstico y terapéutico, catálogo de riesgos, defensas — 17</w:t>
      </w:r>
    </w:p>
    <w:p>
      <w:pPr>
        <w:pStyle w:val="BodyJ"/>
        <w:numPr>
          <w:ilvl w:val="0"/>
          <w:numId w:val="6"/>
        </w:numPr>
      </w:pPr>
      <w:r>
        <w:t xml:space="preserve">Intuición experta — 5, 6, Interludio II</w:t>
      </w:r>
    </w:p>
    <w:p>
      <w:pPr>
        <w:pStyle w:val="BodyJ"/>
        <w:numPr>
          <w:ilvl w:val="0"/>
          <w:numId w:val="6"/>
        </w:numPr>
      </w:pPr>
      <w:r>
        <w:t xml:space="preserve">Lectura de ensayos clínicos (significación, reanálisis bayesiano, saga ANDROMEDA) — 10</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 10</w:t>
      </w:r>
    </w:p>
    <w:p>
      <w:pPr>
        <w:pStyle w:val="BodyJ"/>
        <w:numPr>
          <w:ilvl w:val="0"/>
          <w:numId w:val="6"/>
        </w:numPr>
      </w:pPr>
      <w:r>
        <w:t xml:space="preserve">Medicina basada en evidencia — 9</w:t>
      </w:r>
    </w:p>
    <w:p>
      <w:pPr>
        <w:pStyle w:val="BodyJ"/>
        <w:numPr>
          <w:ilvl w:val="0"/>
          <w:numId w:val="6"/>
        </w:numPr>
      </w:pPr>
      <w:r>
        <w:t xml:space="preserve">Meta-d′ y medición de la metacognición — 5</w:t>
      </w:r>
    </w:p>
    <w:p>
      <w:pPr>
        <w:pStyle w:val="BodyJ"/>
        <w:numPr>
          <w:ilvl w:val="0"/>
          <w:numId w:val="6"/>
        </w:numPr>
      </w:pPr>
      <w:r>
        <w:t xml:space="preserve">Metacognición: definición y niveles — Int, 5; monitoreo y control — 5; social (señales del equipo y del paciente) — 5, 13; sensibilidad vs. sesgo — Int, 5; artificial — 17</w:t>
      </w:r>
    </w:p>
    <w:p>
      <w:pPr>
        <w:pStyle w:val="BodyJ"/>
        <w:numPr>
          <w:ilvl w:val="0"/>
          <w:numId w:val="6"/>
        </w:numPr>
      </w:pPr>
      <w:r>
        <w:t xml:space="preserve">Miedo y decisión (documentación defensiva, sobreestudio) — 3, 14</w:t>
      </w:r>
    </w:p>
    <w:p>
      <w:pPr>
        <w:pStyle w:val="BodyJ"/>
        <w:numPr>
          <w:ilvl w:val="0"/>
          <w:numId w:val="6"/>
        </w:numPr>
      </w:pPr>
      <w:r>
        <w:t xml:space="preserve">Modelo de Toulmin (dato, garantía, calificador, refutación) — 4</w:t>
      </w:r>
    </w:p>
    <w:p>
      <w:pPr>
        <w:pStyle w:val="BodyJ"/>
        <w:numPr>
          <w:ilvl w:val="0"/>
          <w:numId w:val="6"/>
        </w:numPr>
      </w:pPr>
      <w:r>
        <w:t xml:space="preserve">Nota clínica generada por IA (degradación del registro) — 17</w:t>
      </w:r>
    </w:p>
    <w:p>
      <w:pPr>
        <w:pStyle w:val="BodyJ"/>
        <w:numPr>
          <w:ilvl w:val="0"/>
          <w:numId w:val="6"/>
        </w:numPr>
      </w:pPr>
      <w:r>
        <w:t xml:space="preserve">Observación activa — 10, 11</w:t>
      </w:r>
    </w:p>
    <w:p>
      <w:pPr>
        <w:pStyle w:val="BodyJ"/>
        <w:numPr>
          <w:ilvl w:val="0"/>
          <w:numId w:val="6"/>
        </w:numPr>
      </w:pPr>
      <w:r>
        <w:t xml:space="preserve">Paradoja de la automatización — 17</w:t>
      </w:r>
    </w:p>
    <w:p>
      <w:pPr>
        <w:pStyle w:val="BodyJ"/>
        <w:numPr>
          <w:ilvl w:val="0"/>
          <w:numId w:val="6"/>
        </w:numPr>
      </w:pPr>
      <w:r>
        <w:t xml:space="preserve">Pausa diagnóstica — 8, 16, Ap B, Ap C</w:t>
      </w:r>
    </w:p>
    <w:p>
      <w:pPr>
        <w:pStyle w:val="BodyJ"/>
        <w:numPr>
          <w:ilvl w:val="0"/>
          <w:numId w:val="6"/>
        </w:numPr>
      </w:pPr>
      <w:r>
        <w:t xml:space="preserve">Poesía y juicio clínico (Huidobro, Parra; belleza como señal y trampa) — 18</w:t>
      </w:r>
    </w:p>
    <w:p>
      <w:pPr>
        <w:pStyle w:val="BodyJ"/>
        <w:numPr>
          <w:ilvl w:val="0"/>
          <w:numId w:val="6"/>
        </w:numPr>
      </w:pPr>
      <w:r>
        <w:t xml:space="preserve">Pericia y práctica deliberada — 6</w:t>
      </w:r>
    </w:p>
    <w:p>
      <w:pPr>
        <w:pStyle w:val="BodyJ"/>
        <w:numPr>
          <w:ilvl w:val="0"/>
          <w:numId w:val="6"/>
        </w:numPr>
      </w:pPr>
      <w:r>
        <w:t xml:space="preserve">Phronesis — 6, 14</w:t>
      </w:r>
    </w:p>
    <w:p>
      <w:pPr>
        <w:pStyle w:val="BodyJ"/>
        <w:numPr>
          <w:ilvl w:val="0"/>
          <w:numId w:val="6"/>
        </w:numPr>
      </w:pPr>
      <w:r>
        <w:t xml:space="preserve">Pronóstico e incertidumbre de plazo — CC (viñeta 7)</w:t>
      </w:r>
    </w:p>
    <w:p>
      <w:pPr>
        <w:pStyle w:val="BodyJ"/>
        <w:numPr>
          <w:ilvl w:val="0"/>
          <w:numId w:val="6"/>
        </w:numPr>
      </w:pPr>
      <w:r>
        <w:t xml:space="preserve">Proporcionalidad terapéutica (Taboada) — 10, 15, CC (viñeta 7)</w:t>
      </w:r>
    </w:p>
    <w:p>
      <w:pPr>
        <w:pStyle w:val="BodyJ"/>
        <w:numPr>
          <w:ilvl w:val="0"/>
          <w:numId w:val="6"/>
        </w:numPr>
      </w:pPr>
      <w:r>
        <w:t xml:space="preserve">Pruebas severas (Popper) — 2</w:t>
      </w:r>
    </w:p>
    <w:p>
      <w:pPr>
        <w:pStyle w:val="BodyJ"/>
        <w:numPr>
          <w:ilvl w:val="0"/>
          <w:numId w:val="6"/>
        </w:numPr>
      </w:pPr>
      <w:r>
        <w:t xml:space="preserve">Puntos de inflexión — 11, Interludio III</w:t>
      </w:r>
    </w:p>
    <w:p>
      <w:pPr>
        <w:pStyle w:val="BodyJ"/>
        <w:numPr>
          <w:ilvl w:val="0"/>
          <w:numId w:val="6"/>
        </w:numPr>
      </w:pPr>
      <w:r>
        <w:t xml:space="preserve">Representación del problema — Int, 2, 8, 16</w:t>
      </w:r>
    </w:p>
    <w:p>
      <w:pPr>
        <w:pStyle w:val="BodyJ"/>
        <w:numPr>
          <w:ilvl w:val="0"/>
          <w:numId w:val="6"/>
        </w:numPr>
      </w:pPr>
      <w:r>
        <w:t xml:space="preserve">Riesgo inductivo (Rudner, Douglas) — 10</w:t>
      </w:r>
    </w:p>
    <w:p>
      <w:pPr>
        <w:pStyle w:val="BodyJ"/>
        <w:numPr>
          <w:ilvl w:val="0"/>
          <w:numId w:val="6"/>
        </w:numPr>
      </w:pPr>
      <w:r>
        <w:t xml:space="preserve">Safety-netting — 11, CC (viñetas 5, 6 y 9)</w:t>
      </w:r>
    </w:p>
    <w:p>
      <w:pPr>
        <w:pStyle w:val="BodyJ"/>
        <w:numPr>
          <w:ilvl w:val="0"/>
          <w:numId w:val="6"/>
        </w:numPr>
      </w:pPr>
      <w:r>
        <w:t xml:space="preserve">Segunda víctima — 14</w:t>
      </w:r>
    </w:p>
    <w:p>
      <w:pPr>
        <w:pStyle w:val="BodyJ"/>
        <w:numPr>
          <w:ilvl w:val="0"/>
          <w:numId w:val="6"/>
        </w:numPr>
      </w:pPr>
      <w:r>
        <w:t xml:space="preserve">Sesgo algorítmico (Obermeyer) — 17</w:t>
      </w:r>
    </w:p>
    <w:p>
      <w:pPr>
        <w:pStyle w:val="BodyJ"/>
        <w:numPr>
          <w:ilvl w:val="0"/>
          <w:numId w:val="6"/>
        </w:numPr>
      </w:pPr>
      <w:r>
        <w:t xml:space="preserve">Sesgo de automatización (Goddard) — 17</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Testimonio del paciente — 1, 14; epistemología del testimonio (Coady, Lackey) — 14; testimonio de terceros y cuidadores — CC (viñeta 9)</w:t>
      </w:r>
    </w:p>
    <w:p>
      <w:pPr>
        <w:pStyle w:val="BodyJ"/>
        <w:numPr>
          <w:ilvl w:val="0"/>
          <w:numId w:val="6"/>
        </w:numPr>
      </w:pPr>
      <w:r>
        <w:t xml:space="preserve">Trayectoria y temporalidad — 11, Interludio I</w:t>
      </w:r>
    </w:p>
    <w:p>
      <w:pPr>
        <w:pStyle w:val="BodyJ"/>
        <w:numPr>
          <w:ilvl w:val="0"/>
          <w:numId w:val="6"/>
        </w:numPr>
      </w:pPr>
      <w:r>
        <w:t xml:space="preserve">Umbrales de decisión — 10, Interludio III, CC (viñeta 5)</w:t>
      </w:r>
    </w:p>
    <w:p>
      <w:pPr>
        <w:pStyle w:val="BodyJ"/>
        <w:numPr>
          <w:ilvl w:val="0"/>
          <w:numId w:val="6"/>
        </w:numPr>
      </w:pPr>
      <w:r>
        <w:t xml:space="preserve">Validez del entorno e intuición (Kahneman y Klein) — 6</w:t>
      </w:r>
    </w:p>
    <w:p>
      <w:pPr>
        <w:pStyle w:val="BodyJ"/>
        <w:numPr>
          <w:ilvl w:val="0"/>
          <w:numId w:val="6"/>
        </w:numPr>
      </w:pPr>
      <w:r>
        <w:t xml:space="preserve">Validación local y monitoreo de herramientas de IA — 17</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Nota metodológica y estatuto de las afirmaciones</w:t>
      </w:r>
    </w:p>
    <w:p>
      <w:pPr>
        <w:pStyle w:val="BodyJ"/>
      </w:pPr>
      <w:r>
        <w:rPr>
          <w:b/>
          <w:bCs/>
        </w:rPr>
        <w:t xml:space="preserve">Naturaleza de la obra.</w:t>
      </w:r>
      <w:r>
        <w:t xml:space="preserve"> Este libro es un ensayo académico de integración científico-filosófica dirigido a profesionales clínicos. No es una revisión sistemática, ni una guía clínica, ni contiene instrumentos validados.</w:t>
      </w:r>
    </w:p>
    <w:p>
      <w:pPr>
        <w:pStyle w:val="BodyJ"/>
      </w:pPr>
      <w:r>
        <w:rPr>
          <w:b/>
          <w:bCs/>
        </w:rPr>
        <w:t xml:space="preserve">Estrategia bibliográfica.</w:t>
      </w:r>
      <w:r>
        <w:t xml:space="preserve"> Las fuentes provienen de tres cuerpos: investigación biomédica y de razonamiento clínico, filosofía de la ciencia y epistemología, y educación médica. Se privilegiaron fuentes primarias y revisiones reconocidas; el período cubierto llega hasta el cierre bibliográfico, en agosto de 2026. Durante la redacción se aplicó una regla fija: ninguna referencia entró al manuscrito sin verificación previa contra su fuente — autoría, año, revista y resultado. No se pretende exhaustividad sistemática: la selección sirve al argumento y se declara como tal.</w:t>
      </w:r>
    </w:p>
    <w:p>
      <w:pPr>
        <w:pStyle w:val="BodyJ"/>
      </w:pPr>
      <w:r>
        <w:rPr>
          <w:b/>
          <w:bCs/>
        </w:rPr>
        <w:t xml:space="preserve">Estatuto de las afirmaciones.</w:t>
      </w:r>
      <w:r>
        <w:t xml:space="preserve"> El lector encontrará seis clases de enunciados, y el texto procura que cada uno se presente como lo que es: resultados verificados de fuentes primarias, citados con autor y año; conclusiones de revisiones o consensos; argumentos filosóficos, atribuidos a sus autores; experiencia autoral, narrada en primera persona; ejemplos docentes construidos, señalados como tales («en ejercicios docentes suele observarse…»); y propuestas originales del libro — la densidad epistémica, la frase medular y el método HII-D —, que no deben leerse como hallazgos sino como hipótesis de trabajo.</w:t>
      </w:r>
    </w:p>
    <w:p>
      <w:pPr>
        <w:pStyle w:val="BodyJ"/>
      </w:pPr>
      <w:r>
        <w:rPr>
          <w:b/>
          <w:bCs/>
        </w:rPr>
        <w:t xml:space="preserve">Los casos.</w:t>
      </w:r>
      <w:r>
        <w:t xml:space="preserve"> Las escenas clínicas de este libro — Carmen, los interludios, las viñetas y los pasajes en primera persona — son composiciones docentes en el sentido declarado en la página legal: condensan experiencias reales y situaciones compuestas, sin reproducir episodios literales ni permitir identificación de personas o instituciones.</w:t>
      </w:r>
    </w:p>
    <w:p>
      <w:pPr>
        <w:pStyle w:val="BodyJ"/>
      </w:pPr>
      <w:r>
        <w:rPr>
          <w:b/>
          <w:bCs/>
        </w:rPr>
        <w:t xml:space="preserve">Uso de inteligencia artificial.</w:t>
      </w:r>
      <w:r>
        <w:t xml:space="preserve"> Este manuscrito se desarrolló a partir de ideas y formulaciones del autor, con asistencia de inteligencia artificial en búsqueda inicial, organización, comparación bibliográfica, apoyo en redacción y edición. La IA no sustituyó la verificación de fuentes, el juicio clínico, la autoría ni la responsabilidad: las tesis, las decisiones de contenido y los errores pertenecen al autor. El libro intenta aplicar a su propia escritura la disciplina que su capítulo 17 recomienda.</w:t>
      </w:r>
    </w:p>
    <w:p>
      <w:pPr>
        <w:pStyle w:val="BodyJ"/>
      </w:pPr>
      <w:r>
        <w:rPr>
          <w:b/>
          <w:bCs/>
        </w:rPr>
        <w:t xml:space="preserve">HII-D.</w:t>
      </w:r>
      <w:r>
        <w:t xml:space="preserve"> Es una heurística conceptual no validada. Sus compromisos de falsabilidad están en el capítulo 15 («Qué evidencia me haría abandonar este método»); su evaluación empírica — concordancia entre lectores, efecto sobre la reconstrucción del razonamiento y sobre conductas medibles, y costo en tiempo — es un programa pendiente, no un resultado.</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Abdulnour, R.-E. E., Gin, B., &amp; Boscardin, C. K. (2025). Educational strategies for clinical supervision of artificial intelligence use. </w:t>
      </w:r>
      <w:r>
        <w:rPr>
          <w:i/>
          <w:iCs/>
        </w:rPr>
        <w:t xml:space="preserve">New England Journal of Medicine, 393</w:t>
      </w:r>
      <w:r>
        <w:t xml:space="preserve">(8), 786–797.</w:t>
      </w:r>
    </w:p>
    <w:p>
      <w:pPr>
        <w:pStyle w:val="BodyJ"/>
      </w:pPr>
      <w:r>
        <w:t xml:space="preserve">Abdulnour, R.-E. E., et al. (2026). Crew resource management — Navigating AI's automation paradox. </w:t>
      </w:r>
      <w:r>
        <w:rPr>
          <w:i/>
          <w:iCs/>
        </w:rPr>
        <w:t xml:space="preserve">New England Journal of Medicine</w:t>
      </w:r>
      <w:r>
        <w:t xml:space="preserve">. Publicado en línea el 22 de julio de 2026.</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Aristotle. (2009). </w:t>
      </w:r>
      <w:r>
        <w:rPr>
          <w:i/>
          <w:iCs/>
        </w:rPr>
        <w:t xml:space="preserve">The Nicomachean Ethics</w:t>
      </w:r>
      <w:r>
        <w:t xml:space="preserve"> (D. Ross, Trans.; L. Brown, Rev.). Oxford University Press.</w:t>
      </w:r>
    </w:p>
    <w:p>
      <w:pPr>
        <w:pStyle w:val="BodyJ"/>
      </w:pPr>
      <w:r>
        <w:t xml:space="preserve">Austin, J. L. (1962). </w:t>
      </w:r>
      <w:r>
        <w:rPr>
          <w:i/>
          <w:iCs/>
        </w:rPr>
        <w:t xml:space="preserve">How to Do Things with Words</w:t>
      </w:r>
      <w:r>
        <w:t xml:space="preserve">. Clarendon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Boden, M. A. (2004). </w:t>
      </w:r>
      <w:r>
        <w:rPr>
          <w:i/>
          <w:iCs/>
        </w:rPr>
        <w:t xml:space="preserve">The Creative Mind: Myths and Mechanisms</w:t>
      </w:r>
      <w:r>
        <w:t xml:space="preserve"> (2.ª ed.). Routledge.</w:t>
      </w:r>
    </w:p>
    <w:p>
      <w:pPr>
        <w:pStyle w:val="BodyJ"/>
      </w:pPr>
      <w:r>
        <w:t xml:space="preserve">Bohm, D. (1996). </w:t>
      </w:r>
      <w:r>
        <w:rPr>
          <w:i/>
          <w:iCs/>
        </w:rPr>
        <w:t xml:space="preserve">On Creativity</w:t>
      </w:r>
      <w:r>
        <w:t xml:space="preserve"> (L. Nichol, Ed.). Routledge.</w:t>
      </w:r>
    </w:p>
    <w:p>
      <w:pPr>
        <w:pStyle w:val="BodyJ"/>
      </w:pPr>
      <w:r>
        <w:t xml:space="preserve">Bohm, D., &amp; Peat, F. D. (1987). </w:t>
      </w:r>
      <w:r>
        <w:rPr>
          <w:i/>
          <w:iCs/>
        </w:rPr>
        <w:t xml:space="preserve">Science, Order, and Creativity</w:t>
      </w:r>
      <w:r>
        <w:t xml:space="preserve">. Bantam Books.</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Budzyń, K., Romańczyk, M., Kitala, D.,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(1991). </w:t>
      </w:r>
      <w:r>
        <w:rPr>
          <w:i/>
          <w:iCs/>
        </w:rPr>
        <w:t xml:space="preserve">The Normal and the Pathological</w:t>
      </w:r>
      <w:r>
        <w:t xml:space="preserve">. Zone Books.</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Casscells, W., Schoenberger, A., &amp; Graboys, T. B. (1978). Interpretation by physicians of clinical laboratory results. </w:t>
      </w:r>
      <w:r>
        <w:rPr>
          <w:i/>
          <w:iCs/>
        </w:rPr>
        <w:t xml:space="preserve">New England Journal of Medicine, 299</w:t>
      </w:r>
      <w:r>
        <w:t xml:space="preserve">(18), 999–1001.</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(1973). </w:t>
      </w:r>
      <w:r>
        <w:rPr>
          <w:i/>
          <w:iCs/>
        </w:rPr>
        <w:t xml:space="preserve">The Birth of the Clinic: An Archaeology of Medical Perception</w:t>
      </w:r>
      <w:r>
        <w:t xml:space="preserve"> (A. M. Sheridan Smith, Trans.). Vintage Books.</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The Enigma of Health: The Art of Healing in a Scientific Age</w:t>
      </w:r>
      <w:r>
        <w:t xml:space="preserve"> (J. Gaiger &amp; N. Walker, Trans.). Stanford University Press.</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pPr>
      <w:r>
        <w:t xml:space="preserve">Goh, E., Gallo, R., Hom, J., et al. (2024). Large language model influence on diagnostic reasoning: A randomized clinical trial. </w:t>
      </w:r>
      <w:r>
        <w:rPr>
          <w:i/>
          <w:iCs/>
        </w:rPr>
        <w:t xml:space="preserve">JAMA Network Open, 7</w:t>
      </w:r>
      <w:r>
        <w:t xml:space="preserve">(10), e2440969.</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Gracia, D. (2001). La deliberación moral: El método de la ética clínica. </w:t>
      </w:r>
      <w:r>
        <w:rPr>
          <w:i/>
          <w:iCs/>
        </w:rPr>
        <w:t xml:space="preserve">Medicina Clínica, 117</w:t>
      </w:r>
      <w:r>
        <w:t xml:space="preserve">(1), 18–23.</w:t>
      </w:r>
    </w:p>
    <w:p>
      <w:pPr>
        <w:pStyle w:val="BodyJ"/>
      </w:pPr>
      <w:r>
        <w:t xml:space="preserve">Groopman, J. (2007). </w:t>
      </w:r>
      <w:r>
        <w:rPr>
          <w:i/>
          <w:iCs/>
        </w:rPr>
        <w:t xml:space="preserve">How Doctors Think</w:t>
      </w:r>
      <w:r>
        <w:t xml:space="preserve">. Houghton Mifflin.</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Huidobro, V. (1916). </w:t>
      </w:r>
      <w:r>
        <w:rPr>
          <w:i/>
          <w:iCs/>
        </w:rPr>
        <w:t xml:space="preserve">El espejo de agua</w:t>
      </w:r>
      <w:r>
        <w:t xml:space="preserve">. Orión.</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Jonsen, A. R., &amp; Toulmin, S. (1988). </w:t>
      </w:r>
      <w:r>
        <w:rPr>
          <w:i/>
          <w:iCs/>
        </w:rPr>
        <w:t xml:space="preserve">The Abuse of Casuistry: A History of Moral Reasoning</w:t>
      </w:r>
      <w:r>
        <w:t xml:space="preserve">. University of California Press.</w:t>
      </w:r>
    </w:p>
    <w:p>
      <w:pPr>
        <w:pStyle w:val="BodyJ"/>
      </w:pPr>
      <w:r>
        <w:t xml:space="preserve">Kahneman, D. (2011). </w:t>
      </w:r>
      <w:r>
        <w:rPr>
          <w:i/>
          <w:iCs/>
        </w:rPr>
        <w:t xml:space="preserve">Thinking, Fast and Slow</w:t>
      </w:r>
      <w:r>
        <w:t xml:space="preserve">. Farrar, Straus and Giroux.</w:t>
      </w:r>
    </w:p>
    <w:p>
      <w:pPr>
        <w:pStyle w:val="BodyJ"/>
      </w:pPr>
      <w:r>
        <w:t xml:space="preserve">Kahneman, D., &amp; Klein, G. (2009). Conditions for intuitive expertise: A failure to disagree. </w:t>
      </w:r>
      <w:r>
        <w:rPr>
          <w:i/>
          <w:iCs/>
        </w:rPr>
        <w:t xml:space="preserve">American Psychologist, 64</w:t>
      </w:r>
      <w:r>
        <w:t xml:space="preserve">(6), 515–526.</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&amp; Schmidt, H. G.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McCoy, L. G., Manrai, A. K., &amp; Rodman, A. (2024). Large language models and the degradation of the medical record. </w:t>
      </w:r>
      <w:r>
        <w:rPr>
          <w:i/>
          <w:iCs/>
        </w:rPr>
        <w:t xml:space="preserve">New England Journal of Medicine, 391</w:t>
      </w:r>
      <w:r>
        <w:t xml:space="preserve">(17), 1561–1564.</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pPr>
      <w:r>
        <w:t xml:space="preserve">Parra, N. (1954). </w:t>
      </w:r>
      <w:r>
        <w:rPr>
          <w:i/>
          <w:iCs/>
        </w:rPr>
        <w:t xml:space="preserve">Poemas y antipoemas</w:t>
      </w:r>
      <w:r>
        <w:t xml:space="preserve">. Nascimento.</w:t>
      </w:r>
    </w:p>
    <w:p>
      <w:pPr>
        <w:pStyle w:val="BodyJ"/>
      </w:pPr>
      <w:r>
        <w:t xml:space="preserve">Parra, N. (1969). </w:t>
      </w:r>
      <w:r>
        <w:rPr>
          <w:i/>
          <w:iCs/>
        </w:rPr>
        <w:t xml:space="preserve">Obra gruesa</w:t>
      </w:r>
      <w:r>
        <w:t xml:space="preserve">. Editorial Universitaria.</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Qazi, I. A., Ali, A., Khawaja, A. U., Akhtar, M. J., Sheikh, A. Z., &amp; Alizai, M. H. (2026). Automation bias in large language model–assisted diagnostic reasoning among physicians trained in AI literacy: A randomized clinical trial. </w:t>
      </w:r>
      <w:r>
        <w:rPr>
          <w:i/>
          <w:iCs/>
        </w:rPr>
        <w:t xml:space="preserve">NEJM AI, 3</w:t>
      </w:r>
      <w:r>
        <w:t xml:space="preserve">(5), AIoa2501001.</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&amp; Labarca, J.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Rockwood, K., Song, X., MacKnight, C., Bergman, H., Hogan, D. B., McDowell, I., &amp; Mitnitski, A. (2005). A global clinical measure of fitness and frailty in elderly people. </w:t>
      </w:r>
      <w:r>
        <w:rPr>
          <w:i/>
          <w:iCs/>
        </w:rPr>
        <w:t xml:space="preserve">CMAJ, 173</w:t>
      </w:r>
      <w:r>
        <w:t xml:space="preserve">(5), 489–495.</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Taboada, P. (2000). El derecho a morir con dignidad. </w:t>
      </w:r>
      <w:r>
        <w:rPr>
          <w:i/>
          <w:iCs/>
        </w:rPr>
        <w:t xml:space="preserve">Acta Bioethica, 6</w:t>
      </w:r>
      <w:r>
        <w:t xml:space="preserve">(1), 89–101.</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Toulmin, S. (1958). </w:t>
      </w:r>
      <w:r>
        <w:rPr>
          <w:i/>
          <w:iCs/>
        </w:rPr>
        <w:t xml:space="preserve">The Uses of Argument</w:t>
      </w:r>
      <w:r>
        <w:t xml:space="preserve">. Cambridge University Press.</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Wong, A., Otles, E., Donnelly, J. P., et al. (2021). External validation of a widely implemented proprietary sepsis prediction model in hospitalized patients. </w:t>
      </w:r>
      <w:r>
        <w:rPr>
          <w:i/>
          <w:iCs/>
        </w:rPr>
        <w:t xml:space="preserve">JAMA Internal Medicine, 181</w:t>
      </w:r>
      <w:r>
        <w:t xml:space="preserve">(8), 1065–1070.</w:t>
      </w:r>
    </w:p>
    <w:p>
      <w:pPr>
        <w:pStyle w:val="BodyJ"/>
      </w:pPr>
      <w:r>
        <w:t xml:space="preserve">Wu, A. W. (2000). Medical error: The second victim. The doctor who makes the mistake needs help too. </w:t>
      </w:r>
      <w:r>
        <w:rPr>
          <w:i/>
          <w:iCs/>
        </w:rPr>
        <w:t xml:space="preserve">BMJ, 320</w:t>
      </w:r>
      <w:r>
        <w:t xml:space="preserve">(7237), 726–727.</w:t>
      </w:r>
    </w:p>
    <w:p>
      <w:pPr>
        <w:pStyle w:val="BodyJ"/>
      </w:pPr>
      <w:r>
        <w:t xml:space="preserve">Xiong, M., Hu, Z., Lu, X., Li, Y., Fu, J., He, J., &amp; Hooi, B.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&amp; Hernández, G.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abstractNum w:abstractNumId="29"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04413ef35eda850ea69e2ef1e71317b65997b97.png"/><Relationship Id="rId10" Type="http://schemas.openxmlformats.org/officeDocument/2006/relationships/image" Target="media/8f7fc95f3881b440dc7179b5574840ea7ea99810.png"/><Relationship Id="rId11" Type="http://schemas.openxmlformats.org/officeDocument/2006/relationships/image" Target="media/1cba8dc84ceb4b9f7df47ad9f5782c196e7d2f84.png"/><Relationship Id="rId12" Type="http://schemas.openxmlformats.org/officeDocument/2006/relationships/image" Target="media/2bab50b1883abc9ee11b062abc8c09ee708d068a.png"/><Relationship Id="rId13" Type="http://schemas.openxmlformats.org/officeDocument/2006/relationships/image" Target="media/54193483d050d12101c74d09c18ffbcea9e2f76b.png"/><Relationship Id="rId14" Type="http://schemas.openxmlformats.org/officeDocument/2006/relationships/image" Target="media/1970e22e163347f285599984ecb26af3f84ccbbb.png"/><Relationship Id="rId15" Type="http://schemas.openxmlformats.org/officeDocument/2006/relationships/image" Target="media/6053aed5214e5817ca2bc7077bedd0d598f4e04b.png"/><Relationship Id="rId16" Type="http://schemas.openxmlformats.org/officeDocument/2006/relationships/image" Target="media/147914b6ed22858813c6914a5f828116ebfd39b0.png"/><Relationship Id="rId17" Type="http://schemas.openxmlformats.org/officeDocument/2006/relationships/image" Target="media/4040ee3bac2dc1ccc36a8793c1f87e53f1ba14e3.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2026-08-09T06:25:44.634Z</dcterms:created>
  <dcterms:modified xsi:type="dcterms:W3CDTF">2026-08-09T06:25:44.634Z</dcterms:modified>
</cp:coreProperties>
</file>

<file path=docProps/custom.xml><?xml version="1.0" encoding="utf-8"?>
<Properties xmlns="http://schemas.openxmlformats.org/officeDocument/2006/custom-properties" xmlns:vt="http://schemas.openxmlformats.org/officeDocument/2006/docPropsVTypes"/>
</file>