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Todas las viñetas clínicas —incluido el caso longitudinal que atraviesa el libro, los interludios y los pasajes narrados en primera persona— son composiciones docentes: combinan situaciones frecuentes de la práctica hospitalaria y no corresponden a pacientes identificables ni a episodios reproducidos literalmente.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4</w:t>
      </w:r>
    </w:p>
    <w:p>
      <w:pPr>
        <w:pStyle w:val="TocPart"/>
        <w:tabs>
          <w:tab w:val="right" w:pos="9026" w:leader="dot"/>
        </w:tabs>
      </w:pPr>
      <w:r>
        <w:t xml:space="preserve">PARTE I. Las capas del conocimiento clínico</w:t>
      </w:r>
      <w:r>
        <w:tab/>
      </w:r>
      <w:r>
        <w:rPr>
          <w:color w:val="8A8A8A"/>
        </w:rPr>
        <w:t xml:space="preserve">8</w:t>
      </w:r>
    </w:p>
    <w:p>
      <w:pPr>
        <w:pStyle w:val="TocEntry"/>
        <w:tabs>
          <w:tab w:val="right" w:pos="9026" w:leader="dot"/>
        </w:tabs>
      </w:pPr>
      <w:r>
        <w:t xml:space="preserve">Capítulo 1. El hecho clínico: observación, medición y procedencia</w:t>
      </w:r>
      <w:r>
        <w:tab/>
      </w:r>
      <w:r>
        <w:rPr>
          <w:color w:val="8A8A8A"/>
        </w:rPr>
        <w:t xml:space="preserve">9</w:t>
      </w:r>
    </w:p>
    <w:p>
      <w:pPr>
        <w:pStyle w:val="TocEntry"/>
        <w:tabs>
          <w:tab w:val="right" w:pos="9026" w:leader="dot"/>
        </w:tabs>
      </w:pPr>
      <w:r>
        <w:t xml:space="preserve">Capítulo 2. Inferir: del signo a la explicación</w:t>
      </w:r>
      <w:r>
        <w:tab/>
      </w:r>
      <w:r>
        <w:rPr>
          <w:color w:val="8A8A8A"/>
        </w:rPr>
        <w:t xml:space="preserve">14</w:t>
      </w:r>
    </w:p>
    <w:p>
      <w:pPr>
        <w:pStyle w:val="TocEntry"/>
        <w:tabs>
          <w:tab w:val="right" w:pos="9026" w:leader="dot"/>
        </w:tabs>
      </w:pPr>
      <w:r>
        <w:t xml:space="preserve">Capítulo 3. Incertidumbre: una condición estructural</w:t>
      </w:r>
      <w:r>
        <w:tab/>
      </w:r>
      <w:r>
        <w:rPr>
          <w:color w:val="8A8A8A"/>
        </w:rPr>
        <w:t xml:space="preserve">19</w:t>
      </w:r>
    </w:p>
    <w:p>
      <w:pPr>
        <w:pStyle w:val="TocEntry"/>
        <w:tabs>
          <w:tab w:val="right" w:pos="9026" w:leader="dot"/>
        </w:tabs>
      </w:pPr>
      <w:r>
        <w:t xml:space="preserve">Capítulo 4. Lenguaje clínico y densidad epistémica</w:t>
      </w:r>
      <w:r>
        <w:tab/>
      </w:r>
      <w:r>
        <w:rPr>
          <w:color w:val="8A8A8A"/>
        </w:rPr>
        <w:t xml:space="preserve">23</w:t>
      </w:r>
    </w:p>
    <w:p>
      <w:pPr>
        <w:pStyle w:val="TocEntry"/>
        <w:tabs>
          <w:tab w:val="right" w:pos="9026" w:leader="dot"/>
        </w:tabs>
      </w:pPr>
      <w:r>
        <w:t xml:space="preserve">Interludio I. La ficha de Carmen</w:t>
      </w:r>
      <w:r>
        <w:tab/>
      </w:r>
      <w:r>
        <w:rPr>
          <w:color w:val="8A8A8A"/>
        </w:rPr>
        <w:t xml:space="preserve">27</w:t>
      </w:r>
    </w:p>
    <w:p>
      <w:pPr>
        <w:pStyle w:val="TocPart"/>
        <w:tabs>
          <w:tab w:val="right" w:pos="9026" w:leader="dot"/>
        </w:tabs>
      </w:pPr>
      <w:r>
        <w:t xml:space="preserve">PARTE II. La mente que se observa</w:t>
      </w:r>
      <w:r>
        <w:tab/>
      </w:r>
      <w:r>
        <w:rPr>
          <w:color w:val="8A8A8A"/>
        </w:rPr>
        <w:t xml:space="preserve">28</w:t>
      </w:r>
    </w:p>
    <w:p>
      <w:pPr>
        <w:pStyle w:val="TocEntry"/>
        <w:tabs>
          <w:tab w:val="right" w:pos="9026" w:leader="dot"/>
        </w:tabs>
      </w:pPr>
      <w:r>
        <w:t xml:space="preserve">Capítulo 5. Metacognición: monitorear y regular el propio juicio</w:t>
      </w:r>
      <w:r>
        <w:tab/>
      </w:r>
      <w:r>
        <w:rPr>
          <w:color w:val="8A8A8A"/>
        </w:rPr>
        <w:t xml:space="preserve">29</w:t>
      </w:r>
    </w:p>
    <w:p>
      <w:pPr>
        <w:pStyle w:val="TocEntry"/>
        <w:tabs>
          <w:tab w:val="right" w:pos="9026" w:leader="dot"/>
        </w:tabs>
      </w:pPr>
      <w:r>
        <w:t xml:space="preserve">Capítulo 6. Pericia, intuición y conocimiento tácito</w:t>
      </w:r>
      <w:r>
        <w:tab/>
      </w:r>
      <w:r>
        <w:rPr>
          <w:color w:val="8A8A8A"/>
        </w:rPr>
        <w:t xml:space="preserve">34</w:t>
      </w:r>
    </w:p>
    <w:p>
      <w:pPr>
        <w:pStyle w:val="TocEntry"/>
        <w:tabs>
          <w:tab w:val="right" w:pos="9026" w:leader="dot"/>
        </w:tabs>
      </w:pPr>
      <w:r>
        <w:t xml:space="preserve">Capítulo 7. Error, sesgo y ecología del diagnóstico</w:t>
      </w:r>
      <w:r>
        <w:tab/>
      </w:r>
      <w:r>
        <w:rPr>
          <w:color w:val="8A8A8A"/>
        </w:rPr>
        <w:t xml:space="preserve">37</w:t>
      </w:r>
    </w:p>
    <w:p>
      <w:pPr>
        <w:pStyle w:val="TocEntry"/>
        <w:tabs>
          <w:tab w:val="right" w:pos="9026" w:leader="dot"/>
        </w:tabs>
      </w:pPr>
      <w:r>
        <w:t xml:space="preserve">Capítulo 8. Reflexión y desaceleración selectiva</w:t>
      </w:r>
      <w:r>
        <w:tab/>
      </w:r>
      <w:r>
        <w:rPr>
          <w:color w:val="8A8A8A"/>
        </w:rPr>
        <w:t xml:space="preserve">40</w:t>
      </w:r>
    </w:p>
    <w:p>
      <w:pPr>
        <w:pStyle w:val="TocEntry"/>
        <w:tabs>
          <w:tab w:val="right" w:pos="9026" w:leader="dot"/>
        </w:tabs>
      </w:pPr>
      <w:r>
        <w:t xml:space="preserve">Interludio II. Lo que el equipo pensó</w:t>
      </w:r>
      <w:r>
        <w:tab/>
      </w:r>
      <w:r>
        <w:rPr>
          <w:color w:val="8A8A8A"/>
        </w:rPr>
        <w:t xml:space="preserve">43</w:t>
      </w:r>
    </w:p>
    <w:p>
      <w:pPr>
        <w:pStyle w:val="TocPart"/>
        <w:tabs>
          <w:tab w:val="right" w:pos="9026" w:leader="dot"/>
        </w:tabs>
      </w:pPr>
      <w:r>
        <w:t xml:space="preserve">PARTE III. Decidir en el tiempo y con otros</w:t>
      </w:r>
      <w:r>
        <w:tab/>
      </w:r>
      <w:r>
        <w:rPr>
          <w:color w:val="8A8A8A"/>
        </w:rPr>
        <w:t xml:space="preserve">44</w:t>
      </w:r>
    </w:p>
    <w:p>
      <w:pPr>
        <w:pStyle w:val="TocEntry"/>
        <w:tabs>
          <w:tab w:val="right" w:pos="9026" w:leader="dot"/>
        </w:tabs>
      </w:pPr>
      <w:r>
        <w:t xml:space="preserve">Capítulo 9. La evidencia y el caso singular</w:t>
      </w:r>
      <w:r>
        <w:tab/>
      </w:r>
      <w:r>
        <w:rPr>
          <w:color w:val="8A8A8A"/>
        </w:rPr>
        <w:t xml:space="preserve">45</w:t>
      </w:r>
    </w:p>
    <w:p>
      <w:pPr>
        <w:pStyle w:val="TocEntry"/>
        <w:tabs>
          <w:tab w:val="right" w:pos="9026" w:leader="dot"/>
        </w:tabs>
      </w:pPr>
      <w:r>
        <w:t xml:space="preserve">Capítulo 10. Decidir sin certeza: umbrales, valores y lectura de la evidencia</w:t>
      </w:r>
      <w:r>
        <w:tab/>
      </w:r>
      <w:r>
        <w:rPr>
          <w:color w:val="8A8A8A"/>
        </w:rPr>
        <w:t xml:space="preserve">48</w:t>
      </w:r>
    </w:p>
    <w:p>
      <w:pPr>
        <w:pStyle w:val="TocEntry"/>
        <w:tabs>
          <w:tab w:val="right" w:pos="9026" w:leader="dot"/>
        </w:tabs>
      </w:pPr>
      <w:r>
        <w:t xml:space="preserve">Capítulo 11. Temporalidad, trayectoria y razonamiento contrafactual</w:t>
      </w:r>
      <w:r>
        <w:tab/>
      </w:r>
      <w:r>
        <w:rPr>
          <w:color w:val="8A8A8A"/>
        </w:rPr>
        <w:t xml:space="preserve">53</w:t>
      </w:r>
    </w:p>
    <w:p>
      <w:pPr>
        <w:pStyle w:val="TocEntry"/>
        <w:tabs>
          <w:tab w:val="right" w:pos="9026" w:leader="dot"/>
        </w:tabs>
      </w:pPr>
      <w:r>
        <w:t xml:space="preserve">Capítulo 12. La ficha clínica como instrumento de pensamiento</w:t>
      </w:r>
      <w:r>
        <w:tab/>
      </w:r>
      <w:r>
        <w:rPr>
          <w:color w:val="8A8A8A"/>
        </w:rPr>
        <w:t xml:space="preserve">56</w:t>
      </w:r>
    </w:p>
    <w:p>
      <w:pPr>
        <w:pStyle w:val="TocEntry"/>
        <w:tabs>
          <w:tab w:val="right" w:pos="9026" w:leader="dot"/>
        </w:tabs>
      </w:pPr>
      <w:r>
        <w:t xml:space="preserve">Capítulo 13. Pensar con otros: equipos, desacuerdo y comunicación de la incertidumbre</w:t>
      </w:r>
      <w:r>
        <w:tab/>
      </w:r>
      <w:r>
        <w:rPr>
          <w:color w:val="8A8A8A"/>
        </w:rPr>
        <w:t xml:space="preserve">60</w:t>
      </w:r>
    </w:p>
    <w:p>
      <w:pPr>
        <w:pStyle w:val="TocEntry"/>
        <w:tabs>
          <w:tab w:val="right" w:pos="9026" w:leader="dot"/>
        </w:tabs>
      </w:pPr>
      <w:r>
        <w:t xml:space="preserve">Interludio III. La decisión de Carmen</w:t>
      </w:r>
      <w:r>
        <w:tab/>
      </w:r>
      <w:r>
        <w:rPr>
          <w:color w:val="8A8A8A"/>
        </w:rPr>
        <w:t xml:space="preserve">65</w:t>
      </w:r>
    </w:p>
    <w:p>
      <w:pPr>
        <w:pStyle w:val="TocPart"/>
        <w:tabs>
          <w:tab w:val="right" w:pos="9026" w:leader="dot"/>
        </w:tabs>
      </w:pPr>
      <w:r>
        <w:t xml:space="preserve">PARTE IV. Una epistemología operativa</w:t>
      </w:r>
      <w:r>
        <w:tab/>
      </w:r>
      <w:r>
        <w:rPr>
          <w:color w:val="8A8A8A"/>
        </w:rPr>
        <w:t xml:space="preserve">66</w:t>
      </w:r>
    </w:p>
    <w:p>
      <w:pPr>
        <w:pStyle w:val="TocEntry"/>
        <w:tabs>
          <w:tab w:val="right" w:pos="9026" w:leader="dot"/>
        </w:tabs>
      </w:pPr>
      <w:r>
        <w:t xml:space="preserve">Capítulo 14. Inteligencia artificial como espejo del razonamiento</w:t>
      </w:r>
      <w:r>
        <w:tab/>
      </w:r>
      <w:r>
        <w:rPr>
          <w:color w:val="8A8A8A"/>
        </w:rPr>
        <w:t xml:space="preserve">67</w:t>
      </w:r>
    </w:p>
    <w:p>
      <w:pPr>
        <w:pStyle w:val="TocEntry"/>
        <w:tabs>
          <w:tab w:val="right" w:pos="9026" w:leader="dot"/>
        </w:tabs>
      </w:pPr>
      <w:r>
        <w:t xml:space="preserve">Capítulo 15. Humildad epistémica y responsabilidad clínica</w:t>
      </w:r>
      <w:r>
        <w:tab/>
      </w:r>
      <w:r>
        <w:rPr>
          <w:color w:val="8A8A8A"/>
        </w:rPr>
        <w:t xml:space="preserve">70</w:t>
      </w:r>
    </w:p>
    <w:p>
      <w:pPr>
        <w:pStyle w:val="TocEntry"/>
        <w:tabs>
          <w:tab w:val="right" w:pos="9026" w:leader="dot"/>
        </w:tabs>
      </w:pPr>
      <w:r>
        <w:t xml:space="preserve">Capítulo 16. El método HII-D: una epistemología operativa</w:t>
      </w:r>
      <w:r>
        <w:tab/>
      </w:r>
      <w:r>
        <w:rPr>
          <w:color w:val="8A8A8A"/>
        </w:rPr>
        <w:t xml:space="preserve">75</w:t>
      </w:r>
    </w:p>
    <w:p>
      <w:pPr>
        <w:pStyle w:val="TocEntry"/>
        <w:tabs>
          <w:tab w:val="right" w:pos="9026" w:leader="dot"/>
        </w:tabs>
      </w:pPr>
      <w:r>
        <w:t xml:space="preserve">Cuaderno de casos. Diez viñetas para una lectura metacognitiva</w:t>
      </w:r>
      <w:r>
        <w:tab/>
      </w:r>
      <w:r>
        <w:rPr>
          <w:color w:val="8A8A8A"/>
        </w:rPr>
        <w:t xml:space="preserve">81</w:t>
      </w:r>
    </w:p>
    <w:p>
      <w:pPr>
        <w:pStyle w:val="TocEntry"/>
        <w:tabs>
          <w:tab w:val="right" w:pos="9026" w:leader="dot"/>
        </w:tabs>
      </w:pPr>
      <w:r>
        <w:t xml:space="preserve">Capítulo 17. Enseñar y organizar la metacognición clínica</w:t>
      </w:r>
      <w:r>
        <w:tab/>
      </w:r>
      <w:r>
        <w:rPr>
          <w:color w:val="8A8A8A"/>
        </w:rPr>
        <w:t xml:space="preserve">89</w:t>
      </w:r>
    </w:p>
    <w:p>
      <w:pPr>
        <w:pStyle w:val="TocPart"/>
        <w:tabs>
          <w:tab w:val="right" w:pos="9026" w:leader="dot"/>
        </w:tabs>
      </w:pPr>
      <w:r>
        <w:t xml:space="preserve">Conclusión. Una medicina lúcida</w:t>
      </w:r>
      <w:r>
        <w:tab/>
      </w:r>
      <w:r>
        <w:rPr>
          <w:color w:val="8A8A8A"/>
        </w:rPr>
        <w:t xml:space="preserve">93</w:t>
      </w:r>
    </w:p>
    <w:p>
      <w:pPr>
        <w:pStyle w:val="TocPart"/>
        <w:tabs>
          <w:tab w:val="right" w:pos="9026" w:leader="dot"/>
        </w:tabs>
      </w:pPr>
      <w:r>
        <w:t xml:space="preserve">Apéndice A. Hoja HII-D para discusión de casos</w:t>
      </w:r>
      <w:r>
        <w:tab/>
      </w:r>
      <w:r>
        <w:rPr>
          <w:color w:val="8A8A8A"/>
        </w:rPr>
        <w:t xml:space="preserve">95</w:t>
      </w:r>
    </w:p>
    <w:p>
      <w:pPr>
        <w:pStyle w:val="TocPart"/>
        <w:tabs>
          <w:tab w:val="right" w:pos="9026" w:leader="dot"/>
        </w:tabs>
      </w:pPr>
      <w:r>
        <w:t xml:space="preserve">Apéndice B. Léxico de certeza y pausa diagnóstica</w:t>
      </w:r>
      <w:r>
        <w:tab/>
      </w:r>
      <w:r>
        <w:rPr>
          <w:color w:val="8A8A8A"/>
        </w:rPr>
        <w:t xml:space="preserve">97</w:t>
      </w:r>
    </w:p>
    <w:p>
      <w:pPr>
        <w:pStyle w:val="TocPart"/>
        <w:tabs>
          <w:tab w:val="right" w:pos="9026" w:leader="dot"/>
        </w:tabs>
      </w:pPr>
      <w:r>
        <w:t xml:space="preserve">Apéndice C. Guía de implementación en un servicio clínico</w:t>
      </w:r>
      <w:r>
        <w:tab/>
      </w:r>
      <w:r>
        <w:rPr>
          <w:color w:val="8A8A8A"/>
        </w:rPr>
        <w:t xml:space="preserve">99</w:t>
      </w:r>
    </w:p>
    <w:p>
      <w:pPr>
        <w:pStyle w:val="TocPart"/>
        <w:tabs>
          <w:tab w:val="right" w:pos="9026" w:leader="dot"/>
        </w:tabs>
      </w:pPr>
      <w:r>
        <w:t xml:space="preserve">Glosario</w:t>
      </w:r>
      <w:r>
        <w:tab/>
      </w:r>
      <w:r>
        <w:rPr>
          <w:color w:val="8A8A8A"/>
        </w:rPr>
        <w:t xml:space="preserve">101</w:t>
      </w:r>
    </w:p>
    <w:p>
      <w:pPr>
        <w:pStyle w:val="TocPart"/>
        <w:tabs>
          <w:tab w:val="right" w:pos="9026" w:leader="dot"/>
        </w:tabs>
      </w:pPr>
      <w:r>
        <w:t xml:space="preserve">Índice analítico</w:t>
      </w:r>
      <w:r>
        <w:tab/>
      </w:r>
      <w:r>
        <w:rPr>
          <w:color w:val="8A8A8A"/>
        </w:rPr>
        <w:t xml:space="preserve">104</w:t>
      </w:r>
    </w:p>
    <w:p>
      <w:pPr>
        <w:pStyle w:val="TocPart"/>
        <w:tabs>
          <w:tab w:val="right" w:pos="9026" w:leader="dot"/>
        </w:tabs>
      </w:pPr>
      <w:r>
        <w:t xml:space="preserve">Referencias</w:t>
      </w:r>
      <w:r>
        <w:tab/>
      </w:r>
      <w:r>
        <w:rPr>
          <w:color w:val="8A8A8A"/>
        </w:rPr>
        <w:t xml:space="preserve">107</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verosímiles. La frase viajó conmigo al pase de visita, del pase de visita a la epicrisis,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despierto.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el pase de visita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la evidencia poblacional y su traducción al caso singular, los umbrales donde los valores entran al cálculo, la trayectoria temporal, la ficha clínica, y los equipos y la comunicación de la incertidumbre. La </w:t>
      </w:r>
      <w:r>
        <w:rPr>
          <w:b/>
          <w:bCs/>
        </w:rPr>
        <w:t xml:space="preserve">Parte IV</w:t>
      </w:r>
      <w:r>
        <w:t xml:space="preserve"> propone una epistemología operativa: inteligencia artificial, responsabilidad —incluido el miedo que también escribe—, el método HII-D, un cuaderno de diez casos y la enseñanza de la metacognición clínica.</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ver cómo las capas del conocimiento se mezclan, se separan y deciden cosas reales sobre una persona real.</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mediana que le cruza el abdomen desde una cirugía de hace una década. Sobre la cicatriz, una hernia incisional que ella conoce mejor que nadie: sabe qué comidas la inflaman, sabe dormir de lado cuando "se le aprieta", sabe distinguir la molestia habitual del dolor que la trae al hospital. Ha ingresado tres veces en el último año por episodios de suboclusión intestinal que se resolvieron con reposo digestivo y sonda. Esta madrugada llegó por cuarta vez, y algo es distinto: está hipotensa, taquicárdica, con las rodillas moteadas y un lactato de 6. En la nota de ingreso, alguien escribió: "Paciente con hernia complicada conocida, cuadro habitual, se maneja de forma habitual".</w:t>
      </w:r>
    </w:p>
    <w:p>
      <w:pPr>
        <w:pStyle w:val="BodyJ"/>
      </w:pPr>
      <w:r>
        <w:t xml:space="preserve">Casi todo en esa frase es razonable. Y casi todo está por verse. ¿Qué significa "conocida"? ¿Qué significa "habitual" en una paciente que nunca había llegado en shock? ¿"Complicada" describe lo que la tomografía mostró alguna vez o lo que el equipo teme ahora? La frase no es falsa: es prematura. Comprime cuatro operaciones distintas —observar, inferir, reconocer lo incierto y decidir— en un gesto único que ya no deja ver sus partes. Este libro trata de esas cuatro operaciones, de cómo se mezclan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 Las cuatro capas del conocimiento clínico y el movimiento transversal de reevaluación. Cada capa se apoya en la anterior, pero ninguna se deduce automáticamente de ella.</w:t>
            </w:r>
          </w:p>
        </w:tc>
      </w:tr>
    </w:tbl>
    <w:p>
      <w:pPr>
        <w:spacing w:after="60"/>
      </w:pPr>
    </w:p>
    <w:p>
      <w:pPr>
        <w:pStyle w:val="BodyJ"/>
      </w:pPr>
      <w:r>
        <w:t xml:space="preserve">Estas capas se mezclan con facilidad. Una nota puede escribir "neumonía aspirativa" donde sólo existen infiltrados pulmonares y un episodio de vómito; puede declarar "infección urinaria" ante bacteriuria en un paciente sondado sin evidencia clínica de infección;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y el residente presenta a Carmen en el pase de visita: "Paciente séptica de foco abdominal, hernia complicada". El jefe de servicio mira la hoja de enfermería y hace una sola pregunta: "¿Qué de todo eso lo vio alguien y qué lo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la hiperlactatemia que persiste no siempre es hipoperfusión que persiste —puede ser estrés adrenérgico, menor aclaramiento u otra cosa—, y perseguir el número puede inducir más reanimación de la que el paciente tolera (Hernández, Bellomo &amp; Bakker, 2019).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Tres datos con forma de frase. La nota que los reduce a "dolor abdominal en paciente con hernia conocida" no ha mentido; ha destruido información.</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1991).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escribir los hechos de modo trazable. Una formulación como "shock séptico abdominal" fusiona estado fisiológico, etiología y foco. Una versión más limpia separa: hipotensión con requerimiento de noradrenalina, hiperlactatemia y relleno capilar prolongado; hemocultivos con bacilos gramnegativos; episodio obstructivo por hernia incisional; sin perforación, isquemia ni estrangulación en tomografía. Recién después puede formularse el foco abdominal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poseen la misma solidez. Puede distinguirse un gradiente: dato directamente medido y verificable; observación profesional reproducible; relato consistente del paciente o tercero; dato heredado de una nota anterior; y ausencia inferida porque algo no fue registrado. Esta jerarquía no pretende desacreditar el relato.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771775"/>
                          </a:xfrm>
                          <a:prstGeom prst="rect">
                            <a:avLst/>
                          </a:prstGeom>
                        </pic:spPr>
                      </pic:pic>
                    </a:graphicData>
                  </a:graphic>
                </wp:inline>
              </w:drawing>
            </w:r>
          </w:p>
          <w:p>
            <w:pPr>
              <w:pStyle w:val="Caption"/>
            </w:pPr>
            <w:r>
              <w:t xml:space="preserve">Figura 2. Gradiente de facticidad: la solidez de un "hecho" clínico depende de su procedencia. Ninguna categoría es despreciable, pero cada una exige un lenguaje distinto.</w:t>
            </w:r>
          </w:p>
        </w:tc>
      </w:tr>
    </w:tbl>
    <w:p>
      <w:pPr>
        <w:spacing w:after="6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 El lenguaje debe impedir que ausencia de evidencia se transforme automáticamente en evidencia de ausencia.</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(7:15,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Medido, con hora y método: el hecho más sólido de la lista. (2) Observación profesional: sólida, pero reproducible sólo si consigna quién y cuándo examinó; en un abdomen que evoluciona, el examen de las 3:00 no cubre las 9:00. (3) Casi siempre heredado: pocas fichas registran quién documentó la alergia, cuándo y con qué reacción; merece la reescritura "alergia a penicilina referida por la paciente (rash, según recuerda; sin registro del episodio)". (4) Ausencia inferida o relato, según cómo se obtuvo: "niega sangrados previos" (relato) no equivale a "sin sangrados documentados en ficha" (revisión de registro). (5) Relato del paciente con material fenomenológico intacto: frágil como medición, valiosísimo como señal de cambio; consérvelo textual.</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la carpeta de Carmen, la tomografía informa: "hernia incisional con asas dilatadas, sin signos de isquemia ni perforación". El residente escribe: "TAC descarta complicación". Son siete palabras que transforman un informe radiológico en una sentencia. Este capítulo trata del salto —inevitable, necesario, riesgoso— entre lo que vemos y lo que concluimos.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no debe confundirse con amputación. "Mujer de 60 años con dolor abdominal" tiene poco poder discriminativo. "Mujer de 60 años con hernia incisional y episodios recurrentes de suboclusión, que presenta obstrucción aguda asociada a shock, bacteriemia por gramnegativos y recuperación con soporte hemodinámico y antibióticos, sin signos tomográficos de isquemia o perforación" conserva temporalidad, recurrencia, gravedad, evidencia microbiológica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Conviene devolverla al centro. Peirce, al bautizar la abducción en sus lecciones de 1903, la describió como la única operación lógica que introduce ideas nuevas: la deducción prueba lo que ya estaba contenido en las premisas y la inducción generaliza lo ya observado, pero la hipótesis que organiza un caso no se extrae de los datos —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es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trabajamos sin verla (Bohm, 1996; Bohm &amp; Peat, 1987). Es exactamente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mostró,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razonable: tromboembolismo pulmonar (el EPOC es factor de riesgo, y las sibilancias escasas no explican la hipoxemia), neumotórax sobre bulas, insuficiencia cardiaca izquierda, neumonía en evolución, anemia, arritmia, derrame pleural, crisis de pánico superpuesta. La reformulación clave suele ser: "disnea desproporcionada a la obstrucción auscultada" — un problema distinto de "EPOC descompensado que no responde", porque abre el espacio donde viven el TEP y el neumotórax en vez de invitar a subir la dosis de lo mismo. Nótese el orden deliberado: primero volumen sin censura —la censura temprana es el mecanismo íntimo del cierre prematuro—, después poda severa. Tres minutos de generación cuestan menos que un día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versión defendible: "TAC sin signos de isquemia, perforación ni estrangulación </w:t>
      </w:r>
      <w:r>
        <w:rPr>
          <w:b/>
          <w:bCs/>
        </w:rPr>
        <w:t xml:space="preserve">en este momento</w:t>
      </w:r>
      <w:r>
        <w:t xml:space="preserve">; no excluye isquemia incipiente ni predice recurrencia. Con clínica y laboratorio actuales, baja probabilidad de complicación anatómica que exija cirugía de emergencia." La diferencia no es cosmética: "descarta complicación" cierra la vigilancia; la reescritura define qué se vigila (deterioro clínico, nuevo dolor desproporcionado, lactato en ascenso) y qué autoriza (no operar de urgencia ahora, no "no operar nunca").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Carmen está estable, afebril, con la sonda en declive. La familia pregunta: "¿Ya saben qué tuvo?". El equipo sabe muchas cosas: que hubo obstrucción, que hubo shock, que los hemocultivos crecieron gramnegativos, que la imagen no mostró isquemia. Y no sabe otras: por qué esta vez fue tan grave, si la bacteriemia vino del abdomen, cuándo volverá a obstruirse. "¿Ya saben qué tuvo?" tiene, en rigor, varias respuestas simultáneas. Este capítulo trata de cómo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3.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Decir "todo es incierto" no aporta. La incertidumbre útil es específica. Puede formularse así: el diagnóstico principal es probable, pero el mecanismo exacto no está demostrado; la infección parece poco probable, aunque no puede excluirse por ausencia de síntomas típicos; la imagen no muestra isquemia en este momento, pero no elimina el riesgo de recurrencia; la respuesta terapéutica apoya una hipótesis, sin ser específica de ella.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BodyJ"/>
      </w:pPr>
      <w:r>
        <w:t xml:space="preserve">Una medicina lúcida no promete eliminar toda incertidumbre. Promete distinguir sus fuentes, comunicar su alcance, proteger al paciente de sus consecuencias y revisar la conducta cuando el mundo entregue nueva información.</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(revisar imagen, laboratorio, cronología) pero con residuo probablemente irreductible: puede quedar "no demostrado" sin bloquear ninguna decisión. (b) Reducible sólo en parte (cultivos, foco alternativo); importa porque cambia la duración antibiótica, no la conducta quirúrgica: incertidumbre tolerable con decisión robusta. (c) Irreductible por examen: sólo la evolución la aclarará; es la duda </w:t>
      </w:r>
      <w:r>
        <w:rPr>
          <w:b/>
          <w:bCs/>
        </w:rPr>
        <w:t xml:space="preserve">peligrosa</w:t>
      </w:r>
      <w:r>
        <w:t xml:space="preserve">, porque el error (esperar y que el próximo episodio sea peor) tiene el costo más alto. Domina la decisión. (d) Mixta: la evaluación preoperatoria la reduce; el resto es preferencia de Carmen —cuánto riesgo quirúrgico acepta hoy para evitar un riesgo obstructivo mañana—, es decir, valores. La clasificación no resuelve el caso: ordena qué se estudia, qué se vigila, qué se conversa y qué se tolera.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el pase de sala, dos residentes presentan a la misma Carmen. Uno dice: "Paciente con hernia y sepsis, actualmente mejor". La otra dice: "Episodio obstructivo recurrente por hernia incisional, esta vez asociado a bacteriemia por gramnegativos, shock e hipoperfusión grave, con resolución bajo soporte y antibióticos y sin signos tomográficos de isquemia o perforación; la mayor gravedad redefine el riesgo de una nueva estrategia expectante". Los dos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1973;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enlaza comprensión con acción. No prescribe necesariamente una conducta única, pero explica por qué cambia el umbral. "Tercer episodio de suboclusión" informa recurrencia; "primer episodio complicado por shock y bacteriemia" informa un cambio cualitativo; "sin evidencia de isquemia actual" limita la urgencia anatómica; "riesgo de nueva recurrencia potencialmente grave" informa la oportunidad de resolución electiva.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estructura gramatical puede mostrar o esconder causalidad. "Shock séptico por hernia" comprime una cadena compleja en una preposición. "Shock con bacteriemia por gramnegativos, temporalmente asociado a obstrucción por hernia; foco abdominal probable, mecanismo exacto no demostrado" separa observación, asociación e inferencia causal. La segunda formulación es más larga, pero también más auditable.</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sin evidencia de TEP; probabilidad clínica pretest baja: no se justifica más estudio por ahora" —el método, su resultado y la decisión por umbral quedan separados. (2) "Infiltrado con mejoría clínica bajo antibióticos, soporte y kinesioterapia simultáneos; etiología bacteriana probable, no demostrada" —la respuesta terapéutica es un hecho; su atribución causal, una inferencia. (3) "Responde con monosílabos; refiere dolor 8/10 y no durmió; evaluación limitada por dolor no controlado" —el adjetivo moral se sustituye por observaciones y una causa verificable. (4) "Bacteriuria en usuario de sonda, sin síndrome clínico atribuible: no se trata; vigilancia según criterios explícitos" —la etiqueta "ITU" activaba antibióticos que los hechos no piden. (5) "Objetivo del manejo médico era X durante Y días; se alcanzó/no se alcanzó Z; el balance cambia por W" —"fracaso" sin objetivo, plazo ni desenlace es retórica, no evaluación.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en hernia incisional conocida (tres previos resueltos con manejo médico, según fichas de esos ingresos). Este episodio: hipotensión con requerimiento de noradrenalina por 36 horas, lactato máximo 6,0 (7:15 del ingreso, arterial), relleno capilar 5 segundos documentado por enfermería, hemocultivos 2/2 con bacilos gramnegativos (identificación pendiente), TAC de ingreso sin signos de isquemia, perforación ni estrangulación. Afebril y sin drogas vasoactivas desde hace 24 horas. Refiere, textual: "esta vez la hernia no se dejó acomodar, el dolor era otro".</w:t>
      </w:r>
    </w:p>
    <w:p>
      <w:pPr>
        <w:pStyle w:val="BodyJ"/>
      </w:pPr>
      <w:r>
        <w:rPr>
          <w:i/>
          <w:iCs/>
        </w:rPr>
        <w:t xml:space="preserve">Inferencias.</w:t>
      </w:r>
      <w:r>
        <w:t xml:space="preserve"> Obstrucción intestinal por hernia incisional: demostrada. Foco abdominal de la bacteriemia: probable (secuencia temporal y microbiología compatible; sin foco alternativo evidente); mecanismo exacto —¿translocación?, ¿isquemia transitoria no captada?— no demostrado. Gravedad de este episodio: cualitativamente distinta de los previos (primer shock, primera bacteriemia).</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sentí con total nitidez: un cólico renal típico, dolor lumbar irradiado, un paciente joven que se retorcía. Estaba tan seguro que casi no examiné el abdomen. El aneurisma lo encontró el ecografista de la mañana. Desde entonces distingo dos preguntas que esa noche confundí: "¿qué tan seguro me siento?" y "¿qué tan probable es que esté en lo cierto?". Este capítulo trata de la diferencia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4.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5.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cólico renal de aquella noche tenía todas las claves de la fluidez: el patrón era típico, yo lo había visto muchas veces, el relato era coherente. Ninguna de esas claves medía lo único que importaba: la probabilidad de que otra enfermedad estuviera imitando el patrón. La pregunta productiva no es "¿debo confiar en mi intuición?", sino "¿qué condiciones hacen confiable esta intuición?". La validez aumenta cuando el ambiente posee regularidades estables, existe experiencia extensa y hubo retroalimentación oportuna. Disminuye en dominios raros, cambiantes, con feedback demorado o señales engañosas.</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El control puede consistir en releer datos, reformular el problema, buscar una alternativa, pedir una segunda opinión, posponer una decisión reversible, intensificar vigilancia o actuar pese a la duda cuando el costo de esperar es alto. La estrategia debe corresponder a la fuente de incertidumbre.</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en decir "esta hernia hay que operarla electivamente, pero no hoy". Un interno que la acompañaba anotó la conclusión; lo que no pudo anotar fue el proceso, porque la cirujana misma no habría podido enumerarlo completo: algo en la consistencia del abdomen, en la curva del lactato, en haber operado doscientas hernias parecidas. Este capítulo trata de ese conocimiento que funciona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(Aristotle, 2009).</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La enseñanza de la pericia no puede consistir sólo en transmitir conclusiones. Debe hacer visible qué características fueron decisivas, qué alternativas fueron descartadas, qué incertidumbres permanecieron y qué señal habría obligado a cambiar. Cuando el interno le preguntó a la cirujana cómo lo supo tan rápido, ella hizo el ejercicio: la gravedad fisiológica sin correlato anatómico en la imagen, la recurrencia acelerándose, el abdomen que "avisa pero todavía no exige". El razonamiento del experto necesita ser desempaquetado para que el aprendiz no copie únicamente su seguridad.</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mayor, traída por su hija, con decaimiento y orina turbia. La nota de urgencias decía "ITU a repetición"; el urocultivo del ingreso salió positivo. Indiqué el antibiótico, anoté "ITU, evolución favorable esperable" y pasé al siguiente ingreso. Al tercer día, la paciente seguía decaída; al cuarto hizo fiebre y el abdomen se defendió: colecistitis aguda, ya complicada. Durante años conté esta historia como "me anclé". Hoy creo que esa etiqueta, aunque correcta, era otra forma de cierre prematuro: nombrar el sesgo me eximía de reconstruir cómo se produjo el error —una nota heredada con autoridad de hecho, un cultivo que confirmaba lo que yo ya creía, una sala llena, un abdomen que examiné mal porque no esperaba encontrar nada.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la colecistitis, reconstruido como trayectoria, tiene por lo menos cinco estaciones: una frase heredada ("ITU a repetición") que llegó con estatus de antecedente; un dato confirmatorio (urocultivo) que en una paciente mayor con sondajes previos confirmaba mucho menos de lo que yo le atribuí; un examen abdominal hecho para no encontrar; dos días de evolución "atípica" que reinterpreté para que encajara ("las viejitas responden lento"); y la ausencia de cualquier disparador externo —una pausa, una pregunta de otro, un criterio de reevaluación escrito— que me obligara a mirar de nuevo. El "anclaje" está ahí, pero el error es la trayectoria completa. La responsabilidad cognitiva individual no desaparece; se vuelve contextual.</w:t>
      </w: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mayor con sondajes previos, la bacteriuria tiene alta prevalencia basal; confirma poco cuando la probabilidad pretest de otra causa es sustancial. (3) El día 3: "sigue decaída" se convirtió en "responde lento", una reinterpretación que inmunizaba la hipótesis. (4) Dos barreras baratas: un criterio de reevaluación escrito al indicar el antibiótico ("si no mejora en 48 h, reexaminar abdomen y ampliar estudio") y una pausa de pase de visita con la pregunta "¿qué no explica la ITU?" —el decaimiento desproporcionado no lo explicaba. El ejercicio termina cuando puede formular la barrera, no cuando encuentra al culpable.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el pase de las 8:00, el caso de la sala 12 se presenta en cuarenta segundos: "pielonefritis en tratamiento, afebril, buena respuesta". La jefa de sala mira dos segundos la hoja y dice: "Preséntenmelo de nuevo, pero sin usar la palabra pielonefritis". El residente empieza: "Paciente sondado, afebril, hemodinámicamente estable, con orina turbia, piuria y urocultivo positivo, sin síntomas urinarios evaluables por lesión medular, con marcadores inflamatorios elevados y una neoplasia activa como explicación alternativa...". A la tercera frase, ya nadie en la sala está seguro del diagnóstico. Ese es exactamente el punto.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y decisión irreversible con evidencia débil.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rondas, altas y transferencias.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el paciente de su lista actual cuyo diagnóstico lleva más días sin discutirse. Preséntelo por escrito en cinco líneas sin usar el diagnóstico de trabajo ni sus sinónimos. Luego responda: ¿qué dato reapareció que la etiqueta tenía subordinado?, ¿qué hipótesis alternativa se volvió formulable?, ¿la conducta actual sigue siendo la mejor para la nueva descripción?</w:t>
      </w:r>
    </w:p>
    <w:p>
      <w:pPr>
        <w:pStyle w:val="BodyJ"/>
      </w:pPr>
      <w:r>
        <w:rPr>
          <w:i/>
          <w:iCs/>
        </w:rPr>
        <w:t xml:space="preserve">Solución comentada.</w:t>
      </w:r>
      <w:r>
        <w:t xml:space="preserve"> El ejercicio funciona por sustracción: la etiqueta organiza la percepción, y quitarla obliga a re-observar. En el caso de la sala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hernias la autorizaban a decir "electiva,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confianza. En la reunión de la tarde, la internista hizo una pregunta que rara vez se hace en voz alta: "¿Qué tan seguros estamos de que la bacteriemia es de foco abdominal? ¿Ochenta por ciento? ¿Noventa y cinco?". El número exacto importaba menos que el efecto: al ponerle cifra, el equipo descubrió que su seguridad venía sobre todo de la coherencia narrativa —la historia se contaba bien— y no de haber excluido el foco urinario ni revisado el catéter. Diez minutos de trabajo redujeron una incertidumbre que la retórica había tapado.</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(capítulo 9), la decisión por umbrales donde los valores entran al cálculo y los ensayos se leen con su marco a la vista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El ensayo clínico dice: "la reparación electiva de hernia incisional reduce la recurrencia obstructiva en pacientes comparables". La paciente de la cama 7 tiene 61 años, una recuperación reciente de un shock séptico, un EPOC moderado y una pregunta simple: "¿Y si no me opero?". Entre el ensayo y la respuesta hay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La singularidad no autoriza la arbitrariedad</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w:t>
      </w:r>
    </w:p>
    <w:p>
      <w:pPr>
        <w:pStyle w:val="BodyJ"/>
      </w:pPr>
      <w:r>
        <w:t xml:space="preserve">Una formulación responsable podría distinguir: evidencia de eficacia; evidencia de seguridad; semejanza del paciente con la población; factores que aumentan o disminuyen el efecto esperado; preferencias; y condiciones locales de implementación. Esta separación evita dos excesos simétricos: el positivismo ingenuo que cree que el estudio decide por sí solo y el particularismo romántico que presenta la intuición del médico como conocimiento inaccesible a examen.</w:t>
      </w:r>
    </w:p>
    <w:p>
      <w:pPr>
        <w:pStyle w:val="BodyJ"/>
      </w:pPr>
      <w:r>
        <w:t xml:space="preserve">La medicina clínica utiliza además evidencia que no siempre ocupa la parte superior de una pirámide: evolución temporal, respuesta previa, patrones fisiopatológicos, datos locales, factibilidad y experiencia técnica. Su menor jerarquía para estimar causalidad poblacional no la vuelve irrelevante para una decisión individual. La pregunta correcta es qué función epistémica cumple cada fuente y qué error puede corregir o introducir.</w:t>
      </w:r>
    </w:p>
    <w:p>
      <w:pPr>
        <w:pStyle w:val="Heading3"/>
        <w:spacing w:after="120" w:before="280"/>
      </w:pPr>
      <w:r>
        <w:rPr>
          <w:rFonts w:ascii="Georgia" w:cs="Georgia" w:eastAsia="Georgia" w:hAnsi="Georgia"/>
          <w:b/>
          <w:bCs/>
          <w:color w:val="2B2B2B"/>
          <w:sz w:val="25"/>
          <w:szCs w:val="25"/>
        </w:rPr>
        <w:t xml:space="preserve">Evidencia local y aprendizaje del caso</w:t>
      </w:r>
    </w:p>
    <w:p>
      <w:pPr>
        <w:pStyle w:val="BodyJ"/>
      </w:pPr>
      <w:r>
        <w:t xml:space="preserve">La evidencia externa convive con conocimiento local: epidemiología, disponibilidad diagnóstica, tiempos de traslado, perfiles de resistencia, experiencia técnica y capacidad de seguimiento. Estos datos pueden modificar la decisión sin contradecir un estudio. Su legitimidad depende de que sean explícitos y actualizables, no simples tradiciones institucionales.</w:t>
      </w:r>
    </w:p>
    <w:p>
      <w:pPr>
        <w:pStyle w:val="BodyJ"/>
      </w:pPr>
      <w:r>
        <w:t xml:space="preserve">El paciente también genera evidencia longitudinal sobre sí mismo. Respuestas previas, recurrencias, efectos adversos y preferencias estables constituyen información relevante, aunque no equivalgan a un ensayo N-of-1 formal. El desafío es evitar atribuciones causales fáciles: la mejoría posterior a una intervención no demuestra que haya sido causada por ella, especialmente cuando coexisten historia natural y tratamientos simultáneos.</w:t>
      </w:r>
    </w:p>
    <w:p>
      <w:pPr>
        <w:pStyle w:val="BodyJ"/>
      </w:pPr>
      <w:r>
        <w:t xml:space="preserve">Una deliberación bien formulada puede declarar: qué proviene de estudios; qué se extrapola; qué aporta la historia individual; qué depende del contexto local; y qué permanece desconocido. Esa estratificación protege tanto contra la obediencia automática a la evidencia como contra su rechazo anecdótico. La competencia metacognitiva consiste en reconocer cuándo se está citando un resultado, cuándo se está extrapolando, cuándo se está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Un resultado de investigación es un hecho sobre una población; su aplicabilidad a esta persona es una inferencia que debe hacerse explícita — traducir no es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¿Qué rasgo concreto de este caso modifica la inferencia poblacional — y puedo nombrarlo, o sólo lo intuyo?</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lectura de la evidencia</w:t>
      </w:r>
    </w:p>
    <w:p>
      <w:pPr>
        <w:pStyle w:val="BodyJ"/>
      </w:pPr>
      <w:r>
        <w:t xml:space="preserve">Supongamos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y hasta la lectura de un ensayo resulta ser una decisión.</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6.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Considere la obstrucción recurrente de Carmen. La ausencia de isquemia en la imagen reduce la indicación de cirugía de emergencia, pero un episodio actual con shock y bacteriemia puede modificar el balance de una reparación electiva. La decisión no depende sólo de si hubo estrangulación demostrada; depende de la gravedad alcanzada, recurrencia, aptitud fisiológica futura y mortalidad potencial de un nuevo episodio.</w:t>
      </w: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Pocas historias recientes muestran mejor cómo se lee —y se relee— la evidencia.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es el riesgo inductivo de la sección anterior,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705100"/>
                          </a:xfrm>
                          <a:prstGeom prst="rect">
                            <a:avLst/>
                          </a:prstGeom>
                        </pic:spPr>
                      </pic:pic>
                    </a:graphicData>
                  </a:graphic>
                </wp:inline>
              </w:drawing>
            </w:r>
          </w:p>
          <w:p>
            <w:pPr>
              <w:pStyle w:val="Caption"/>
            </w:pPr>
            <w:r>
              <w:t xml:space="preserve">Figura 7.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Tiempo y reversibilidad</w:t>
      </w:r>
    </w:p>
    <w:p>
      <w:pPr>
        <w:pStyle w:val="BodyJ"/>
      </w:pPr>
      <w:r>
        <w:t xml:space="preserve">La misma probabilidad conduce a decisiones distintas según el tiempo. Cuando el daño progresa rápidamente, el valor de esperar información disminuye. Cuando la conducta es reversible, puede iniciarse con un umbral menor y reevaluarse. Cuando es irreversible, la deliberación debe ser más exigente.</w:t>
      </w:r>
    </w:p>
    <w:p>
      <w:pPr>
        <w:pStyle w:val="BodyJ"/>
      </w:pPr>
      <w:r>
        <w:t xml:space="preserve">Una forma práctica de pensar incluye cinco dimensiones: probabilidad, magnitud del daño, velocidad de evolución, reversibilidad de la intervención y capacidad de vigilancia. La observación activa no es "no hacer nada" si incluye objetivos, plazos y criterios de escalamiento. Del mismo modo, iniciar tratamiento empírico no significa declarar certeza etiológica.</w:t>
      </w:r>
    </w:p>
    <w:p>
      <w:pPr>
        <w:pStyle w:val="Heading3"/>
        <w:spacing w:after="120" w:before="280"/>
      </w:pPr>
      <w:r>
        <w:rPr>
          <w:rFonts w:ascii="Georgia" w:cs="Georgia" w:eastAsia="Georgia" w:hAnsi="Georgia"/>
          <w:b/>
          <w:bCs/>
          <w:color w:val="2B2B2B"/>
          <w:sz w:val="25"/>
          <w:szCs w:val="25"/>
        </w:rPr>
        <w:t xml:space="preserve">Decisiones correctas con desenlaces adversos</w:t>
      </w:r>
    </w:p>
    <w:p>
      <w:pPr>
        <w:pStyle w:val="BodyJ"/>
      </w:pPr>
      <w:r>
        <w:t xml:space="preserve">Evaluar una decisión sólo por su resultado produce sesgo. Un médico puede actuar racionalmente con la información disponible y enfrentar un desenlace improbable. También puede tomar una decisión débil y obtener buen resultado por evolución favorable. La calidad debe juzgarse por proceso: representación, alternativas, estimación de consecuencias, comunicación, seguimiento y revisabilidad.</w:t>
      </w:r>
    </w:p>
    <w:p>
      <w:pPr>
        <w:pStyle w:val="BodyJ"/>
      </w:pPr>
      <w:r>
        <w:t xml:space="preserve">Esto tiene implicancias éticas. Reconocer incertidumbre no disminuye responsabilidad; la hace más precisa. El médico es responsable de buscar la información razonablemente accesible, interpretar con competencia, comunicar límites y establecer una estrategia de reevaluación. No es responsable de volver determinista un mundo que no lo es.</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mayoría de los clínicos estima intuitivamente 70–90%, porque la sensibilidad y la especificidad "suenan" altas: el error clásico de ignorar la probabilidad previa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8.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EnUnaFrase"/>
      </w:pPr>
      <w:r>
        <w:rPr>
          <w:b/>
          <w:bCs/>
        </w:rPr>
        <w:t xml:space="preserve">En una frase.</w:t>
      </w:r>
      <w:r>
        <w:t xml:space="preserve"> Decidir sin certeza no es un mal menor: es la forma normal del juicio clínico cuando trabaja bien — umbrales explícitos, valores declarados y ensayos leídos con su marco inferencial a la vista.</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El último ensayo "negativo" que cité: ¿mostró ausencia de efecto o ausencia de significación — y traté esa diferencia como si no existiera?</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dice en cada pase de visita y casi nunca se pregunta: ¿mejor que cuándo?, ¿mejor en qué variable?, ¿mejor a qué velocidad? Un lactato de 3 puede ser una buena noticia (venía de 6) o una pésima (venía de 1,5). Este capítulo trata del tiempo: la dimensión donde los hechos clínicos cambian de significado sin cambiar de valor.</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Por ejemplo: "Cuarto episodio obstructivo en un año, esta vez asociado a bacteriemia e hipoperfusión grave, lo que modifica el balance previo favorable al manejo expectante." La frase no afirma que una nueva recurrencia será necesariamente fatal. Expresa que la historia observada ha cambiado la inferencia pronóstica y, con ella, el umbral de intervención.</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laboratorio tranquilizador quedará "en observación". Redacte la indicación en no más de cuatro líneas, de modo que la observación sea una intervención diagnóstica y no una postergación.</w:t>
      </w:r>
    </w:p>
    <w:p>
      <w:pPr>
        <w:pStyle w:val="BodyJ"/>
      </w:pPr>
      <w:r>
        <w:rPr>
          <w:i/>
          <w:iCs/>
        </w:rPr>
        <w:t xml:space="preserve">Solución comentada.</w:t>
      </w:r>
      <w:r>
        <w:t xml:space="preserve"> Una versión defendible: "Observación activa por dolor abdominal no filiado, con probabilidad baja pero no excluida de causa quirúrgica. Reevaluación médica dirigida a las 4 h (o antes si dolor creciente, vómitos, fiebre o taquicardia sostenida); control de laboratorio a las 6 h; si el dolor localiza, aparece defensa o el paciente no tolera vía oral, avisar de inmediato y repetir imagen. Si a las 8 h permanece asintomático y camina sin dolor, alta con instrucciones escritas de reconsulta." La estructura tiene los cuatro elementos: qué se espera aprender (evolución del dolor), en qué plazo (4–8 h), qué se vigila (variables nombradas, con responsable implícito) y qué constituye salida en ambas direcciones (escalar o alta). Compárese con "control según evolución", la fórmula que delega en la suerte lo que debía organizar 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evolución de cualquier paciente con más de una semana de hospitalización y busque el párrafo que se repite idéntico desde el ingreso. Casi siempre existe. Alguien lo escribió el primer día, alguien lo copió el segundo, y desde entonces viaja como un polizón: "paciente con antecedente de ITU a repetición", "en estudio por baja de peso", "manejo habitual". Este capítulo trata de la ficha como tecnología cognitiva: la diferencia entre un registro que piensa y uno que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1973).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Cada evolución debería responder qué cambió en hechos, interpretación, incertidumbre y plan.</w:t>
      </w: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vejiga neurogénica y sonda permanente; sonda recambiada; orina turbia, piuria y urocultivo positivo; afebril, estable, sin nuevo deterioro sistémico; marcadores inflamatorios elevados con neoplasia avanzada como explicación alternativa.</w:t>
      </w:r>
    </w:p>
    <w:p>
      <w:pPr>
        <w:pStyle w:val="BodyJ"/>
      </w:pPr>
      <w:r>
        <w:rPr>
          <w:i/>
          <w:iCs/>
        </w:rPr>
        <w:t xml:space="preserve">Inferencia:</w:t>
      </w:r>
      <w:r>
        <w:t xml:space="preserve"> bacteriuria asociada a catéter, sin evidencia clínica suficiente de infección urinaria sintomática.</w:t>
      </w:r>
    </w:p>
    <w:p>
      <w:pPr>
        <w:pStyle w:val="BodyJ"/>
      </w:pPr>
      <w:r>
        <w:rPr>
          <w:i/>
          <w:iCs/>
        </w:rPr>
        <w:t xml:space="preserve">Incertidumbre:</w:t>
      </w:r>
      <w:r>
        <w:t xml:space="preserve"> síntomas urinarios clásicos no evaluables; debe vigilarse aparición de fiebre, inestabilidad, espasticidad nueva u otro cambio autonómico o sistémico.</w:t>
      </w:r>
    </w:p>
    <w:p>
      <w:pPr>
        <w:pStyle w:val="BodyJ"/>
      </w:pPr>
      <w:r>
        <w:rPr>
          <w:i/>
          <w:iCs/>
        </w:rPr>
        <w:t xml:space="preserve">Decisión:</w:t>
      </w:r>
      <w:r>
        <w:t xml:space="preserve"> no iniciar antibiótico por ahora; monitorización y reevaluación ante criterios clínicos, considerando que el antecedente de microorganismo multirresistente eleva el costo ecológico de tratamiento innecesario.</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en paciente con colonización crónica probable, sin manifestaciones sistémicas que sostengan CAUTI; se prioriza vigilancia clínica para evitar exposición innecesaria a antibióticos de amplio espectro."</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BodyJ"/>
      </w:pPr>
      <w:r>
        <w:t xml:space="preserve">Escribir bien no es cosmética. Es una intervención sobre el razonamiento colectivo. La frase que mezcla capas puede perpetuar error; la que las distingue crea una oportunidad de corrección.</w:t>
      </w:r>
    </w:p>
    <w:p>
      <w:pPr>
        <w:pStyle w:val="TallerHead"/>
      </w:pPr>
      <w:r>
        <w:t xml:space="preserve">Taller 12. Desfosilizar una evolución</w:t>
      </w:r>
    </w:p>
    <w:p>
      <w:pPr>
        <w:pStyle w:val="BodyJ"/>
      </w:pPr>
      <w:r>
        <w:t xml:space="preserve">La siguiente evolución se ha copiado casi idéntica durante cinco días: "Paciente con neumonía en tratamiento antibiótico, hemodinamia estable, afebril, se mantiene manejo". El día 5, los datos reales son: afebril, pero con requerimiento de oxígeno que subió de 2 a 4 litros, PCR estancada y un derrame pleural nuevo en la radiografía de control. Reescriba la evolución del día 5 con estructura HII-D.</w:t>
      </w:r>
    </w:p>
    <w:p>
      <w:pPr>
        <w:pStyle w:val="BodyJ"/>
      </w:pPr>
      <w:r>
        <w:rPr>
          <w:i/>
          <w:iCs/>
        </w:rPr>
        <w:t xml:space="preserve">Solución comentada.</w:t>
      </w:r>
      <w:r>
        <w:t xml:space="preserve"> "</w:t>
      </w:r>
      <w:r>
        <w:rPr>
          <w:i/>
          <w:iCs/>
        </w:rPr>
        <w:t xml:space="preserve">Hechos:</w:t>
      </w:r>
      <w:r>
        <w:t xml:space="preserve"> día 5 de antibióticos por neumonía. Afebril desde el día 2, pero O2 en aumento (2→4 L en 48 h), PCR sin descenso (180→165) y derrame pleural nuevo en radiografía de hoy. </w:t>
      </w:r>
      <w:r>
        <w:rPr>
          <w:i/>
          <w:iCs/>
        </w:rPr>
        <w:t xml:space="preserve">Inferencia:</w:t>
      </w:r>
      <w:r>
        <w:t xml:space="preserve"> evolución discordante con neumonía en resolución; derrame paraneumónico complicado o empiema pasan a ser probables; falla del esquema o diagnóstico alternativo, posibles. </w:t>
      </w:r>
      <w:r>
        <w:rPr>
          <w:i/>
          <w:iCs/>
        </w:rPr>
        <w:t xml:space="preserve">Incertidumbre:</w:t>
      </w:r>
      <w:r>
        <w:t xml:space="preserve"> características del derrame desconocidas hasta punción; la afebrilidad no excluye complicación supurativa. </w:t>
      </w:r>
      <w:r>
        <w:rPr>
          <w:i/>
          <w:iCs/>
        </w:rPr>
        <w:t xml:space="preserve">Decisión:</w:t>
      </w:r>
      <w:r>
        <w:t xml:space="preserve"> toracocentesis diagnóstica hoy; reevaluar esquema según resultado; si no se puede puncionar en 24 h, escalar discusión con cirugía de tórax. Criterio de reapertura explícito: cualquier aumento adicional de O2 o inestabilidad adelanta la punción.* La versión copiada no era falsa —el paciente estaba afebril y estable—; era un fósil: describía al paciente del día 2 con los datos del día 5. La reescritura no agregó información nueva: dejó de omitir la que ya existía.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2:00, la enfermera de turno anota: "paciente más quejumbrosa, rechaza la cena, diuresis límite". A las 8:00, el pase de turno resume: "sin novedades". Entre esas dos frases no hay mala fe: hay una cadena de transmisión donde la información se comprimió hasta desaparecer. Este capítulo trata del conocimiento clínico como propiedad de un equipo —médicos, enfermería, paciente, familia, artefactos— y de cómo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Un dato no viaja intacto. En cada entrega de turno, llamada o resumen se selecciona, comprime y reinterpreta. "Paciente estable" puede borrar una dosis creciente de oxígeno; "cultivo positivo" puede perder el contexto de colonización; "TAC sin complicaciones" puede convertirse erróneamente en "hernia no complicada" pese a un episodio fisiológicamente grave. Los artefactos también interpretan: una interfaz prioriza ciertos campos, separa otros y convierte opciones discretas en categorías administrativas.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rondas clínicas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Heading3"/>
        <w:spacing w:after="120" w:before="280"/>
      </w:pPr>
      <w:r>
        <w:rPr>
          <w:rFonts w:ascii="Georgia" w:cs="Georgia" w:eastAsia="Georgia" w:hAnsi="Georgia"/>
          <w:b/>
          <w:bCs/>
          <w:color w:val="2B2B2B"/>
          <w:sz w:val="25"/>
          <w:szCs w:val="25"/>
        </w:rPr>
        <w:t xml:space="preserve">Decisión compartida y narrativa</w:t>
      </w:r>
    </w:p>
    <w:p>
      <w:pPr>
        <w:pStyle w:val="BodyJ"/>
      </w:pPr>
      <w:r>
        <w:t xml:space="preserve">La decisión compartida cobra especial importancia cuando existen varias opciones razonables y los valores modifican el balance. El modelo de Elwyn y colaboradores propone deliberación sobre opciones, preferencias y decisión, no una simple entrega de información (Elwyn et al., 2012). La incertidumbre debe comunicarse de forma que la persona pueda entender cómo afecta las alternativas.</w:t>
      </w:r>
    </w:p>
    <w:p>
      <w:pPr>
        <w:pStyle w:val="BodyJ"/>
      </w:pPr>
      <w:r>
        <w:t xml:space="preserve">Los números ayudan cuando son confiables y comprensibles. Las frecuencias naturales —por ejemplo, "de 100 personas similares"— suelen ser más claras que probabilidades condicionales aisladas (Gigerenzer et al., 2007). Pero no todo puede cuantificarse. En esos casos se debe explicar la dirección y magnitud aproximada de la incertidumbre, evitando palabras vagas sin contexto.</w:t>
      </w:r>
    </w:p>
    <w:p>
      <w:pPr>
        <w:pStyle w:val="BodyJ"/>
      </w:pPr>
      <w:r>
        <w:t xml:space="preserve">La medicina narrativa recuerda que una decisión no ocurre sólo dentro de una distribución estadística. Ocurre en una biografía (Greenhalgh &amp; Hurwitz, 1998; Charon, 2006). El mismo riesgo puede ser aceptable para una persona y no para otra según responsabilidades, experiencias, temor, tolerancia al deterioro y concepción de calidad de vida. Escuchar la historia también corrige inferencias. Una conducta que parece "mala adherencia" puede ser imposibilidad económica; "rechazo" puede expresar una experiencia previa; "síntoma funcional" puede ser vivido como invalidación. El lenguaje del médico puede abrir o cerrar la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pases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ronda, el intensivista dice: "Yo la operaría ahora; esto va a volver a pasar". La internista responde: "Me parece apresurado; acaba de salir de un shock". Traduzca el desacuerdo a proposiciones evaluables: ¿discrepan en hechos, inferencias, incertidumbre, valores o decisión?</w:t>
      </w:r>
    </w:p>
    <w:p>
      <w:pPr>
        <w:pStyle w:val="BodyJ"/>
      </w:pPr>
      <w:r>
        <w:rPr>
          <w:i/>
          <w:iCs/>
        </w:rPr>
        <w:t xml:space="preserve">Solución comentada.</w:t>
      </w:r>
      <w:r>
        <w:t xml:space="preserve"> Al traducir, el desacuerdo se descompone: en los </w:t>
      </w:r>
      <w:r>
        <w:rPr>
          <w:b/>
          <w:bCs/>
        </w:rPr>
        <w:t xml:space="preserve">hechos</w:t>
      </w:r>
      <w:r>
        <w:t xml:space="preserve"> no hay disputa (cuatro episodios, shock reciente, imagen sin isquemia). En la </w:t>
      </w:r>
      <w:r>
        <w:rPr>
          <w:b/>
          <w:bCs/>
        </w:rPr>
        <w:t xml:space="preserve">inferencia</w:t>
      </w:r>
      <w:r>
        <w:t xml:space="preserve"> pronóstica están de acuerdo más de lo que creen: ambos consideran probable una nueva obstrucción. La divergencia real está en dos lugares: la </w:t>
      </w:r>
      <w:r>
        <w:rPr>
          <w:b/>
          <w:bCs/>
        </w:rPr>
        <w:t xml:space="preserve">incertidumbre</w:t>
      </w:r>
      <w:r>
        <w:t xml:space="preserve"> sobre la aptitud quirúrgica actual (¿cuánto deteriora el riesgo operatorio el shock reciente? — dato reducible con evaluación objetiva, no con opinión) y el </w:t>
      </w:r>
      <w:r>
        <w:rPr>
          <w:b/>
          <w:bCs/>
        </w:rPr>
        <w:t xml:space="preserve">umbral de decisión</w:t>
      </w:r>
      <w:r>
        <w:t xml:space="preserve"> (cuánto riesgo perioperatorio aceptar para evitar cuánto riesgo obstructivo — que además involucra </w:t>
      </w:r>
      <w:r>
        <w:rPr>
          <w:b/>
          <w:bCs/>
        </w:rPr>
        <w:t xml:space="preserve">valores</w:t>
      </w:r>
      <w:r>
        <w:t xml:space="preserve"> de la paciente, ausente de la conversación). Traducido así, el plan se escribe solo: evaluación funcional formal, optimización, y una conversación con Carmen sobre los dos riesgos. El desacuerdo no se "ganó": se usó.</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El día 7, Carmen está sin sonda, comiendo, caminando por el pasillo. La evaluación preoperatoria muestra un EPOC moderado compensado y una capacidad funcional aceptable. Es el momento de la conversación que el equipo había ido preparando sin decirlo: la internista, la cirujana y Carmen, con su hija presente porque ella lo pidió.</w:t>
      </w:r>
    </w:p>
    <w:p>
      <w:pPr>
        <w:pStyle w:val="BodyJ"/>
      </w:pPr>
      <w:r>
        <w:t xml:space="preserve">La cirujana no empieza por la propuesta. Empieza por el esquema de cuatro pasos: "Le voy a contar qué sabemos, qué creemos, qué no sabemos y qué opciones hay. Lo que sabemos: usted tiene una hernia que este año se ha obstruido cuatro veces, y la última vez llegó grave, con infección en la sangre y presión muy baja. Lo que creemos: que la probabilidad de que vuelva a pasar es alta, y que un próximo episodio puede ser tan grave como este o peor; no podemos ponerle fecha. Lo que no sabemos: si la cirugía va a ser sencilla —su tejido está operado de antes— ni cómo va a responder su pulmón a la anestesia; el riesgo existe y no es despreciable. Las opciones: operarnos ahora que usted está recuperada, en forma programada, con todo preparado; o esperar, sabiendo que la próxima obstrucción puede llegar de urgencia, de noche, con usted más débil".</w:t>
      </w:r>
    </w:p>
    <w:p>
      <w:pPr>
        <w:pStyle w:val="BodyJ"/>
      </w:pPr>
      <w:r>
        <w:t xml:space="preserve">Carmen pregunta lo que casi todos preguntan: "¿Y usted qué haría?". La cirujana responde con la estructura del capítulo 15 en mente: "Yo le recomiendo operarse, y le digo por qué: prefiero un riesgo quirúrgico conocido, con usted optimizada, a un riesgo obstructivo que no controlamos ni podemos programar. Pero la que pasó el shock fue usted, y la que decide cuánto miedo le tiene a cada uno de esos riesgos también es usted".</w:t>
      </w:r>
    </w:p>
    <w:p>
      <w:pPr>
        <w:pStyle w:val="BodyJ"/>
      </w:pPr>
      <w:r>
        <w:t xml:space="preserve">La hija pregunta si la cirugía "garantiza" que no habrá más obstrucciones. "No", dice la cirujana, "baja mucho la probabilidad; no la hace cero. Si le dijera otra cosa, le estaría mintiendo."</w:t>
      </w:r>
    </w:p>
    <w:p>
      <w:pPr>
        <w:pStyle w:val="BodyJ"/>
      </w:pPr>
      <w:r>
        <w:t xml:space="preserve">Carmen acepta. En la ficha, la internista escribe la frase medular que resume tres semanas de trabajo epistémico: "Obstrucción recurrente por hernia incisional, cuarto episodio en un año y primero con shock y bacteriemia; sin complicación anatómica aguda en imagen. El cambio cualitativo de gravedad, la aceleración de las recurrencias y la preferencia informada de la paciente justifican reparación electiva tras optimización, asumiendo riesgo perioperatorio moderado como alternativa preferible a una nueva urgencia no programada. Reevaluar decisión si deterioro funcional o nuevo episodio antes de la fecha quirúrgica."</w:t>
      </w:r>
    </w:p>
    <w:p>
      <w:pPr>
        <w:pStyle w:val="BodyJ"/>
      </w:pPr>
      <w:r>
        <w:t xml:space="preserve">Ninguna palabra de esa frase es adorno. Cada una carga un capítulo de este libro.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al espejo nuevo de la inteligencia artificial (capítulo 14) y frente a la responsabilidad —y el miedo— que ninguna herramienta puede delegar (capítulo 15). Luego, el método HII-D en forma completa y en versión de sesenta segundos (capítulo 16), un cuaderno de diez casos para leer metacognitivamente —incluida la resolución de la historia de Carmen—, y el problema de enseñar y organizar todo esto (capítulo 17).</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Inteligencia artificial como espejo del razonamiento</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La pregunta que este capítulo propone no es "¿acierta la máquina?", sino una más incómoda: ¿en qué se parece esa prosa fluida y segura a la que escribimos nosotros?</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Competencia sin garantía</w:t>
      </w:r>
    </w:p>
    <w:p>
      <w:pPr>
        <w:pStyle w:val="BodyJ"/>
      </w:pPr>
      <w:r>
        <w:t xml:space="preserve">Estudios han mostrado que modelos avanzados codifican conocimiento médico y alcanzan alto rendimiento en preguntas y casos seleccionados (Singhal et al., 2023). Lee, Bubeck y Petro describieron beneficios potenciales junto con límites y riesgos de GPT-4 en medicina (Lee et al., 2023). El rendimiento promedio no garantiza confiabilidad en un caso individual, especialmente cuando faltan datos, hay ambigüedad o la tarea exige conocimiento local. Y las consecuencias no intencionadas del aprendizaje automático en medicina —desde la automatización de sesgos presentes en los datos hasta la erosión de habilidades por deferencia— han sido advertidas desde antes de los modelos generativos (Cabitza et al., 2017).</w:t>
      </w:r>
    </w:p>
    <w:p>
      <w:pPr>
        <w:pStyle w:val="BodyJ"/>
      </w:pPr>
      <w:r>
        <w:t xml:space="preserve">La fluidez aumenta el riesgo de automatización: el usuario puede aceptar una respuesta porque está bien estructurada. El problema es metacognitivo. La confianza percibida en el lenguaje no informa necesariamente la probabilidad de corrección. La IA puede parecer mejor calibrada de lo que está.</w:t>
      </w:r>
    </w:p>
    <w:p>
      <w:pPr>
        <w:pStyle w:val="Heading3"/>
        <w:spacing w:after="120" w:before="280"/>
      </w:pPr>
      <w:r>
        <w:rPr>
          <w:rFonts w:ascii="Georgia" w:cs="Georgia" w:eastAsia="Georgia" w:hAnsi="Georgia"/>
          <w:b/>
          <w:bCs/>
          <w:color w:val="2B2B2B"/>
          <w:sz w:val="25"/>
          <w:szCs w:val="25"/>
        </w:rPr>
        <w:t xml:space="preserve">Una diferencia central</w:t>
      </w:r>
    </w:p>
    <w:p>
      <w:pPr>
        <w:pStyle w:val="BodyJ"/>
      </w:pPr>
      <w:r>
        <w:t xml:space="preserve">El clínico responsable puede distinguir "lo vi", "lo infiero" y "no lo sé". Un modelo suele mezclar estas capas si el prompt no exige separación y si no tiene fuentes verificables. Puede transformar ausencia de información en un detalle probable, porque su objetivo generativo favorece continuidad.</w:t>
      </w:r>
    </w:p>
    <w:p>
      <w:pPr>
        <w:pStyle w:val="BodyJ"/>
      </w:pPr>
      <w:r>
        <w:t xml:space="preserve">La matriz HII-D permite auditar una respuesta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Metacognición artificial</w:t>
      </w:r>
    </w:p>
    <w:p>
      <w:pPr>
        <w:pStyle w:val="BodyJ"/>
      </w:pPr>
      <w:r>
        <w:t xml:space="preserve">Algunos sistemas pueden expresar confianza, criticar una respuesta o revisar pasos. Eso no demuestra autoconocimiento en el sentido humano. Una salida metacognitiva puede ser otra generación entrenada para imitar evaluación. La pregunta práctica no es si el sistema "sabe que sabe", sino si sus señales de confianza están empíricamente calibradas y si el flujo de trabajo detecta fallas.</w:t>
      </w:r>
    </w:p>
    <w:p>
      <w:pPr>
        <w:pStyle w:val="BodyJ"/>
      </w:pPr>
      <w:r>
        <w:t xml:space="preserve">Esa pregunta ya tiene datos. La evidencia disponible muestra que la confianza verbalizada de los grandes modelos —el "estoy bastante seguro" que escriben— tiende a la sobreconfianza sistemática y se calibra mal, aun cuando algunas señales internas del modelo discriminan mejor de lo que su prosa deja ver (Kadavath et al., 2022; Xiong et al., 2024). La implicación práctica es idéntica a la del capítulo 5, aplicada ahora a la máquina: preguntarle a un modelo cuán seguro está no sustituye la verificación, igual que la seguridad de un colega no sustituye sus razones. La calibración se demuestra con series de predicciones y desenlaces, no con tono.</w:t>
      </w:r>
    </w:p>
    <w:p>
      <w:pPr>
        <w:pStyle w:val="BodyJ"/>
      </w:pPr>
      <w:r>
        <w:t xml:space="preserve">La OMS ha recomendado gobernanza, evaluación, transparencia y supervisión para modelos multimodales en salud, atendiendo riesgos de inexactitud, sesgo, privacidad y dependencia excesiva (World Health Organization, 2024). La supervisión humana no debe ser una firma ritual al final. Debe contar con tiempo, datos y autoridad para cuestionar.</w:t>
      </w:r>
    </w:p>
    <w:p>
      <w:pPr>
        <w:pStyle w:val="Heading3"/>
        <w:spacing w:after="120" w:before="280"/>
      </w:pPr>
      <w:r>
        <w:rPr>
          <w:rFonts w:ascii="Georgia" w:cs="Georgia" w:eastAsia="Georgia" w:hAnsi="Georgia"/>
          <w:b/>
          <w:bCs/>
          <w:color w:val="2B2B2B"/>
          <w:sz w:val="25"/>
          <w:szCs w:val="25"/>
        </w:rPr>
        <w:t xml:space="preserve">La IA como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1"/>
        </w:numPr>
      </w:pPr>
      <w:r>
        <w:t xml:space="preserve">Si uso IA en este caso, ¿qué dato de su respuesta verifiqué contra una fuente primaria antes de actuar?</w:t>
      </w:r>
    </w:p>
    <w:p>
      <w:pPr>
        <w:pStyle w:val="BodyJ"/>
        <w:numPr>
          <w:ilvl w:val="0"/>
          <w:numId w:val="21"/>
        </w:numPr>
      </w:pPr>
      <w:r>
        <w:t xml:space="preserve">¿Qué agregó el modelo que el caso no contenía?</w:t>
      </w:r>
    </w:p>
    <w:p>
      <w:pPr>
        <w:pStyle w:val="BodyJ"/>
        <w:numPr>
          <w:ilvl w:val="0"/>
          <w:numId w:val="21"/>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Humildad epistémica y responsabilidad clínica</w:t>
      </w:r>
    </w:p>
    <w:p>
      <w:pPr>
        <w:pStyle w:val="BodyJ"/>
      </w:pPr>
      <w:r>
        <w:t xml:space="preserve">Hay una frase que me costó años aprender a decir delante de una familia: "no lo sé". La primera vez que la dije completa —"no sé todavía por qué empeoró; sé qué descartamos, sé qué vamos a vigilar esta noche y sé cuándo tendremos más información"— esperaba encontrar decepción. Encontré alivio. La familia no necesitaba mi certeza; necesitaba saber que la incertidumbre estaba siendo trabajada. Este capítulo trata de esa diferencia: entre parecer seguro y ser responsable.</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conviene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tenemos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es un médico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es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del capítulo 7 es, visto así, un fracaso de humildad antes que un fallo de memoria: la información nueva estaba disponible; lo que faltó fue la disposición a dejarla mandar.</w:t>
      </w:r>
    </w:p>
    <w:p>
      <w:pPr>
        <w:pStyle w:val="BodyJ"/>
      </w:pPr>
      <w:r>
        <w:t xml:space="preserve">Por eso este libro necesita la humildad no como ornamento ético sino como pieza estructural. La reevaluación del método HII-D (capítulo 16)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Escuchar de manera epistémica implica preguntar qué sabe esta persona que el equipo no puede observar, qué interpretación atribuye a sus síntomas y qué experiencias anteriores modifican su decisión. También exige distinguir desacuerdo de incapacidad. Un paciente puede comprender la evidencia y valorar de manera diferente los desenlaces. Cuando Carmen dijo "esta vez el dolor era otro", estaba entregando el dato pronóstico más importante del ingreso; la nota que lo hubiera omitido habría cometido, además de una injusticia, un error técnico.</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mientras que la nota que muestra qué se sabía, qué se dudaba y cuándo se planeó reevaluar demuestra exactamente lo que el derecho sanitario pondera —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hacer el análisis de trayectoria del capítulo 7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2"/>
        </w:numPr>
      </w:pPr>
      <w:r>
        <w:t xml:space="preserve">¿A qué paciente le estoy creyendo menos de lo que su testimonio merece, y por qué?</w:t>
      </w:r>
    </w:p>
    <w:p>
      <w:pPr>
        <w:pStyle w:val="BodyJ"/>
        <w:numPr>
          <w:ilvl w:val="0"/>
          <w:numId w:val="22"/>
        </w:numPr>
      </w:pPr>
      <w:r>
        <w:t xml:space="preserve">Mi última recomendación firme: ¿podría explicar qué hechos la sostienen, qué incertidumbres la modificarían y qué valores del paciente pesan?</w:t>
      </w:r>
    </w:p>
    <w:p>
      <w:pPr>
        <w:pStyle w:val="BodyJ"/>
        <w:numPr>
          <w:ilvl w:val="0"/>
          <w:numId w:val="22"/>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8.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Debe poder formularse: "aunque X no está demostrado, actúo porque…" o "aunque X es posible, no actúo todavía porque…". Esta frase obliga a distinguir compromiso práctico de certeza epistémica.</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3"/>
        </w:numPr>
      </w:pPr>
      <w:r>
        <w:rPr>
          <w:b/>
          <w:bCs/>
        </w:rPr>
        <w:t xml:space="preserve">¿Qué vi y qué me contaron?</w:t>
      </w:r>
      <w:r>
        <w:t xml:space="preserve"> (un hecho decisivo, con su fuente)</w:t>
      </w:r>
    </w:p>
    <w:p>
      <w:pPr>
        <w:pStyle w:val="BodyJ"/>
        <w:numPr>
          <w:ilvl w:val="0"/>
          <w:numId w:val="23"/>
        </w:numPr>
      </w:pPr>
      <w:r>
        <w:rPr>
          <w:b/>
          <w:bCs/>
        </w:rPr>
        <w:t xml:space="preserve">¿Qué creo y cuánto derecho tengo a creerlo?</w:t>
      </w:r>
      <w:r>
        <w:t xml:space="preserve"> (la inferencia principal, con su grado)</w:t>
      </w:r>
    </w:p>
    <w:p>
      <w:pPr>
        <w:pStyle w:val="BodyJ"/>
        <w:numPr>
          <w:ilvl w:val="0"/>
          <w:numId w:val="23"/>
        </w:numPr>
      </w:pPr>
      <w:r>
        <w:rPr>
          <w:b/>
          <w:bCs/>
        </w:rPr>
        <w:t xml:space="preserve">¿Qué me mataría al paciente si estoy equivocado?</w:t>
      </w:r>
      <w:r>
        <w:t xml:space="preserve"> (la incertidumbre peligrosa, no todas)</w:t>
      </w:r>
    </w:p>
    <w:p>
      <w:pPr>
        <w:pStyle w:val="BodyJ"/>
        <w:numPr>
          <w:ilvl w:val="0"/>
          <w:numId w:val="23"/>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ronda,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16. Su paciente, esta semana</w:t>
      </w:r>
    </w:p>
    <w:p>
      <w:pPr>
        <w:pStyle w:val="BodyJ"/>
      </w:pPr>
      <w:r>
        <w:t xml:space="preserve">Elija el caso más incómodo de su lista actual —el que genera discusión en cada ronda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4"/>
        </w:numPr>
      </w:pPr>
      <w:r>
        <w:t xml:space="preserve">¿Cuál es la pregunta operativa de mi caso más difícil —la decisión real en juego, no "el diagnóstico"?</w:t>
      </w:r>
    </w:p>
    <w:p>
      <w:pPr>
        <w:pStyle w:val="BodyJ"/>
        <w:numPr>
          <w:ilvl w:val="0"/>
          <w:numId w:val="24"/>
        </w:numPr>
      </w:pPr>
      <w:r>
        <w:t xml:space="preserve">¿Mi nota de hoy permite a otro médico reconstruir mis cuatro capas, o sólo mi conclusión?</w:t>
      </w:r>
    </w:p>
    <w:p>
      <w:pPr>
        <w:pStyle w:val="BodyJ"/>
        <w:numPr>
          <w:ilvl w:val="0"/>
          <w:numId w:val="24"/>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Diez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completa atraviesa este libro; aquí queda su forma condensada, la que cabría en una discusión de caso.</w:t>
      </w:r>
    </w:p>
    <w:p>
      <w:pPr>
        <w:pStyle w:val="BodyJ"/>
      </w:pPr>
      <w:r>
        <w:t xml:space="preserve">Mujer de 61 años con hernia incisional y tres ingresos por suboclusión resueltos sin cirugía. Cuarto episodio con íleo, shock, hiperlactatemia, perfusión periférica alterada y hemocultivos con bacilos gramnegativos. Mejora con reposo digestivo, antibióticos y noradrenalina. La tomografía no muestra perforación, isquemia ni estrangulación.</w:t>
      </w:r>
    </w:p>
    <w:p>
      <w:pPr>
        <w:pStyle w:val="BodyJ"/>
      </w:pPr>
      <w:r>
        <w:rPr>
          <w:i/>
          <w:iCs/>
        </w:rPr>
        <w:t xml:space="preserve">Hechos:</w:t>
      </w:r>
      <w:r>
        <w:t xml:space="preserve"> recurrencia documentada y acelerada; episodio actual fisiológicamente grave; bacteriemia; respuesta favorable; ausencia de complicación anatómica visible en la imagen.</w:t>
      </w:r>
    </w:p>
    <w:p>
      <w:pPr>
        <w:pStyle w:val="BodyJ"/>
      </w:pPr>
      <w:r>
        <w:rPr>
          <w:i/>
          <w:iCs/>
        </w:rPr>
        <w:t xml:space="preserve">Inferencia:</w:t>
      </w:r>
      <w:r>
        <w:t xml:space="preserve"> foco abdominal y relación con el evento obstructivo son probables, pero el mecanismo exacto no está demostrado. La ausencia de estrangulación reduce la indicación de emergencia, no el riesgo futuro.</w:t>
      </w:r>
    </w:p>
    <w:p>
      <w:pPr>
        <w:pStyle w:val="BodyJ"/>
      </w:pPr>
      <w:r>
        <w:rPr>
          <w:i/>
          <w:iCs/>
        </w:rPr>
        <w:t xml:space="preserve">Incertidumbre:</w:t>
      </w:r>
      <w:r>
        <w:t xml:space="preserve"> probabilidad y momento de recurrencia; causalidad microbiológica exacta; aptitud y riesgo operatorio una vez recuperada.</w:t>
      </w:r>
    </w:p>
    <w:p>
      <w:pPr>
        <w:pStyle w:val="BodyJ"/>
      </w:pPr>
      <w:r>
        <w:rPr>
          <w:i/>
          <w:iCs/>
        </w:rPr>
        <w:t xml:space="preserve">Decisión:</w:t>
      </w:r>
      <w:r>
        <w:t xml:space="preserve"> valoración quirúrgica temprana para reparación electiva una vez optimizada, con decisión compartida documentada. El argumento no es "fracasó todo manejo médico", sino que la gravedad actual cambia el costo esperado de una nueva estrategia expectante.</w:t>
      </w:r>
    </w:p>
    <w:p>
      <w:pPr>
        <w:pStyle w:val="BodyJ"/>
      </w:pPr>
      <w:r>
        <w:rPr>
          <w:i/>
          <w:iCs/>
        </w:rPr>
        <w:t xml:space="preserve">Frase medular:</w:t>
      </w:r>
      <w:r>
        <w:t xml:space="preserve"> "Obstrucción recurrente por hernia incisional, por primera vez asociada a shock y bacteriemia, sin complicación anatómica aguda en tomografía; el cambio cualitativo de gravedad justifica priorizar resolución electiva tras recuperación fisiológica."</w:t>
      </w:r>
    </w:p>
    <w:p>
      <w:pPr>
        <w:pStyle w:val="BodyJ"/>
      </w:pPr>
      <w:r>
        <w:rPr>
          <w:i/>
          <w:iCs/>
        </w:rPr>
        <w:t xml:space="preserve">Epílogo.</w:t>
      </w:r>
      <w:r>
        <w:t xml:space="preserve"> Carmen fue operada seis semanas después, en forma programada. La cirugía encontró adherencias firmes y un anillo herniario estrecho; no hubo complicaciones mayores. Nada de eso demuestra que la decisión fue correcta —un desenlace no valida un proceso—, pero el proceso era defendible antes de conocer el desenlace, que es lo único que puede pedírsele a una decisión clínica. La frase de su ingreso, "cuadro habitual, manejo habitual", quedó en la ficha como lo que era: la hipótesis rápida que el trabajo de tres semanas convirtió en otra cosa.</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Un paciente con lesión medular completa, vejiga neurogénica, sonda Foley y neoplasia avanzada presenta orina turbia, piuria y urocultivo positivo después de recambio de sonda. Está afebril, estable y sin otro cambio clínico. Los marcadores inflamatorios están elevados, sin valor basal y con explicación tumoral posible. Tiene antecedente de enterobacteria productora de BLEE.</w:t>
      </w:r>
    </w:p>
    <w:p>
      <w:pPr>
        <w:pStyle w:val="BodyJ"/>
      </w:pPr>
      <w:r>
        <w:rPr>
          <w:i/>
          <w:iCs/>
        </w:rPr>
        <w:t xml:space="preserve">Hechos:</w:t>
      </w:r>
      <w:r>
        <w:t xml:space="preserve"> colonización de alto riesgo basal; cultivo positivo; piuria; ausencia de fiebre o inestabilidad; síntomas urinarios clásicos no evaluables; costo alto de antibiótico amplio.</w:t>
      </w:r>
    </w:p>
    <w:p>
      <w:pPr>
        <w:pStyle w:val="BodyJ"/>
      </w:pPr>
      <w:r>
        <w:rPr>
          <w:i/>
          <w:iCs/>
        </w:rPr>
        <w:t xml:space="preserve">Inferencia:</w:t>
      </w:r>
      <w:r>
        <w:t xml:space="preserve"> bacteriuria asociada a catéter es más probable que infección sintomática con la información actual. Piuria y turbidez no distinguen por sí solas colonización de infección.</w:t>
      </w:r>
    </w:p>
    <w:p>
      <w:pPr>
        <w:pStyle w:val="BodyJ"/>
      </w:pPr>
      <w:r>
        <w:rPr>
          <w:i/>
          <w:iCs/>
        </w:rPr>
        <w:t xml:space="preserve">Incertidumbre:</w:t>
      </w:r>
      <w:r>
        <w:t xml:space="preserve"> la lesión medular modifica la expresión clínica; se requiere vigilancia de signos autonómicos, espasticidad, malestar nuevo o deterioro sistémico.</w:t>
      </w:r>
    </w:p>
    <w:p>
      <w:pPr>
        <w:pStyle w:val="BodyJ"/>
      </w:pPr>
      <w:r>
        <w:rPr>
          <w:i/>
          <w:iCs/>
        </w:rPr>
        <w:t xml:space="preserve">Decisión:</w:t>
      </w:r>
      <w:r>
        <w:t xml:space="preserve"> no tratar de inmediato; establecer criterios explícitos de reevaluación. El antecedente de BLEE no es argumento para tratar antes, sino una razón adicional para exigir umbral clínico suficiente.</w:t>
      </w:r>
    </w:p>
    <w:p>
      <w:pPr>
        <w:pStyle w:val="BodyJ"/>
      </w:pPr>
      <w:r>
        <w:rPr>
          <w:i/>
          <w:iCs/>
        </w:rPr>
        <w:t xml:space="preserve">Frase medular:</w:t>
      </w:r>
      <w:r>
        <w:t xml:space="preserve"> "Urocultivo positivo y piuria en usuario crónico de Foley, sin manifestaciones sistémicas nuevas que sostengan CAUTI; cuadro más compatible con bacteriuria asociada a catéter, con vigilancia reforzada por expresión sintomática limitada y antecedente de resistencia."</w:t>
      </w:r>
    </w:p>
    <w:p>
      <w:pPr>
        <w:pStyle w:val="Heading3"/>
        <w:spacing w:after="120" w:before="280"/>
      </w:pPr>
      <w:r>
        <w:rPr>
          <w:rFonts w:ascii="Georgia" w:cs="Georgia" w:eastAsia="Georgia" w:hAnsi="Georgia"/>
          <w:b/>
          <w:bCs/>
          <w:color w:val="2B2B2B"/>
          <w:sz w:val="25"/>
          <w:szCs w:val="25"/>
        </w:rPr>
        <w:t xml:space="preserve">Viñeta 3. Globus y necesidad de una explicación no reductiva</w:t>
      </w:r>
    </w:p>
    <w:p>
      <w:pPr>
        <w:pStyle w:val="BodyJ"/>
      </w:pPr>
      <w:r>
        <w:t xml:space="preserve">Una paciente refiere sensación persistente de cuerpo extraño faríngeo, sin disfagia progresiva, odinofagia, pérdida de peso ni alteración estructural en evaluación inicial. Los síntomas fluctúan con estrés y atención corporal. Solicita "un examen que muestre qué tiene".</w:t>
      </w:r>
    </w:p>
    <w:p>
      <w:pPr>
        <w:pStyle w:val="BodyJ"/>
      </w:pPr>
      <w:r>
        <w:rPr>
          <w:i/>
          <w:iCs/>
        </w:rPr>
        <w:t xml:space="preserve">Hechos:</w:t>
      </w:r>
      <w:r>
        <w:t xml:space="preserve"> sensación localizada; ausencia de signos de alarma; evaluación estructural no reveladora; variabilidad contextual.</w:t>
      </w:r>
    </w:p>
    <w:p>
      <w:pPr>
        <w:pStyle w:val="BodyJ"/>
      </w:pPr>
      <w:r>
        <w:rPr>
          <w:i/>
          <w:iCs/>
        </w:rPr>
        <w:t xml:space="preserve">Inferencia:</w:t>
      </w:r>
      <w:r>
        <w:t xml:space="preserve"> globus funcional es probable después de una evaluación apropiada. "Funcional" no significa inventado; describe alteración de percepción, atención, sensibilidad y regulación sin lesión estructural suficiente para explicarla.</w:t>
      </w:r>
    </w:p>
    <w:p>
      <w:pPr>
        <w:pStyle w:val="BodyJ"/>
      </w:pPr>
      <w:r>
        <w:rPr>
          <w:i/>
          <w:iCs/>
        </w:rPr>
        <w:t xml:space="preserve">Incertidumbre:</w:t>
      </w:r>
      <w:r>
        <w:t xml:space="preserve"> ningún examen elimina todo riesgo futuro; la conducta depende de evolución y aparición de banderas rojas. Puede coexistir reflujo, tensión muscular o factores afectivos sin causalidad única.</w:t>
      </w:r>
    </w:p>
    <w:p>
      <w:pPr>
        <w:pStyle w:val="BodyJ"/>
      </w:pPr>
      <w:r>
        <w:rPr>
          <w:i/>
          <w:iCs/>
        </w:rPr>
        <w:t xml:space="preserve">Decisión:</w:t>
      </w:r>
      <w:r>
        <w:t xml:space="preserve"> explicar el diagnóstico positivo, evitar escalamiento indiscriminado de pruebas, tratar factores contribuyentes seleccionados y usar estrategias cognitivo-conductuales orientadas a atención, interpretación y respuesta al síntoma.</w:t>
      </w:r>
    </w:p>
    <w:p>
      <w:pPr>
        <w:pStyle w:val="BodyJ"/>
      </w:pPr>
      <w:r>
        <w:rPr>
          <w:i/>
          <w:iCs/>
        </w:rPr>
        <w:t xml:space="preserve">Frase medular:</w:t>
      </w:r>
      <w:r>
        <w:t xml:space="preserve"> "Sensación de globus sin disfagia verdadera ni signos de alarma y con evaluación estructural negativa, compatible con trastorno funcional de percepción faríngea; se propone manejo positivo y seguimiento, no una búsqueda indefinida de lesión oculta."</w:t>
      </w:r>
    </w:p>
    <w:p>
      <w:pPr>
        <w:pStyle w:val="Heading3"/>
        <w:spacing w:after="120" w:before="280"/>
      </w:pPr>
      <w:r>
        <w:rPr>
          <w:rFonts w:ascii="Georgia" w:cs="Georgia" w:eastAsia="Georgia" w:hAnsi="Georgia"/>
          <w:b/>
          <w:bCs/>
          <w:color w:val="2B2B2B"/>
          <w:sz w:val="25"/>
          <w:szCs w:val="25"/>
        </w:rPr>
        <w:t xml:space="preserve">Viñeta 4. Infiltrados pulmonares y causalidad múltiple</w:t>
      </w:r>
    </w:p>
    <w:p>
      <w:pPr>
        <w:pStyle w:val="BodyJ"/>
      </w:pPr>
      <w:r>
        <w:t xml:space="preserve">Una persona mayor presenta insuficiencia respiratoria con infiltrados multifocales, derrame pequeño y signología obstructiva. Existe posibilidad de infección, congestión, aspiración y reacción inflamatoria farmacológica. Mejora con soporte, antibióticos, broncodilatación y ajuste terapéutico.</w:t>
      </w:r>
    </w:p>
    <w:p>
      <w:pPr>
        <w:pStyle w:val="BodyJ"/>
      </w:pPr>
      <w:r>
        <w:rPr>
          <w:i/>
          <w:iCs/>
        </w:rPr>
        <w:t xml:space="preserve">Hechos:</w:t>
      </w:r>
      <w:r>
        <w:t xml:space="preserve"> insuficiencia respiratoria; hallazgos radiológicos mixtos; marcadores inflamatorios; respuesta bajo intervenciones simultáneas.</w:t>
      </w:r>
    </w:p>
    <w:p>
      <w:pPr>
        <w:pStyle w:val="BodyJ"/>
      </w:pPr>
      <w:r>
        <w:rPr>
          <w:i/>
          <w:iCs/>
        </w:rPr>
        <w:t xml:space="preserve">Inferencia:</w:t>
      </w:r>
      <w:r>
        <w:t xml:space="preserve"> neumopatía multifactorial es una representación más fiel que atribuir todo a una causa. La mejoría no permite identificar qué intervención fue específica.</w:t>
      </w:r>
    </w:p>
    <w:p>
      <w:pPr>
        <w:pStyle w:val="BodyJ"/>
      </w:pPr>
      <w:r>
        <w:rPr>
          <w:i/>
          <w:iCs/>
        </w:rPr>
        <w:t xml:space="preserve">Incertidumbre:</w:t>
      </w:r>
      <w:r>
        <w:t xml:space="preserve"> peso relativo de infección, inflamación y congestión; causalidad farmacológica; riesgo de recurrencia.</w:t>
      </w:r>
    </w:p>
    <w:p>
      <w:pPr>
        <w:pStyle w:val="BodyJ"/>
      </w:pPr>
      <w:r>
        <w:rPr>
          <w:i/>
          <w:iCs/>
        </w:rPr>
        <w:t xml:space="preserve">Decisión:</w:t>
      </w:r>
      <w:r>
        <w:t xml:space="preserve"> completar una duración antibiótica proporcionada si la probabilidad inicial lo justifica, retirar la exposición sospechosa cuando el balance favorece hacerlo y documentar que la causalidad no está demostrada. El seguimiento debe buscar recurrencia tras reexposición y evolución radiológica.</w:t>
      </w:r>
    </w:p>
    <w:p>
      <w:pPr>
        <w:pStyle w:val="BodyJ"/>
      </w:pPr>
      <w:r>
        <w:rPr>
          <w:i/>
          <w:iCs/>
        </w:rPr>
        <w:t xml:space="preserve">Frase medular:</w:t>
      </w:r>
      <w:r>
        <w:t xml:space="preserve"> "Insuficiencia respiratoria por neumopatía multifocal probablemente mixta, con componentes infeccioso-inflamatorio y posible contribución farmacológica; evolución favorable bajo medidas concomitantes, sin posibilidad de atribución causal única."</w:t>
      </w:r>
    </w:p>
    <w:p>
      <w:pPr>
        <w:pStyle w:val="Heading3"/>
        <w:spacing w:after="120" w:before="280"/>
      </w:pPr>
      <w:r>
        <w:rPr>
          <w:rFonts w:ascii="Georgia" w:cs="Georgia" w:eastAsia="Georgia" w:hAnsi="Georgia"/>
          <w:b/>
          <w:bCs/>
          <w:color w:val="2B2B2B"/>
          <w:sz w:val="25"/>
          <w:szCs w:val="25"/>
        </w:rPr>
        <w:t xml:space="preserve">Viñeta 5. Tres de la mañana: decidir con el reloj en contra</w:t>
      </w:r>
    </w:p>
    <w:p>
      <w:pPr>
        <w:pStyle w:val="BodyJ"/>
      </w:pPr>
      <w:r>
        <w:t xml:space="preserve">Urgencias, 3:10. Hombre de 54 años, dolor torácico opresivo de 40 minutos, sudoroso, con antecedente de tabaquismo. Electrocardiograma: alteraciones inespecíficas de la repolarización. Primera troponina: pendiente. Hay otros nueve pacientes esperando y una sola reanimación disponible. No hay tiempo para la plantilla completa; hay tiempo para los sesenta segundos.</w:t>
      </w:r>
    </w:p>
    <w:p>
      <w:pPr>
        <w:pStyle w:val="BodyJ"/>
      </w:pPr>
      <w:r>
        <w:rPr>
          <w:i/>
          <w:iCs/>
        </w:rPr>
        <w:t xml:space="preserve">¿Qué vi y qué me contaron?</w:t>
      </w:r>
      <w:r>
        <w:t xml:space="preserve"> Dolor opresivo con descarga adrenérgica, observado; ECG no diagnóstico pero anormal, medido ahora.</w:t>
      </w:r>
    </w:p>
    <w:p>
      <w:pPr>
        <w:pStyle w:val="BodyJ"/>
      </w:pPr>
      <w:r>
        <w:rPr>
          <w:i/>
          <w:iCs/>
        </w:rPr>
        <w:t xml:space="preserve">¿Qué creo y cuánto derecho tengo?</w:t>
      </w:r>
      <w:r>
        <w:t xml:space="preserve"> Síndrome coronario agudo: posible-probable; el patrón clínico pesa más que el ECG inespecífico. No demostrado.</w:t>
      </w:r>
    </w:p>
    <w:p>
      <w:pPr>
        <w:pStyle w:val="BodyJ"/>
      </w:pPr>
      <w:r>
        <w:rPr>
          <w:i/>
          <w:iCs/>
        </w:rPr>
        <w:t xml:space="preserve">¿Qué me mataría al paciente si me equivoco?</w:t>
      </w:r>
      <w:r>
        <w:t xml:space="preserve"> Tratarlo como "dolor inespecífico, espera troponina en sala" y que sea una oclusión en evolución. La incertidumbre peligrosa no es la etiqueta; es el tiempo.</w:t>
      </w:r>
    </w:p>
    <w:p>
      <w:pPr>
        <w:pStyle w:val="BodyJ"/>
      </w:pPr>
      <w:r>
        <w:rPr>
          <w:i/>
          <w:iCs/>
        </w:rPr>
        <w:t xml:space="preserve">¿Qué hago y qué me haría cambiar?</w:t>
      </w:r>
      <w:r>
        <w:t xml:space="preserve"> Monitor, acceso, antiagregación según protocolo, ECG seriado en 15 minutos, troponina acelerada; escala a activación de hemodinamia si nuevo ECG cambia o el dolor persiste. Queda escrito: "SCA no demostrado; conducta por umbral dada gravedad del error de omisión".</w:t>
      </w:r>
    </w:p>
    <w:p>
      <w:pPr>
        <w:pStyle w:val="BodyJ"/>
      </w:pPr>
      <w:r>
        <w:rPr>
          <w:i/>
          <w:iCs/>
        </w:rPr>
        <w:t xml:space="preserve">Frase medular:</w:t>
      </w:r>
      <w:r>
        <w:t xml:space="preserve"> "Dolor torácico de perfil isquémico con ECG no diagnóstico: se maneja como SCA probable por asimetría de consecuencias mientras la seriación confirma o degrada la hipótesis."</w:t>
      </w:r>
    </w:p>
    <w:p>
      <w:pPr>
        <w:pStyle w:val="BodyJ"/>
      </w:pPr>
      <w:r>
        <w:rPr>
          <w:i/>
          <w:iCs/>
        </w:rPr>
        <w:t xml:space="preserve">Lectura metacognitiva.</w:t>
      </w:r>
      <w:r>
        <w:t xml:space="preserve"> La decisión correcta a las 3:10 no fue diagnóstica sino estratégica: comprar tiempo de vigilancia con intervenciones de bajo riesgo. El error clásico en este escenario no es intelectual, es logístico: la hipótesis correcta ("probable SCA") sin sistema de reevaluación (¿quién repite el ECG si la sala explota?). El criterio de reapertura con responsable es la mitad de la decisión.</w:t>
      </w:r>
    </w:p>
    <w:p>
      <w:pPr>
        <w:pStyle w:val="Heading3"/>
        <w:spacing w:after="120" w:before="280"/>
      </w:pPr>
      <w:r>
        <w:rPr>
          <w:rFonts w:ascii="Georgia" w:cs="Georgia" w:eastAsia="Georgia" w:hAnsi="Georgia"/>
          <w:b/>
          <w:bCs/>
          <w:color w:val="2B2B2B"/>
          <w:sz w:val="25"/>
          <w:szCs w:val="25"/>
        </w:rPr>
        <w:t xml:space="preserve">Viñeta 6. La consulta ambulatoria y el chequeo reciente</w:t>
      </w:r>
    </w:p>
    <w:p>
      <w:pPr>
        <w:pStyle w:val="BodyJ"/>
      </w:pPr>
      <w:r>
        <w:t xml:space="preserve">Atención primaria. Mujer de 47 años consulta por fatiga de tres meses. Trae exámenes "normales de hace poco": hemograma y perfil realizados cinco meses atrás, cuando la fatiga no existía. Refiere además sudoración nocturna ocasional que atribuye a "premenopausia" y ha perdido "dos o tres kilos, por comer menos". Agenda llena, doce minutos por paciente.</w:t>
      </w:r>
    </w:p>
    <w:p>
      <w:pPr>
        <w:pStyle w:val="BodyJ"/>
      </w:pPr>
      <w:r>
        <w:rPr>
          <w:i/>
          <w:iCs/>
        </w:rPr>
        <w:t xml:space="preserve">Hechos:</w:t>
      </w:r>
      <w:r>
        <w:t xml:space="preserve"> fatiga nueva de tres meses (relato consistente); exámenes normales previos al síntoma (dato real, pero anterior al problema); sudoración y baja de peso referidas con explicación alternativa plausible; examen físico de hoy sin adenopatías palpables ni visceromegalia (búsqueda dirigida, limitada por tiempo).</w:t>
      </w:r>
    </w:p>
    <w:p>
      <w:pPr>
        <w:pStyle w:val="BodyJ"/>
      </w:pPr>
      <w:r>
        <w:rPr>
          <w:i/>
          <w:iCs/>
        </w:rPr>
        <w:t xml:space="preserve">Inferencia:</w:t>
      </w:r>
      <w:r>
        <w:t xml:space="preserve"> la mayoría de las fatigas en este contexto son benignas o funcionales: probable. Pero el conjunto fatiga + sudoración + baja de peso configura una tríada que no debe cerrarse contra exámenes previos al síntoma: los "normales de hace poco" no cubren el período de la enfermedad actual.</w:t>
      </w:r>
    </w:p>
    <w:p>
      <w:pPr>
        <w:pStyle w:val="BodyJ"/>
      </w:pPr>
      <w:r>
        <w:rPr>
          <w:i/>
          <w:iCs/>
        </w:rPr>
        <w:t xml:space="preserve">Incertidumbre:</w:t>
      </w:r>
      <w:r>
        <w:t xml:space="preserve"> la peligrosa no es "¿qué causa la fatiga?" sino "¿hay un proceso sistémico en curso que estos doce minutos no pueden excluir?". Reducible con laboratorio actual dirigido y un control programado, no con más preguntas hoy.</w:t>
      </w:r>
    </w:p>
    <w:p>
      <w:pPr>
        <w:pStyle w:val="BodyJ"/>
      </w:pPr>
      <w:r>
        <w:rPr>
          <w:i/>
          <w:iCs/>
        </w:rPr>
        <w:t xml:space="preserve">Decisión:</w:t>
      </w:r>
      <w:r>
        <w:t xml:space="preserve"> laboratorio actualizado (hemograma, VHS/PCR, TSH, glicemia, perfil hepático), control con resultados en dos semanas con la misma profesional, y safety-netting explícito por escrito: reconsultar antes si fiebre, adenopatías, dolor óseo o baja de peso mayor. No se tranquiliza con los exámenes viejos ni se alarma sin datos: se convierte el tiempo en prueba diagnóstica con red de seguridad.</w:t>
      </w:r>
    </w:p>
    <w:p>
      <w:pPr>
        <w:pStyle w:val="BodyJ"/>
      </w:pPr>
      <w:r>
        <w:rPr>
          <w:i/>
          <w:iCs/>
        </w:rPr>
        <w:t xml:space="preserve">Frase medular:</w:t>
      </w:r>
      <w:r>
        <w:t xml:space="preserve"> "Fatiga de tres meses con sudoración y baja de peso leves; exámenes normales previos al inicio del cuadro no excluyen proceso actual: se actualiza estudio y se programa control con criterios explícitos de reconsulta."</w:t>
      </w:r>
    </w:p>
    <w:p>
      <w:pPr>
        <w:pStyle w:val="BodyJ"/>
      </w:pPr>
      <w:r>
        <w:rPr>
          <w:i/>
          <w:iCs/>
        </w:rPr>
        <w:t xml:space="preserve">Lectura metacognitiva.</w:t>
      </w:r>
      <w:r>
        <w:t xml:space="preserve"> El riesgo ambulatorio típico es el cierre por evidencia caducada: "tiene exámenes normales" es un hecho cuya fecha lo vuelve casi irrelevante. La herramienta central de la atención primaria —el tiempo longitudinal— sólo funciona como prueba si tiene control programado y red de seguridad; sin ellos, es una espera que confía en la suerte.</w:t>
      </w:r>
    </w:p>
    <w:p>
      <w:pPr>
        <w:pStyle w:val="Heading3"/>
        <w:spacing w:after="120" w:before="280"/>
      </w:pPr>
      <w:r>
        <w:rPr>
          <w:rFonts w:ascii="Georgia" w:cs="Georgia" w:eastAsia="Georgia" w:hAnsi="Georgia"/>
          <w:b/>
          <w:bCs/>
          <w:color w:val="2B2B2B"/>
          <w:sz w:val="25"/>
          <w:szCs w:val="25"/>
        </w:rPr>
        <w:t xml:space="preserve">Viñeta 7. Pronóstico incierto al final de la vida</w:t>
      </w:r>
    </w:p>
    <w:p>
      <w:pPr>
        <w:pStyle w:val="BodyJ"/>
      </w:pPr>
      <w:r>
        <w:t xml:space="preserve">Hombre de 78 años con cáncer de páncreas metastásico, en tercera línea de tratamiento, ingresa por deterioro funcional rápido y una neumonía. La familia pregunta cuánto tiempo queda; una hija pide "que se haga todo"; el equipo de oncología sugiere que "podría haber una ventana para otra línea". El paciente, lúcido a ratos, dice que está cansado.</w:t>
      </w:r>
    </w:p>
    <w:p>
      <w:pPr>
        <w:pStyle w:val="BodyJ"/>
      </w:pPr>
      <w:r>
        <w:rPr>
          <w:i/>
          <w:iCs/>
        </w:rPr>
        <w:t xml:space="preserve">Hechos:</w:t>
      </w:r>
      <w:r>
        <w:t xml:space="preserve"> enfermedad oncológica avanzada en progresión bajo tratamiento (documentado); deterioro funcional acelerado en semanas (trayectoria observada por la familia y objetivable); infección aguda potencialmente reversible; voluntad expresada por el paciente en momentos de lucidez, consistente en dos conversaciones separadas.</w:t>
      </w:r>
    </w:p>
    <w:p>
      <w:pPr>
        <w:pStyle w:val="BodyJ"/>
      </w:pPr>
      <w:r>
        <w:rPr>
          <w:i/>
          <w:iCs/>
        </w:rPr>
        <w:t xml:space="preserve">Inferencia:</w:t>
      </w:r>
      <w:r>
        <w:t xml:space="preserve"> la neumonía es tratable; la trayectoria de fondo es de final de vida próximo. Pronóstico en semanas a pocos meses: probable, con imprecisión irreductible en el caso individual. "Podría responder a otra línea" es una posibilidad no cuantificada, no una expectativa fundada en la evolución observada.</w:t>
      </w:r>
    </w:p>
    <w:p>
      <w:pPr>
        <w:pStyle w:val="BodyJ"/>
      </w:pPr>
      <w:r>
        <w:rPr>
          <w:i/>
          <w:iCs/>
        </w:rPr>
        <w:t xml:space="preserve">Incertidumbre:</w:t>
      </w:r>
      <w:r>
        <w:t xml:space="preserve"> el plazo exacto es incognoscible; lo comunicable es la dirección de la trayectoria y los escenarios. La incertidumbre que domina no es pronóstica sino de metas: ¿qué quiere este hombre para el tiempo que queda? Esa no se resuelve con exámenes sino con conversación.</w:t>
      </w:r>
    </w:p>
    <w:p>
      <w:pPr>
        <w:pStyle w:val="BodyJ"/>
      </w:pPr>
      <w:r>
        <w:rPr>
          <w:i/>
          <w:iCs/>
        </w:rPr>
        <w:t xml:space="preserve">Decisión:</w:t>
      </w:r>
      <w:r>
        <w:t xml:space="preserve"> tratar la neumonía con objetivo de confort y posible retorno a casa (intervención reversible, proporcionada); pausar la discusión de nueva línea hasta ver respuesta funcional; conversación estructurada de metas con paciente y familia: qué sabemos (la enfermedad progresa), qué creemos (el tiempo se mide probablemente en semanas a meses), qué no sabemos (el plazo exacto; si esta infección marcará un descenso definitivo), qué proponemos (priorizar lo que él declaró importante). Criterio de reevaluación: respuesta funcional a 72 horas.</w:t>
      </w:r>
    </w:p>
    <w:p>
      <w:pPr>
        <w:pStyle w:val="BodyJ"/>
      </w:pPr>
      <w:r>
        <w:rPr>
          <w:i/>
          <w:iCs/>
        </w:rPr>
        <w:t xml:space="preserve">Frase medular:</w:t>
      </w:r>
      <w:r>
        <w:t xml:space="preserve"> "Neumonía potencialmente reversible sobre cáncer avanzado en progresión con deterioro funcional acelerado: se trata la parte reversible con metas de confort, se comunica la trayectoria sin fingir precisión de plazo, y las decisiones mayores se subordinan a las metas del paciente, no a la disponibilidad de otra línea."</w:t>
      </w:r>
    </w:p>
    <w:p>
      <w:pPr>
        <w:pStyle w:val="BodyJ"/>
      </w:pPr>
      <w:r>
        <w:rPr>
          <w:i/>
          <w:iCs/>
        </w:rPr>
        <w:t xml:space="preserve">Lectura metacognitiva.</w:t>
      </w:r>
      <w:r>
        <w:t xml:space="preserve"> El final de la vida concentra todos los temas del libro: la tentación de responder "¿cuánto queda?" con una cifra falsa (certeza retórica), la de esconderse en "no se puede saber" (abandono), y la confusión entre lo técnicamente posible y lo indicado. Comunicar dirección y escenarios en vez de plazos, y anclar la decisión en las metas del enfermo, es la forma que toma aquí la incertidumbre bien gobernada.</w:t>
      </w:r>
    </w:p>
    <w:p>
      <w:pPr>
        <w:pStyle w:val="Heading3"/>
        <w:spacing w:after="120" w:before="280"/>
      </w:pPr>
      <w:r>
        <w:rPr>
          <w:rFonts w:ascii="Georgia" w:cs="Georgia" w:eastAsia="Georgia" w:hAnsi="Georgia"/>
          <w:b/>
          <w:bCs/>
          <w:color w:val="2B2B2B"/>
          <w:sz w:val="25"/>
          <w:szCs w:val="25"/>
        </w:rPr>
        <w:t xml:space="preserve">Viñeta 8. Anatomía de un error consumado</w:t>
      </w:r>
    </w:p>
    <w:p>
      <w:pPr>
        <w:pStyle w:val="BodyJ"/>
      </w:pPr>
      <w:r>
        <w:t xml:space="preserve">Esta viñeta analiza un error completo, con la disciplina del capítulo 8: sin usar nombres de sesgos y sin dejar que el desenlace conocido juzgue lo que era razonable saber en cada momento.</w:t>
      </w:r>
    </w:p>
    <w:p>
      <w:pPr>
        <w:pStyle w:val="BodyJ"/>
      </w:pPr>
      <w:r>
        <w:rPr>
          <w:i/>
          <w:iCs/>
        </w:rPr>
        <w:t xml:space="preserve">El caso.</w:t>
      </w:r>
      <w:r>
        <w:t xml:space="preserve"> Mujer de 82 años, traída de su casa por "compromiso del estado general". Nota de ingreso nocturno: "ITU en anciana, frecuente en ella según hija; orina de mal olor. Se inicia ceftriaxona". Día 2: "afebril, sigue decaída, ITU en tratamiento". Día 3: "evolución lenta, propia de la edad". Noche del día 3: hipotensión, abdomen agudo; laparotomía: colecistitis gangrenosa. Sobrevive tras UCI prolongada.</w:t>
      </w:r>
    </w:p>
    <w:p>
      <w:pPr>
        <w:pStyle w:val="BodyJ"/>
      </w:pPr>
      <w:r>
        <w:rPr>
          <w:i/>
          <w:iCs/>
        </w:rPr>
        <w:t xml:space="preserve">Reconstrucción por capas.</w:t>
      </w:r>
      <w:r>
        <w:t xml:space="preserve"> </w:t>
      </w:r>
      <w:r>
        <w:rPr>
          <w:b/>
          <w:bCs/>
        </w:rPr>
        <w:t xml:space="preserve">Hechos disponibles el día 1:</w:t>
      </w:r>
      <w:r>
        <w:t xml:space="preserve"> compromiso general inespecífico (relato); "ITU frecuente" (dato heredado de la hija, nunca verificado en registros); orina de mal olor (observación de baja especificidad); sin fiebre documentada; abdomen "blando" en un examen nocturno no dirigido; sin laboratorio hepático solicitado. </w:t>
      </w:r>
      <w:r>
        <w:rPr>
          <w:b/>
          <w:bCs/>
        </w:rPr>
        <w:t xml:space="preserve">Inferencia del día 1:</w:t>
      </w:r>
      <w:r>
        <w:t xml:space="preserve"> "ITU" —formulada como hecho, no como hipótesis; fuerza real: posible, apoyada sobre todo en la frecuencia de la etiqueta en ancianas y en el dato heredado. </w:t>
      </w:r>
      <w:r>
        <w:rPr>
          <w:b/>
          <w:bCs/>
        </w:rPr>
        <w:t xml:space="preserve">Incertidumbre nunca escrita:</w:t>
      </w:r>
      <w:r>
        <w:t xml:space="preserve"> ¿qué explica el compromiso general si la orina no lo explica? (una anciana decaída "por ITU" sin fiebre ni sepsis urinaria es una historia que se cuenta mejor de lo que se sostiene). </w:t>
      </w:r>
      <w:r>
        <w:rPr>
          <w:b/>
          <w:bCs/>
        </w:rPr>
        <w:t xml:space="preserve">Decisión del día 1:</w:t>
      </w:r>
      <w:r>
        <w:t xml:space="preserve"> antibiótico razonable como apuesta empírica; el error no fue tratarla, fue tratarla </w:t>
      </w:r>
      <w:r>
        <w:rPr>
          <w:i/>
          <w:iCs/>
        </w:rPr>
        <w:t xml:space="preserve">sin criterio de reapertura</w:t>
      </w:r>
      <w:r>
        <w:t xml:space="preserve">: ninguna nota decía qué evolución obligaría a reexaminar.</w:t>
      </w:r>
    </w:p>
    <w:p>
      <w:pPr>
        <w:pStyle w:val="BodyJ"/>
      </w:pPr>
      <w:r>
        <w:rPr>
          <w:i/>
          <w:iCs/>
        </w:rPr>
        <w:t xml:space="preserve">Dónde estuvo la oportunidad.</w:t>
      </w:r>
      <w:r>
        <w:t xml:space="preserve"> El día 2, "afebril pero sigue decaída" era una discordancia informativa: el tratamiento correcto de la hipótesis correcta debía producir mejoría del estado general, no sólo apirexia. La reinterpretación ("evolución lenta, propia de la edad") inmunizó la hipótesis justo cuando la evolución la estaba degradando. Un examen abdominal dirigido, un perfil hepático o la simple pregunta de pase de visita —"¿qué no explica la ITU?"— tenían, ese día, su máximo valor. El día 3 la pregunta ya era innecesaria: el abdomen la respondió solo.</w:t>
      </w:r>
    </w:p>
    <w:p>
      <w:pPr>
        <w:pStyle w:val="BodyJ"/>
      </w:pPr>
      <w:r>
        <w:rPr>
          <w:i/>
          <w:iCs/>
        </w:rPr>
        <w:t xml:space="preserve">Lo que no debe concluirse.</w:t>
      </w:r>
      <w:r>
        <w:t xml:space="preserve"> El desenlace no demuestra que el equipo fuera incompetente, ni que toda "ITU en anciana" esconda una colecistitis. Con la información del día 1, la ITU era una apuesta empírica defendible. Lo indefendible era la arquitectura: un dato heredado con autoridad de hecho, una etiqueta que absorbió el caso, ninguna incertidumbre registrada, ninguna condición de reapertura. El mismo proceso, con desenlace benigno (una ITU real que respondía), habría dejado la misma vulnerabilidad instalada para la próxima paciente.</w:t>
      </w:r>
    </w:p>
    <w:p>
      <w:pPr>
        <w:pStyle w:val="BodyJ"/>
      </w:pPr>
      <w:r>
        <w:rPr>
          <w:i/>
          <w:iCs/>
        </w:rPr>
        <w:t xml:space="preserve">Frase medular (la que faltó el día 1):</w:t>
      </w:r>
      <w:r>
        <w:t xml:space="preserve"> "Compromiso del estado general no explicado en mujer de 82 años; bacteriuria posible como causa, no demostrada —tratamiento empírico iniciado. El decaimiento no tiene aún explicación suficiente: reexaminar abdomen y ampliar estudio si no hay mejoría global en 48 horas."</w:t>
      </w:r>
    </w:p>
    <w:p>
      <w:pPr>
        <w:pStyle w:val="BodyJ"/>
      </w:pPr>
      <w:r>
        <w:rPr>
          <w:i/>
          <w:iCs/>
        </w:rPr>
        <w:t xml:space="preserve">Lectura metacognitiva.</w:t>
      </w:r>
      <w:r>
        <w:t xml:space="preserve"> Nótese que la frase que faltó no requería más conocimiento médico, más tiempo ni más exámenes esa noche. Requería una disciplina de escritura: separar el hecho (decaimiento no explicado) de la inferencia (bacteriuria posible), conservar la incertidumbre (explicación insuficiente) y programar la revisión (48 horas, criterio global). Es la demostración más dura de la tesis de este libro: la epistemología de una frase puede ser la diferencia entre un susto y una laparotomía de madrugada.</w:t>
      </w:r>
    </w:p>
    <w:p>
      <w:pPr>
        <w:pStyle w:val="Heading3"/>
        <w:spacing w:after="120" w:before="280"/>
      </w:pPr>
      <w:r>
        <w:rPr>
          <w:rFonts w:ascii="Georgia" w:cs="Georgia" w:eastAsia="Georgia" w:hAnsi="Georgia"/>
          <w:b/>
          <w:bCs/>
          <w:color w:val="2B2B2B"/>
          <w:sz w:val="25"/>
          <w:szCs w:val="25"/>
        </w:rPr>
        <w:t xml:space="preserve">Viñeta 9.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es una observación experta sobre el único basal disponible, y la evidencia le da rango de señal — en series de atención primaria, la intuición del clínico de que "algo anda mal", frecuentemente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el equivalente pediátrico de la injusticia testimonial del capítulo 15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10.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exactamente el caso donde el examen "poco confiable" obliga a más objetividad, no a menos: laboratorio e imagen deciden lo que la palpación no puede.</w:t>
      </w:r>
    </w:p>
    <w:p>
      <w:pPr>
        <w:pStyle w:val="BodyJ"/>
      </w:pPr>
      <w:r>
        <w:rPr>
          <w:i/>
          <w:iCs/>
        </w:rPr>
        <w:t xml:space="preserve">Decisión:</w:t>
      </w:r>
      <w:r>
        <w:t xml:space="preserve"> mismo estándar que para cualquier paciente con dolor abdominal y taquicardia — laboratorio completo, imagen según hallazgos, reevaluación programada— más un estándar adicional: documentar explícitamente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Esta viñeta es el capítulo 15 con mortalidad: la injusticia testimonial —descontar el relato por quién lo dice— aquí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diez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del lactante que no habla a la paciente a la que no se le cree—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ronda,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16):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Rondas y pases de turno</w:t>
      </w:r>
    </w:p>
    <w:p>
      <w:pPr>
        <w:pStyle w:val="BodyJ"/>
      </w:pPr>
      <w:r>
        <w:t xml:space="preserve">Una ronda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El pase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8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Evaluar el razonamiento, no sólo la respuesta</w:t>
      </w:r>
    </w:p>
    <w:p>
      <w:pPr>
        <w:pStyle w:val="BodyJ"/>
      </w:pPr>
      <w:r>
        <w:t xml:space="preserve">La educación clínica suele premiar el diagnóstico correcto, aunque haya sido obtenido por un proceso frágil, y castigar el diagnóstico incorrecto incluso cuando la incertidumbre estaba bien calibrada. Este patrón enseña a ocultar dudas y reconstruir narrativas retrospectivas. Una evaluación metacognitiva debe observar también representación del problema, calidad de alternativas, uso de evidencia contradictoria, confianza y plan de revisión.</w:t>
      </w:r>
    </w:p>
    <w:p>
      <w:pPr>
        <w:pStyle w:val="BodyJ"/>
      </w:pPr>
      <w:r>
        <w:t xml:space="preserve">Los docentes pueden pedir al aprendiz que marque cada afirmación como hecho, inferencia o incertidumbre; que identifique el dato de mayor peso; que señale qué cambio modificaría la conducta; y que estime su confianza antes de conocer la respuesta. El objetivo no es ralentizar todas las decisiones, sino construir un repertorio de pausas transferibles a casos reales.</w:t>
      </w:r>
    </w:p>
    <w:p>
      <w:pPr>
        <w:pStyle w:val="BodyJ"/>
      </w:pPr>
      <w:r>
        <w:t xml:space="preserve">Las instituciones aprenden cuando conservan no sólo resultados, sino trayectorias de decisión. Auditorías, reuniones clínicas y sistemas de reporte deberían reconstruir qué información estaba disponible en cada momento y cómo circuló. Esa memoria protege contra el sesgo retrospectivo y permite transformar errores en cambios concretos de representación, coordinación o umbral.</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rondas,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5"/>
        </w:numPr>
      </w:pPr>
      <w:r>
        <w:t xml:space="preserve">La última vez que enseñé un caso, ¿pedí el diagnóstico o pedí primero la representación del problema?</w:t>
      </w:r>
    </w:p>
    <w:p>
      <w:pPr>
        <w:pStyle w:val="BodyJ"/>
        <w:numPr>
          <w:ilvl w:val="0"/>
          <w:numId w:val="25"/>
        </w:numPr>
      </w:pPr>
      <w:r>
        <w:t xml:space="preserve">¿Qué pasó con el último paciente que derivé o di de alta con diagnóstico incierto — y cómo podría enterarme sistemáticamente?</w:t>
      </w:r>
    </w:p>
    <w:p>
      <w:pPr>
        <w:pStyle w:val="BodyJ"/>
        <w:numPr>
          <w:ilvl w:val="0"/>
          <w:numId w:val="25"/>
        </w:numPr>
      </w:pPr>
      <w:r>
        <w:t xml:space="preserve">Si mañana dirigiera mi servicio, ¿cuál de las tres palancas (ronda, ficha, revisión de errores) cambiaría primero, y qué costaría?</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La inteligencia artificial vuelve esta exigencia aún más visible. La plausibilidad verbal puede separarse de la verdad. Por ello, tanto ante una respuesta automática como ante nuestra propia narrativa, debemos preguntar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Preferencias del paciente.</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6"/>
        </w:numPr>
      </w:pPr>
      <w:r>
        <w:t xml:space="preserve">¿Qué vi y qué me contaron? (un hecho decisivo, con fuente)</w:t>
      </w:r>
    </w:p>
    <w:p>
      <w:pPr>
        <w:pStyle w:val="BodyJ"/>
        <w:numPr>
          <w:ilvl w:val="0"/>
          <w:numId w:val="26"/>
        </w:numPr>
      </w:pPr>
      <w:r>
        <w:t xml:space="preserve">¿Qué creo y cuánto derecho tengo a creerlo? (inferencia con grado)</w:t>
      </w:r>
    </w:p>
    <w:p>
      <w:pPr>
        <w:pStyle w:val="BodyJ"/>
        <w:numPr>
          <w:ilvl w:val="0"/>
          <w:numId w:val="26"/>
        </w:numPr>
      </w:pPr>
      <w:r>
        <w:t xml:space="preserve">¿Qué le haría daño al paciente si estoy equivocado? (la incertidumbre peligrosa)</w:t>
      </w:r>
    </w:p>
    <w:p>
      <w:pPr>
        <w:pStyle w:val="BodyJ"/>
        <w:numPr>
          <w:ilvl w:val="0"/>
          <w:numId w:val="26"/>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"CAUTI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7"/>
        </w:numPr>
      </w:pPr>
      <w:r>
        <w:t xml:space="preserve">¿Puedo describir el caso sin usar el diagnóstico actual?</w:t>
      </w:r>
    </w:p>
    <w:p>
      <w:pPr>
        <w:pStyle w:val="BodyJ"/>
        <w:numPr>
          <w:ilvl w:val="0"/>
          <w:numId w:val="27"/>
        </w:numPr>
      </w:pPr>
      <w:r>
        <w:t xml:space="preserve">¿Qué dato sostiene más mi conclusión?</w:t>
      </w:r>
    </w:p>
    <w:p>
      <w:pPr>
        <w:pStyle w:val="BodyJ"/>
        <w:numPr>
          <w:ilvl w:val="0"/>
          <w:numId w:val="27"/>
        </w:numPr>
      </w:pPr>
      <w:r>
        <w:t xml:space="preserve">¿Ese dato es específico o sólo compatible?</w:t>
      </w:r>
    </w:p>
    <w:p>
      <w:pPr>
        <w:pStyle w:val="BodyJ"/>
        <w:numPr>
          <w:ilvl w:val="0"/>
          <w:numId w:val="27"/>
        </w:numPr>
      </w:pPr>
      <w:r>
        <w:t xml:space="preserve">¿Qué hallazgo no encaja?</w:t>
      </w:r>
    </w:p>
    <w:p>
      <w:pPr>
        <w:pStyle w:val="BodyJ"/>
        <w:numPr>
          <w:ilvl w:val="0"/>
          <w:numId w:val="27"/>
        </w:numPr>
      </w:pPr>
      <w:r>
        <w:t xml:space="preserve">¿Qué información estoy suponiendo que fue verificada?</w:t>
      </w:r>
    </w:p>
    <w:p>
      <w:pPr>
        <w:pStyle w:val="BodyJ"/>
        <w:numPr>
          <w:ilvl w:val="0"/>
          <w:numId w:val="27"/>
        </w:numPr>
      </w:pPr>
      <w:r>
        <w:t xml:space="preserve">¿Qué alternativa cambiaría la conducta inmediata?</w:t>
      </w:r>
    </w:p>
    <w:p>
      <w:pPr>
        <w:pStyle w:val="BodyJ"/>
        <w:numPr>
          <w:ilvl w:val="0"/>
          <w:numId w:val="27"/>
        </w:numPr>
      </w:pPr>
      <w:r>
        <w:t xml:space="preserve">¿Estoy usando la respuesta al tratamiento como prueba causal demasiado fuerte?</w:t>
      </w:r>
    </w:p>
    <w:p>
      <w:pPr>
        <w:pStyle w:val="BodyJ"/>
        <w:numPr>
          <w:ilvl w:val="0"/>
          <w:numId w:val="27"/>
        </w:numPr>
      </w:pPr>
      <w:r>
        <w:t xml:space="preserve">¿La gravedad es coherente con mi explicación?</w:t>
      </w:r>
    </w:p>
    <w:p>
      <w:pPr>
        <w:pStyle w:val="BodyJ"/>
        <w:numPr>
          <w:ilvl w:val="0"/>
          <w:numId w:val="27"/>
        </w:numPr>
      </w:pPr>
      <w:r>
        <w:t xml:space="preserve">¿Existe reconsulta, recurrencia o evolución inesperada?</w:t>
      </w:r>
    </w:p>
    <w:p>
      <w:pPr>
        <w:pStyle w:val="BodyJ"/>
        <w:numPr>
          <w:ilvl w:val="0"/>
          <w:numId w:val="27"/>
        </w:numPr>
      </w:pPr>
      <w:r>
        <w:t xml:space="preserve">¿Mi confianza proviene de evidencia o de familiaridad y fluidez?</w:t>
      </w:r>
    </w:p>
    <w:p>
      <w:pPr>
        <w:pStyle w:val="BodyJ"/>
        <w:numPr>
          <w:ilvl w:val="0"/>
          <w:numId w:val="27"/>
        </w:numPr>
      </w:pPr>
      <w:r>
        <w:t xml:space="preserve">¿Cuál es el costo de esperar y cuál el costo de actuar?</w:t>
      </w:r>
    </w:p>
    <w:p>
      <w:pPr>
        <w:pStyle w:val="BodyJ"/>
        <w:numPr>
          <w:ilvl w:val="0"/>
          <w:numId w:val="27"/>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17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16, "Límites"); todo debe adaptarse al contexto local; y la palanca más barata —cómo se habla en la ronda—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ronda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El jefe de ronda modela; no interroga.</w:t>
      </w:r>
    </w:p>
    <w:p>
      <w:pPr>
        <w:pStyle w:val="BodyJ"/>
        <w:numPr>
          <w:ilvl w:val="0"/>
          <w:numId w:val="6"/>
        </w:numPr>
      </w:pPr>
      <w:r>
        <w:t xml:space="preserve">Pase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8: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Barreras esperables y respuestas</w:t>
      </w:r>
    </w:p>
    <w:p>
      <w:pPr>
        <w:pStyle w:val="BodyJ"/>
        <w:numPr>
          <w:ilvl w:val="0"/>
          <w:numId w:val="6"/>
        </w:numPr>
      </w:pPr>
      <w:r>
        <w:rPr>
          <w:b/>
          <w:bCs/>
        </w:rPr>
        <w:t xml:space="preserve">"No hay tiempo."</w:t>
      </w:r>
      <w:r>
        <w:t xml:space="preserve"> La versión de 60 segundos existe para eso; la pausa es selectiva por disparador, no universal. El tiempo que consume se compara con el que consume un solo cierre prematuro no detectado.</w:t>
      </w:r>
    </w:p>
    <w:p>
      <w:pPr>
        <w:pStyle w:val="BodyJ"/>
        <w:numPr>
          <w:ilvl w:val="0"/>
          <w:numId w:val="6"/>
        </w:numPr>
      </w:pPr>
      <w:r>
        <w:rPr>
          <w:b/>
          <w:bCs/>
        </w:rPr>
        <w:t xml:space="preserve">"Esto burocratiza."</w:t>
      </w:r>
      <w:r>
        <w:t xml:space="preserve"> La plantilla se usa en tres situaciones, no en todas. La regla es proporcionalidad: una línea para lo rutinario, estructura para lo grave, incierto o irreversible.</w:t>
      </w:r>
    </w:p>
    <w:p>
      <w:pPr>
        <w:pStyle w:val="BodyJ"/>
        <w:numPr>
          <w:ilvl w:val="0"/>
          <w:numId w:val="6"/>
        </w:numPr>
      </w:pPr>
      <w:r>
        <w:rPr>
          <w:b/>
          <w:bCs/>
        </w:rPr>
        <w:t xml:space="preserve">"La ficha electrónica no lo permite."</w:t>
      </w:r>
      <w:r>
        <w:t xml:space="preserve"> El léxico y la pausa no requieren software. La plantilla cabe en texto libre.</w:t>
      </w:r>
    </w:p>
    <w:p>
      <w:pPr>
        <w:pStyle w:val="BodyJ"/>
        <w:numPr>
          <w:ilvl w:val="0"/>
          <w:numId w:val="6"/>
        </w:numPr>
      </w:pPr>
      <w:r>
        <w:rPr>
          <w:b/>
          <w:bCs/>
        </w:rPr>
        <w:t xml:space="preserve">"El equipo no va a exponer sus dudas."</w:t>
      </w:r>
      <w:r>
        <w:t xml:space="preserve"> La seguridad psicológica se modela desde arriba: el primer "no lo sé, y esto es lo que haremos para saberlo" tiene que decirlo la jefatura.</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w:t>
      </w:r>
    </w:p>
    <w:p>
      <w:pPr>
        <w:pStyle w:val="BodyJ"/>
        <w:numPr>
          <w:ilvl w:val="0"/>
          <w:numId w:val="6"/>
        </w:numPr>
      </w:pPr>
      <w:r>
        <w:t xml:space="preserve">Anclaje — 7, 11, CC (viñeta 8)</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15</w:t>
      </w:r>
    </w:p>
    <w:p>
      <w:pPr>
        <w:pStyle w:val="BodyJ"/>
        <w:numPr>
          <w:ilvl w:val="0"/>
          <w:numId w:val="6"/>
        </w:numPr>
      </w:pPr>
      <w:r>
        <w:t xml:space="preserve">Calibración — 5, 16, 17, Ap C</w:t>
      </w:r>
    </w:p>
    <w:p>
      <w:pPr>
        <w:pStyle w:val="BodyJ"/>
        <w:numPr>
          <w:ilvl w:val="0"/>
          <w:numId w:val="6"/>
        </w:numPr>
      </w:pPr>
      <w:r>
        <w:t xml:space="preserve">Carga teórica de la observación — 1</w:t>
      </w:r>
    </w:p>
    <w:p>
      <w:pPr>
        <w:pStyle w:val="BodyJ"/>
        <w:numPr>
          <w:ilvl w:val="0"/>
          <w:numId w:val="6"/>
        </w:numPr>
      </w:pPr>
      <w:r>
        <w:t xml:space="preserve">Cierre prematuro — 2, 7, CC (viñeta 8)</w:t>
      </w:r>
    </w:p>
    <w:p>
      <w:pPr>
        <w:pStyle w:val="BodyJ"/>
        <w:numPr>
          <w:ilvl w:val="0"/>
          <w:numId w:val="6"/>
        </w:numPr>
      </w:pPr>
      <w:r>
        <w:t xml:space="preserve">Cognición distribuida — 13</w:t>
      </w:r>
    </w:p>
    <w:p>
      <w:pPr>
        <w:pStyle w:val="BodyJ"/>
        <w:numPr>
          <w:ilvl w:val="0"/>
          <w:numId w:val="6"/>
        </w:numPr>
      </w:pPr>
      <w:r>
        <w:t xml:space="preserve">Comunicación de incertidumbre — 13, 15, CC (viñeta 7)</w:t>
      </w:r>
    </w:p>
    <w:p>
      <w:pPr>
        <w:pStyle w:val="BodyJ"/>
        <w:numPr>
          <w:ilvl w:val="0"/>
          <w:numId w:val="6"/>
        </w:numPr>
      </w:pPr>
      <w:r>
        <w:t xml:space="preserve">Conocimiento tácito — 6</w:t>
      </w:r>
    </w:p>
    <w:p>
      <w:pPr>
        <w:pStyle w:val="BodyJ"/>
        <w:numPr>
          <w:ilvl w:val="0"/>
          <w:numId w:val="6"/>
        </w:numPr>
      </w:pPr>
      <w:r>
        <w:t xml:space="preserve">Contrafactuales — 11</w:t>
      </w:r>
    </w:p>
    <w:p>
      <w:pPr>
        <w:pStyle w:val="BodyJ"/>
        <w:numPr>
          <w:ilvl w:val="0"/>
          <w:numId w:val="6"/>
        </w:numPr>
      </w:pPr>
      <w:r>
        <w:t xml:space="preserve">Copiado de notas (fósil narrativo) — 12, Ap C</w:t>
      </w:r>
    </w:p>
    <w:p>
      <w:pPr>
        <w:pStyle w:val="BodyJ"/>
        <w:numPr>
          <w:ilvl w:val="0"/>
          <w:numId w:val="6"/>
        </w:numPr>
      </w:pPr>
      <w:r>
        <w:t xml:space="preserve">Creatividad en el juicio clínico (abducción, problem setting, tercera opción) — 2</w:t>
      </w:r>
    </w:p>
    <w:p>
      <w:pPr>
        <w:pStyle w:val="BodyJ"/>
        <w:numPr>
          <w:ilvl w:val="0"/>
          <w:numId w:val="6"/>
        </w:numPr>
      </w:pPr>
      <w:r>
        <w:t xml:space="preserve">Debate sobre la enseñanza del razonamiento (Croskerry vs. Norman/Monteiro) — 17</w:t>
      </w:r>
    </w:p>
    <w:p>
      <w:pPr>
        <w:pStyle w:val="BodyJ"/>
        <w:numPr>
          <w:ilvl w:val="0"/>
          <w:numId w:val="6"/>
        </w:numPr>
      </w:pPr>
      <w:r>
        <w:t xml:space="preserve">Decisión compartida — 13, 15, Interludio III</w:t>
      </w:r>
    </w:p>
    <w:p>
      <w:pPr>
        <w:pStyle w:val="BodyJ"/>
        <w:numPr>
          <w:ilvl w:val="0"/>
          <w:numId w:val="6"/>
        </w:numPr>
      </w:pPr>
      <w:r>
        <w:t xml:space="preserve">Densidad epistémica — 4</w:t>
      </w:r>
    </w:p>
    <w:p>
      <w:pPr>
        <w:pStyle w:val="BodyJ"/>
        <w:numPr>
          <w:ilvl w:val="0"/>
          <w:numId w:val="6"/>
        </w:numPr>
      </w:pPr>
      <w:r>
        <w:t xml:space="preserve">Desaceleración selectiva — 8, Interludio II</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15</w:t>
      </w:r>
    </w:p>
    <w:p>
      <w:pPr>
        <w:pStyle w:val="BodyJ"/>
        <w:numPr>
          <w:ilvl w:val="0"/>
          <w:numId w:val="6"/>
        </w:numPr>
      </w:pPr>
      <w:r>
        <w:t xml:space="preserve">Ensombrecimiento diagnóstico — CC (viñeta 10)</w:t>
      </w:r>
    </w:p>
    <w:p>
      <w:pPr>
        <w:pStyle w:val="BodyJ"/>
        <w:numPr>
          <w:ilvl w:val="0"/>
          <w:numId w:val="6"/>
        </w:numPr>
      </w:pPr>
      <w:r>
        <w:t xml:space="preserve">Errores asimétricos — 10, CC (viñeta 5)</w:t>
      </w:r>
    </w:p>
    <w:p>
      <w:pPr>
        <w:pStyle w:val="BodyJ"/>
        <w:numPr>
          <w:ilvl w:val="0"/>
          <w:numId w:val="6"/>
        </w:numPr>
      </w:pPr>
      <w:r>
        <w:t xml:space="preserve">Evidencia poblacional y particularización — 9</w:t>
      </w:r>
    </w:p>
    <w:p>
      <w:pPr>
        <w:pStyle w:val="BodyJ"/>
        <w:numPr>
          <w:ilvl w:val="0"/>
          <w:numId w:val="6"/>
        </w:numPr>
      </w:pPr>
      <w:r>
        <w:t xml:space="preserve">Falsabilidad del método HII-D — 16</w:t>
      </w:r>
    </w:p>
    <w:p>
      <w:pPr>
        <w:pStyle w:val="BodyJ"/>
        <w:numPr>
          <w:ilvl w:val="0"/>
          <w:numId w:val="6"/>
        </w:numPr>
      </w:pPr>
      <w:r>
        <w:t xml:space="preserve">Feedback diagnóstico — 5, 17, Ap C</w:t>
      </w:r>
    </w:p>
    <w:p>
      <w:pPr>
        <w:pStyle w:val="BodyJ"/>
        <w:numPr>
          <w:ilvl w:val="0"/>
          <w:numId w:val="6"/>
        </w:numPr>
      </w:pPr>
      <w:r>
        <w:t xml:space="preserve">Ficha como dispositivo que produce lo visible (Foucault) — 12</w:t>
      </w:r>
    </w:p>
    <w:p>
      <w:pPr>
        <w:pStyle w:val="BodyJ"/>
        <w:numPr>
          <w:ilvl w:val="0"/>
          <w:numId w:val="6"/>
        </w:numPr>
      </w:pPr>
      <w:r>
        <w:t xml:space="preserve">Fichas clínicas y plantillas — 12, 17, Ap C</w:t>
      </w:r>
    </w:p>
    <w:p>
      <w:pPr>
        <w:pStyle w:val="BodyJ"/>
        <w:numPr>
          <w:ilvl w:val="0"/>
          <w:numId w:val="6"/>
        </w:numPr>
      </w:pPr>
      <w:r>
        <w:t xml:space="preserve">Frase medular — 4, 12, C, CC (todas las viñetas)</w:t>
      </w:r>
    </w:p>
    <w:p>
      <w:pPr>
        <w:pStyle w:val="BodyJ"/>
        <w:numPr>
          <w:ilvl w:val="0"/>
          <w:numId w:val="6"/>
        </w:numPr>
      </w:pPr>
      <w:r>
        <w:t xml:space="preserve">Frecuencias naturales — 2, 10, 13</w:t>
      </w:r>
    </w:p>
    <w:p>
      <w:pPr>
        <w:pStyle w:val="BodyJ"/>
        <w:numPr>
          <w:ilvl w:val="0"/>
          <w:numId w:val="6"/>
        </w:numPr>
      </w:pPr>
      <w:r>
        <w:t xml:space="preserve">Grados de facticidad — 1</w:t>
      </w:r>
    </w:p>
    <w:p>
      <w:pPr>
        <w:pStyle w:val="BodyJ"/>
        <w:numPr>
          <w:ilvl w:val="0"/>
          <w:numId w:val="6"/>
        </w:numPr>
      </w:pPr>
      <w:r>
        <w:t xml:space="preserve">Hindsight bias — 8, 11, 17, CC (viñeta 8)</w:t>
      </w:r>
    </w:p>
    <w:p>
      <w:pPr>
        <w:pStyle w:val="BodyJ"/>
        <w:numPr>
          <w:ilvl w:val="0"/>
          <w:numId w:val="6"/>
        </w:numPr>
      </w:pPr>
      <w:r>
        <w:t xml:space="preserve">HII-D (método) — 12, 16, Ap A; auditoría de IA con — 14</w:t>
      </w:r>
    </w:p>
    <w:p>
      <w:pPr>
        <w:pStyle w:val="BodyJ"/>
        <w:numPr>
          <w:ilvl w:val="0"/>
          <w:numId w:val="6"/>
        </w:numPr>
      </w:pPr>
      <w:r>
        <w:t xml:space="preserve">Humildad epistémica como motor (explorar, aprender, reenfocar) — 15</w:t>
      </w:r>
    </w:p>
    <w:p>
      <w:pPr>
        <w:pStyle w:val="BodyJ"/>
        <w:numPr>
          <w:ilvl w:val="0"/>
          <w:numId w:val="6"/>
        </w:numPr>
      </w:pPr>
      <w:r>
        <w:t xml:space="preserve">Illness scripts — 2, 6, 17</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15, CC (viñeta 10)</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10</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10</w:t>
      </w:r>
    </w:p>
    <w:p>
      <w:pPr>
        <w:pStyle w:val="BodyJ"/>
        <w:numPr>
          <w:ilvl w:val="0"/>
          <w:numId w:val="6"/>
        </w:numPr>
      </w:pPr>
      <w:r>
        <w:t xml:space="preserve">Medicina basada en evidencia — 9</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sensibilidad vs. sesgo — Int, 5; artificial — 14</w:t>
      </w:r>
    </w:p>
    <w:p>
      <w:pPr>
        <w:pStyle w:val="BodyJ"/>
        <w:numPr>
          <w:ilvl w:val="0"/>
          <w:numId w:val="6"/>
        </w:numPr>
      </w:pPr>
      <w:r>
        <w:t xml:space="preserve">Miedo y decisión (documentación defensiva, sobreestudio) — 3, 15</w:t>
      </w:r>
    </w:p>
    <w:p>
      <w:pPr>
        <w:pStyle w:val="BodyJ"/>
        <w:numPr>
          <w:ilvl w:val="0"/>
          <w:numId w:val="6"/>
        </w:numPr>
      </w:pPr>
      <w:r>
        <w:t xml:space="preserve">Observación activa — 10, 11</w:t>
      </w:r>
    </w:p>
    <w:p>
      <w:pPr>
        <w:pStyle w:val="BodyJ"/>
        <w:numPr>
          <w:ilvl w:val="0"/>
          <w:numId w:val="6"/>
        </w:numPr>
      </w:pPr>
      <w:r>
        <w:t xml:space="preserve">Pausa diagnóstica — 8, 17, Ap B, Ap C</w:t>
      </w:r>
    </w:p>
    <w:p>
      <w:pPr>
        <w:pStyle w:val="BodyJ"/>
        <w:numPr>
          <w:ilvl w:val="0"/>
          <w:numId w:val="6"/>
        </w:numPr>
      </w:pPr>
      <w:r>
        <w:t xml:space="preserve">Pericia y práctica deliberada — 6</w:t>
      </w:r>
    </w:p>
    <w:p>
      <w:pPr>
        <w:pStyle w:val="BodyJ"/>
        <w:numPr>
          <w:ilvl w:val="0"/>
          <w:numId w:val="6"/>
        </w:numPr>
      </w:pPr>
      <w:r>
        <w:t xml:space="preserve">Phronesis — 6, 15</w:t>
      </w:r>
    </w:p>
    <w:p>
      <w:pPr>
        <w:pStyle w:val="BodyJ"/>
        <w:numPr>
          <w:ilvl w:val="0"/>
          <w:numId w:val="6"/>
        </w:numPr>
      </w:pPr>
      <w:r>
        <w:t xml:space="preserve">Pronóstico e incertidumbre de plazo — CC (viñeta 7)</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Representación del problema — Int, 2, 8, 17</w:t>
      </w:r>
    </w:p>
    <w:p>
      <w:pPr>
        <w:pStyle w:val="BodyJ"/>
        <w:numPr>
          <w:ilvl w:val="0"/>
          <w:numId w:val="6"/>
        </w:numPr>
      </w:pPr>
      <w:r>
        <w:t xml:space="preserve">Riesgo inductivo (Rudner, Douglas) — 10</w:t>
      </w:r>
    </w:p>
    <w:p>
      <w:pPr>
        <w:pStyle w:val="BodyJ"/>
        <w:numPr>
          <w:ilvl w:val="0"/>
          <w:numId w:val="6"/>
        </w:numPr>
      </w:pPr>
      <w:r>
        <w:t xml:space="preserve">Safety-netting — 11, CC (viñetas 5, 6 y 9)</w:t>
      </w:r>
    </w:p>
    <w:p>
      <w:pPr>
        <w:pStyle w:val="BodyJ"/>
        <w:numPr>
          <w:ilvl w:val="0"/>
          <w:numId w:val="6"/>
        </w:numPr>
      </w:pPr>
      <w:r>
        <w:t xml:space="preserve">Segunda víctima — 15</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15; epistemología del testimonio (Coady, Lackey) — 15; testimonio de terceros y cuidadores — CC (viñeta 9)</w:t>
      </w:r>
    </w:p>
    <w:p>
      <w:pPr>
        <w:pStyle w:val="BodyJ"/>
        <w:numPr>
          <w:ilvl w:val="0"/>
          <w:numId w:val="6"/>
        </w:numPr>
      </w:pPr>
      <w:r>
        <w:t xml:space="preserve">Trayectoria y temporalidad — 11, Interludio I</w:t>
      </w:r>
    </w:p>
    <w:p>
      <w:pPr>
        <w:pStyle w:val="BodyJ"/>
        <w:numPr>
          <w:ilvl w:val="0"/>
          <w:numId w:val="6"/>
        </w:numPr>
      </w:pPr>
      <w:r>
        <w:t xml:space="preserve">Umbrales de decisión — 10, Interludio III, CC (viñeta 5)</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Aristotle. (2009). </w:t>
      </w:r>
      <w:r>
        <w:rPr>
          <w:i/>
          <w:iCs/>
        </w:rPr>
        <w:t xml:space="preserve">The Nicomachean Ethics</w:t>
      </w:r>
      <w:r>
        <w:t xml:space="preserve"> (D. Ross, Trans.; L. Brown, Rev.). Oxford University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(1991). </w:t>
      </w:r>
      <w:r>
        <w:rPr>
          <w:i/>
          <w:iCs/>
        </w:rPr>
        <w:t xml:space="preserve">The Normal and the Pathological</w:t>
      </w:r>
      <w:r>
        <w:t xml:space="preserve">. Zone Books.</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(1973). </w:t>
      </w:r>
      <w:r>
        <w:rPr>
          <w:i/>
          <w:iCs/>
        </w:rPr>
        <w:t xml:space="preserve">The Birth of the Clinic: An Archaeology of Medical Perception</w:t>
      </w:r>
      <w:r>
        <w:t xml:space="preserve"> (A. M. Sheridan Smith, Trans.). Vintage Books.</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The Enigma of Health: The Art of Healing in a Scientific Age</w:t>
      </w:r>
      <w:r>
        <w:t xml:space="preserve"> (J. Gaiger &amp; N. Walker, Trans.). Stanford University Press.</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Groopman, J. (2007). </w:t>
      </w:r>
      <w:r>
        <w:rPr>
          <w:i/>
          <w:iCs/>
        </w:rPr>
        <w:t xml:space="preserve">How Doctors Think</w:t>
      </w:r>
      <w:r>
        <w:t xml:space="preserve">. Houghton Mifflin.</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2b35fbffd35afed7770af47cbf0e6a2d4e4873.png"/><Relationship Id="rId10" Type="http://schemas.openxmlformats.org/officeDocument/2006/relationships/image" Target="media/f0140b60d6188c48a2f37a9874c989e4df8a1130.png"/><Relationship Id="rId11" Type="http://schemas.openxmlformats.org/officeDocument/2006/relationships/image" Target="media/1cba8dc84ceb4b9f7df47ad9f5782c196e7d2f84.png"/><Relationship Id="rId12" Type="http://schemas.openxmlformats.org/officeDocument/2006/relationships/image" Target="media/2bab50b1883abc9ee11b062abc8c09ee708d068a.png"/><Relationship Id="rId13" Type="http://schemas.openxmlformats.org/officeDocument/2006/relationships/image" Target="media/54193483d050d12101c74d09c18ffbcea9e2f76b.png"/><Relationship Id="rId14" Type="http://schemas.openxmlformats.org/officeDocument/2006/relationships/image" Target="media/1970e22e163347f285599984ecb26af3f84ccbbb.png"/><Relationship Id="rId15" Type="http://schemas.openxmlformats.org/officeDocument/2006/relationships/image" Target="media/6053aed5214e5817ca2bc7077bedd0d598f4e04b.png"/><Relationship Id="rId16" Type="http://schemas.openxmlformats.org/officeDocument/2006/relationships/image" Target="media/147914b6ed22858813c6914a5f828116ebfd39b0.png"/><Relationship Id="rId17" Type="http://schemas.openxmlformats.org/officeDocument/2006/relationships/image" Target="media/4040ee3bac2dc1ccc36a8793c1f87e53f1ba14e3.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2026-08-09T02:09:04.861Z</dcterms:created>
  <dcterms:modified xsi:type="dcterms:W3CDTF">2026-08-09T02:09:04.861Z</dcterms:modified>
</cp:coreProperties>
</file>

<file path=docProps/custom.xml><?xml version="1.0" encoding="utf-8"?>
<Properties xmlns="http://schemas.openxmlformats.org/officeDocument/2006/custom-properties" xmlns:vt="http://schemas.openxmlformats.org/officeDocument/2006/docPropsVTypes"/>
</file>