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Todas las viñetas clínicas —incluido el caso longitudinal que atraviesa el libro, los interludios y los pasajes narrados en primera persona— son composiciones docentes: combinan situaciones frecuentes de la práctica hospitalaria y no corresponden a pacientes identificables ni a episodios reproducidos literalmente.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14</w:t>
      </w:r>
    </w:p>
    <w:p>
      <w:pPr>
        <w:pStyle w:val="TocEntry"/>
        <w:tabs>
          <w:tab w:val="right" w:pos="9026" w:leader="dot"/>
        </w:tabs>
      </w:pPr>
      <w:r>
        <w:t xml:space="preserve">Capítulo 3. Incertidumbre: una condición estructural</w:t>
      </w:r>
      <w:r>
        <w:tab/>
      </w:r>
      <w:r>
        <w:rPr>
          <w:color w:val="8A8A8A"/>
        </w:rPr>
        <w:t xml:space="preserve">19</w:t>
      </w:r>
    </w:p>
    <w:p>
      <w:pPr>
        <w:pStyle w:val="TocEntry"/>
        <w:tabs>
          <w:tab w:val="right" w:pos="9026" w:leader="dot"/>
        </w:tabs>
      </w:pPr>
      <w:r>
        <w:t xml:space="preserve">Capítulo 4. Lenguaje clínico y densidad epistémica</w:t>
      </w:r>
      <w:r>
        <w:tab/>
      </w:r>
      <w:r>
        <w:rPr>
          <w:color w:val="8A8A8A"/>
        </w:rPr>
        <w:t xml:space="preserve">23</w:t>
      </w:r>
    </w:p>
    <w:p>
      <w:pPr>
        <w:pStyle w:val="TocEntry"/>
        <w:tabs>
          <w:tab w:val="right" w:pos="9026" w:leader="dot"/>
        </w:tabs>
      </w:pPr>
      <w:r>
        <w:t xml:space="preserve">Interludio I. La ficha de Carmen</w:t>
      </w:r>
      <w:r>
        <w:tab/>
      </w:r>
      <w:r>
        <w:rPr>
          <w:color w:val="8A8A8A"/>
        </w:rPr>
        <w:t xml:space="preserve">27</w:t>
      </w:r>
    </w:p>
    <w:p>
      <w:pPr>
        <w:pStyle w:val="TocPart"/>
        <w:tabs>
          <w:tab w:val="right" w:pos="9026" w:leader="dot"/>
        </w:tabs>
      </w:pPr>
      <w:r>
        <w:t xml:space="preserve">PARTE II. La mente que se observa</w:t>
      </w:r>
      <w:r>
        <w:tab/>
      </w:r>
      <w:r>
        <w:rPr>
          <w:color w:val="8A8A8A"/>
        </w:rPr>
        <w:t xml:space="preserve">28</w:t>
      </w:r>
    </w:p>
    <w:p>
      <w:pPr>
        <w:pStyle w:val="TocEntry"/>
        <w:tabs>
          <w:tab w:val="right" w:pos="9026" w:leader="dot"/>
        </w:tabs>
      </w:pPr>
      <w:r>
        <w:t xml:space="preserve">Capítulo 5. Metacognición: monitorear y regular el propio juicio</w:t>
      </w:r>
      <w:r>
        <w:tab/>
      </w:r>
      <w:r>
        <w:rPr>
          <w:color w:val="8A8A8A"/>
        </w:rPr>
        <w:t xml:space="preserve">29</w:t>
      </w:r>
    </w:p>
    <w:p>
      <w:pPr>
        <w:pStyle w:val="TocEntry"/>
        <w:tabs>
          <w:tab w:val="right" w:pos="9026" w:leader="dot"/>
        </w:tabs>
      </w:pPr>
      <w:r>
        <w:t xml:space="preserve">Capítulo 6. Pericia, intuición y conocimiento tácito</w:t>
      </w:r>
      <w:r>
        <w:tab/>
      </w:r>
      <w:r>
        <w:rPr>
          <w:color w:val="8A8A8A"/>
        </w:rPr>
        <w:t xml:space="preserve">34</w:t>
      </w:r>
    </w:p>
    <w:p>
      <w:pPr>
        <w:pStyle w:val="TocEntry"/>
        <w:tabs>
          <w:tab w:val="right" w:pos="9026" w:leader="dot"/>
        </w:tabs>
      </w:pPr>
      <w:r>
        <w:t xml:space="preserve">Capítulo 7. Error, sesgo y ecología del diagnóstico</w:t>
      </w:r>
      <w:r>
        <w:tab/>
      </w:r>
      <w:r>
        <w:rPr>
          <w:color w:val="8A8A8A"/>
        </w:rPr>
        <w:t xml:space="preserve">37</w:t>
      </w:r>
    </w:p>
    <w:p>
      <w:pPr>
        <w:pStyle w:val="TocEntry"/>
        <w:tabs>
          <w:tab w:val="right" w:pos="9026" w:leader="dot"/>
        </w:tabs>
      </w:pPr>
      <w:r>
        <w:t xml:space="preserve">Capítulo 8. Reflexión y desaceleración selectiva</w:t>
      </w:r>
      <w:r>
        <w:tab/>
      </w:r>
      <w:r>
        <w:rPr>
          <w:color w:val="8A8A8A"/>
        </w:rPr>
        <w:t xml:space="preserve">40</w:t>
      </w:r>
    </w:p>
    <w:p>
      <w:pPr>
        <w:pStyle w:val="TocEntry"/>
        <w:tabs>
          <w:tab w:val="right" w:pos="9026" w:leader="dot"/>
        </w:tabs>
      </w:pPr>
      <w:r>
        <w:t xml:space="preserve">Interludio II. Lo que el equipo pensó</w:t>
      </w:r>
      <w:r>
        <w:tab/>
      </w:r>
      <w:r>
        <w:rPr>
          <w:color w:val="8A8A8A"/>
        </w:rPr>
        <w:t xml:space="preserve">43</w:t>
      </w:r>
    </w:p>
    <w:p>
      <w:pPr>
        <w:pStyle w:val="TocPart"/>
        <w:tabs>
          <w:tab w:val="right" w:pos="9026" w:leader="dot"/>
        </w:tabs>
      </w:pPr>
      <w:r>
        <w:t xml:space="preserve">PARTE III. Decidir en el tiempo y con otros</w:t>
      </w:r>
      <w:r>
        <w:tab/>
      </w:r>
      <w:r>
        <w:rPr>
          <w:color w:val="8A8A8A"/>
        </w:rPr>
        <w:t xml:space="preserve">44</w:t>
      </w:r>
    </w:p>
    <w:p>
      <w:pPr>
        <w:pStyle w:val="TocEntry"/>
        <w:tabs>
          <w:tab w:val="right" w:pos="9026" w:leader="dot"/>
        </w:tabs>
      </w:pPr>
      <w:r>
        <w:t xml:space="preserve">Capítulo 9. De la evidencia a la decisión: poblaciones, umbrales y consecuencias</w:t>
      </w:r>
      <w:r>
        <w:tab/>
      </w:r>
      <w:r>
        <w:rPr>
          <w:color w:val="8A8A8A"/>
        </w:rPr>
        <w:t xml:space="preserve">45</w:t>
      </w:r>
    </w:p>
    <w:p>
      <w:pPr>
        <w:pStyle w:val="TocEntry"/>
        <w:tabs>
          <w:tab w:val="right" w:pos="9026" w:leader="dot"/>
        </w:tabs>
      </w:pPr>
      <w:r>
        <w:t xml:space="preserve">Capítulo 10. Temporalidad, trayectoria y razonamiento contrafactual</w:t>
      </w:r>
      <w:r>
        <w:tab/>
      </w:r>
      <w:r>
        <w:rPr>
          <w:color w:val="8A8A8A"/>
        </w:rPr>
        <w:t xml:space="preserve">52</w:t>
      </w:r>
    </w:p>
    <w:p>
      <w:pPr>
        <w:pStyle w:val="TocEntry"/>
        <w:tabs>
          <w:tab w:val="right" w:pos="9026" w:leader="dot"/>
        </w:tabs>
      </w:pPr>
      <w:r>
        <w:t xml:space="preserve">Capítulo 11. La ficha clínica como instrumento de pensamiento</w:t>
      </w:r>
      <w:r>
        <w:tab/>
      </w:r>
      <w:r>
        <w:rPr>
          <w:color w:val="8A8A8A"/>
        </w:rPr>
        <w:t xml:space="preserve">55</w:t>
      </w:r>
    </w:p>
    <w:p>
      <w:pPr>
        <w:pStyle w:val="TocEntry"/>
        <w:tabs>
          <w:tab w:val="right" w:pos="9026" w:leader="dot"/>
        </w:tabs>
      </w:pPr>
      <w:r>
        <w:t xml:space="preserve">Capítulo 12. Pensar con otros: equipos, desacuerdo y comunicación de la incertidumbre</w:t>
      </w:r>
      <w:r>
        <w:tab/>
      </w:r>
      <w:r>
        <w:rPr>
          <w:color w:val="8A8A8A"/>
        </w:rPr>
        <w:t xml:space="preserve">59</w:t>
      </w:r>
    </w:p>
    <w:p>
      <w:pPr>
        <w:pStyle w:val="TocEntry"/>
        <w:tabs>
          <w:tab w:val="right" w:pos="9026" w:leader="dot"/>
        </w:tabs>
      </w:pPr>
      <w:r>
        <w:t xml:space="preserve">Interludio III. La decisión de Carmen</w:t>
      </w:r>
      <w:r>
        <w:tab/>
      </w:r>
      <w:r>
        <w:rPr>
          <w:color w:val="8A8A8A"/>
        </w:rPr>
        <w:t xml:space="preserve">64</w:t>
      </w:r>
    </w:p>
    <w:p>
      <w:pPr>
        <w:pStyle w:val="TocPart"/>
        <w:tabs>
          <w:tab w:val="right" w:pos="9026" w:leader="dot"/>
        </w:tabs>
      </w:pPr>
      <w:r>
        <w:t xml:space="preserve">PARTE IV. Una epistemología operativa</w:t>
      </w:r>
      <w:r>
        <w:tab/>
      </w:r>
      <w:r>
        <w:rPr>
          <w:color w:val="8A8A8A"/>
        </w:rPr>
        <w:t xml:space="preserve">65</w:t>
      </w:r>
    </w:p>
    <w:p>
      <w:pPr>
        <w:pStyle w:val="TocEntry"/>
        <w:tabs>
          <w:tab w:val="right" w:pos="9026" w:leader="dot"/>
        </w:tabs>
      </w:pPr>
      <w:r>
        <w:t xml:space="preserve">Capítulo 13. Inteligencia artificial como espejo del razonamiento</w:t>
      </w:r>
      <w:r>
        <w:tab/>
      </w:r>
      <w:r>
        <w:rPr>
          <w:color w:val="8A8A8A"/>
        </w:rPr>
        <w:t xml:space="preserve">66</w:t>
      </w:r>
    </w:p>
    <w:p>
      <w:pPr>
        <w:pStyle w:val="TocEntry"/>
        <w:tabs>
          <w:tab w:val="right" w:pos="9026" w:leader="dot"/>
        </w:tabs>
      </w:pPr>
      <w:r>
        <w:t xml:space="preserve">Capítulo 14. Humildad epistémica y responsabilidad clínica</w:t>
      </w:r>
      <w:r>
        <w:tab/>
      </w:r>
      <w:r>
        <w:rPr>
          <w:color w:val="8A8A8A"/>
        </w:rPr>
        <w:t xml:space="preserve">69</w:t>
      </w:r>
    </w:p>
    <w:p>
      <w:pPr>
        <w:pStyle w:val="TocEntry"/>
        <w:tabs>
          <w:tab w:val="right" w:pos="9026" w:leader="dot"/>
        </w:tabs>
      </w:pPr>
      <w:r>
        <w:t xml:space="preserve">Capítulo 15. El método HII-D: una epistemología operativa</w:t>
      </w:r>
      <w:r>
        <w:tab/>
      </w:r>
      <w:r>
        <w:rPr>
          <w:color w:val="8A8A8A"/>
        </w:rPr>
        <w:t xml:space="preserve">74</w:t>
      </w:r>
    </w:p>
    <w:p>
      <w:pPr>
        <w:pStyle w:val="TocEntry"/>
        <w:tabs>
          <w:tab w:val="right" w:pos="9026" w:leader="dot"/>
        </w:tabs>
      </w:pPr>
      <w:r>
        <w:t xml:space="preserve">Cuaderno de casos. Ocho viñetas para una lectura metacognitiva</w:t>
      </w:r>
      <w:r>
        <w:tab/>
      </w:r>
      <w:r>
        <w:rPr>
          <w:color w:val="8A8A8A"/>
        </w:rPr>
        <w:t xml:space="preserve">80</w:t>
      </w:r>
    </w:p>
    <w:p>
      <w:pPr>
        <w:pStyle w:val="TocEntry"/>
        <w:tabs>
          <w:tab w:val="right" w:pos="9026" w:leader="dot"/>
        </w:tabs>
      </w:pPr>
      <w:r>
        <w:t xml:space="preserve">Capítulo 16. Enseñar y organizar la metacognición clínica</w:t>
      </w:r>
      <w:r>
        <w:tab/>
      </w:r>
      <w:r>
        <w:rPr>
          <w:color w:val="8A8A8A"/>
        </w:rPr>
        <w:t xml:space="preserve">87</w:t>
      </w:r>
    </w:p>
    <w:p>
      <w:pPr>
        <w:pStyle w:val="TocPart"/>
        <w:tabs>
          <w:tab w:val="right" w:pos="9026" w:leader="dot"/>
        </w:tabs>
      </w:pPr>
      <w:r>
        <w:t xml:space="preserve">Conclusión. Una medicina lúcida</w:t>
      </w:r>
      <w:r>
        <w:tab/>
      </w:r>
      <w:r>
        <w:rPr>
          <w:color w:val="8A8A8A"/>
        </w:rPr>
        <w:t xml:space="preserve">91</w:t>
      </w:r>
    </w:p>
    <w:p>
      <w:pPr>
        <w:pStyle w:val="TocPart"/>
        <w:tabs>
          <w:tab w:val="right" w:pos="9026" w:leader="dot"/>
        </w:tabs>
      </w:pPr>
      <w:r>
        <w:t xml:space="preserve">Apéndice A. Hoja HII-D para discusión de casos</w:t>
      </w:r>
      <w:r>
        <w:tab/>
      </w:r>
      <w:r>
        <w:rPr>
          <w:color w:val="8A8A8A"/>
        </w:rPr>
        <w:t xml:space="preserve">93</w:t>
      </w:r>
    </w:p>
    <w:p>
      <w:pPr>
        <w:pStyle w:val="TocPart"/>
        <w:tabs>
          <w:tab w:val="right" w:pos="9026" w:leader="dot"/>
        </w:tabs>
      </w:pPr>
      <w:r>
        <w:t xml:space="preserve">Apéndice B. Léxico de certeza y pausa diagnóstica</w:t>
      </w:r>
      <w:r>
        <w:tab/>
      </w:r>
      <w:r>
        <w:rPr>
          <w:color w:val="8A8A8A"/>
        </w:rPr>
        <w:t xml:space="preserve">95</w:t>
      </w:r>
    </w:p>
    <w:p>
      <w:pPr>
        <w:pStyle w:val="TocPart"/>
        <w:tabs>
          <w:tab w:val="right" w:pos="9026" w:leader="dot"/>
        </w:tabs>
      </w:pPr>
      <w:r>
        <w:t xml:space="preserve">Apéndice C. Guía de implementación en un servicio clínico</w:t>
      </w:r>
      <w:r>
        <w:tab/>
      </w:r>
      <w:r>
        <w:rPr>
          <w:color w:val="8A8A8A"/>
        </w:rPr>
        <w:t xml:space="preserve">97</w:t>
      </w:r>
    </w:p>
    <w:p>
      <w:pPr>
        <w:pStyle w:val="TocPart"/>
        <w:tabs>
          <w:tab w:val="right" w:pos="9026" w:leader="dot"/>
        </w:tabs>
      </w:pPr>
      <w:r>
        <w:t xml:space="preserve">Glosario</w:t>
      </w:r>
      <w:r>
        <w:tab/>
      </w:r>
      <w:r>
        <w:rPr>
          <w:color w:val="8A8A8A"/>
        </w:rPr>
        <w:t xml:space="preserve">99</w:t>
      </w:r>
    </w:p>
    <w:p>
      <w:pPr>
        <w:pStyle w:val="TocPart"/>
        <w:tabs>
          <w:tab w:val="right" w:pos="9026" w:leader="dot"/>
        </w:tabs>
      </w:pPr>
      <w:r>
        <w:t xml:space="preserve">Índice analítico</w:t>
      </w:r>
      <w:r>
        <w:tab/>
      </w:r>
      <w:r>
        <w:rPr>
          <w:color w:val="8A8A8A"/>
        </w:rPr>
        <w:t xml:space="preserve">102</w:t>
      </w:r>
    </w:p>
    <w:p>
      <w:pPr>
        <w:pStyle w:val="TocPart"/>
        <w:tabs>
          <w:tab w:val="right" w:pos="9026" w:leader="dot"/>
        </w:tabs>
      </w:pPr>
      <w:r>
        <w:t xml:space="preserve">Referencias</w:t>
      </w:r>
      <w:r>
        <w:tab/>
      </w:r>
      <w:r>
        <w:rPr>
          <w:color w:val="8A8A8A"/>
        </w:rPr>
        <w:t xml:space="preserve">104</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evidencia poblacional y umbrales, trayectoria, ficha clínica, equipos y comunicación de incertidumbre. La </w:t>
      </w:r>
      <w:r>
        <w:rPr>
          <w:b/>
          <w:bCs/>
        </w:rPr>
        <w:t xml:space="preserve">Parte IV</w:t>
      </w:r>
      <w:r>
        <w:t xml:space="preserve"> propone una epistemología operativa: inteligencia artificial, responsabilidad, el método HII-D, un cuaderno de ocho casos y la enseñanza de la metacognición clínica.</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ver cómo las capas del conocimiento se mezclan, se separan y deciden cosas reales sobre una persona real.</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 Las cuatro capas del conocimiento clínico y el movimiento transversal de reevaluación. Cada capa se apoya en la anterior, pero ninguna se deduce automáticamente de ella.</w:t>
            </w:r>
          </w:p>
        </w:tc>
      </w:tr>
    </w:tbl>
    <w:p>
      <w:pPr>
        <w:spacing w:after="60"/>
      </w:pPr>
    </w:p>
    <w:p>
      <w:pPr>
        <w:pStyle w:val="BodyJ"/>
      </w:pPr>
      <w:r>
        <w:t xml:space="preserve">Estas capas se mezclan con facilidad. Una nota puede escribir "neumonía aspirativa" donde sólo existen infiltrados pulmonares y un episodio de vómito; puede declarar "infección urinaria" ante bacteriuria en un paciente sondado sin evidencia clínica de infección;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1991).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poseen la misma solidez. Puede distinguirse un gradiente: dato directamente medido y verificable; observación profesional reproducible; relato consistente del paciente o tercero; dato heredado de una nota anterior; y ausencia inferida porque algo no fue registrado. Esta jerarquía no pretende desacreditar el relato.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771775"/>
                          </a:xfrm>
                          <a:prstGeom prst="rect">
                            <a:avLst/>
                          </a:prstGeom>
                        </pic:spPr>
                      </pic:pic>
                    </a:graphicData>
                  </a:graphic>
                </wp:inline>
              </w:drawing>
            </w:r>
          </w:p>
          <w:p>
            <w:pPr>
              <w:pStyle w:val="Caption"/>
            </w:pPr>
            <w:r>
              <w:t xml:space="preserve">Figura 2. Gradiente de facticidad: la solidez de un "hecho" clínico depende de su procedencia. Ninguna categoría es despreciable, pero cada una exige un lenguaje distinto.</w:t>
            </w:r>
          </w:p>
        </w:tc>
      </w:tr>
    </w:tbl>
    <w:p>
      <w:pPr>
        <w:spacing w:after="6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 El lenguaje debe impedir que ausencia de evidencia se transforme automáticamente en evidencia de ausencia.</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BodyJ"/>
      </w:pPr>
      <w:r>
        <w:t xml:space="preserve">Una medicina lúcida no promete eliminar toda incertidumbre. Promete distinguir sus fuentes, comunicar su alcance, proteger al paciente de sus consecuencias y revisar la conducta cuando el mundo entregue nueva información.</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1973;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El control puede consistir en releer datos, reformular el problema, buscar una alternativa, pedir una segunda opinión, posponer una decisión reversible, intensificar vigilancia o actuar pese a la duda cuando el costo de esperar es alto. La estrategia debe corresponder a la fuente de incertidumbre.</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(Aristotle, 2009).</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y convertirse en decisión por umbrales (capítulo 9), el tiempo que transforma el significado de los hechos (capítulo 10), la ficha que piensa o que fosiliza (capítulo 11) y el equipo donde el conocimiento circula, se degrada o se corrige, incluida la conversación con el paciente (capítulo 12).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De la evidencia a la decisión: poblaciones, umbrales y consecuencias</w:t>
      </w:r>
    </w:p>
    <w:p>
      <w:pPr>
        <w:pStyle w:val="BodyJ"/>
      </w:pPr>
      <w:r>
        <w:t xml:space="preserve">El ensayo clínico dice: "la reparación electiva de hernia incisional reduce la recurrencia obstructiva en pacientes comparables". La paciente de la cama 12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una convención comunitaria sobre riesgo inductivo —cuánta evidencia exigimos antes de aceptar un efecto—, exactamente lo que Rudner y Douglas describieron.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p>
      <w:pPr>
        <w:pStyle w:val="Heading3"/>
        <w:spacing w:after="120" w:before="280"/>
      </w:pPr>
      <w:r>
        <w:rPr>
          <w:rFonts w:ascii="Georgia" w:cs="Georgia" w:eastAsia="Georgia" w:hAnsi="Georgia"/>
          <w:b/>
          <w:bCs/>
          <w:color w:val="2B2B2B"/>
          <w:sz w:val="25"/>
          <w:szCs w:val="25"/>
        </w:rPr>
        <w:t xml:space="preserve">Tiempo y reversibilidad</w:t>
      </w:r>
    </w:p>
    <w:p>
      <w:pPr>
        <w:pStyle w:val="BodyJ"/>
      </w:pPr>
      <w:r>
        <w:t xml:space="preserve">La misma probabilidad conduce a decisiones distintas según el tiempo. Cuando el daño progresa rápidamente, el valor de esperar información disminuye. Cuando la conducta es reversible, puede iniciarse con un umbral menor y reevaluarse. Cuando es irreversible, la deliberación debe ser más exigente.</w:t>
      </w:r>
    </w:p>
    <w:p>
      <w:pPr>
        <w:pStyle w:val="BodyJ"/>
      </w:pPr>
      <w:r>
        <w:t xml:space="preserve">Una forma práctica de pensar incluye cinco dimensiones: probabilidad, magnitud del daño, velocidad de evolución, reversibilidad de la intervención y capacidad de vigilancia. La observación activa no es "no hacer nada" si incluye objetivos, plazos y criterios de escalamiento. Del mismo modo, iniciar tratamiento empírico no significa declarar certeza etiológica.</w:t>
      </w:r>
    </w:p>
    <w:p>
      <w:pPr>
        <w:pStyle w:val="Heading3"/>
        <w:spacing w:after="120" w:before="280"/>
      </w:pPr>
      <w:r>
        <w:rPr>
          <w:rFonts w:ascii="Georgia" w:cs="Georgia" w:eastAsia="Georgia" w:hAnsi="Georgia"/>
          <w:b/>
          <w:bCs/>
          <w:color w:val="2B2B2B"/>
          <w:sz w:val="25"/>
          <w:szCs w:val="25"/>
        </w:rPr>
        <w:t xml:space="preserve">Decisiones correctas con desenlaces adversos</w:t>
      </w:r>
    </w:p>
    <w:p>
      <w:pPr>
        <w:pStyle w:val="BodyJ"/>
      </w:pPr>
      <w:r>
        <w:t xml:space="preserve">Evaluar una decisión sólo por su resultado produce sesgo. Un médico puede actuar racionalmente con la información disponible y enfrentar un desenlace improbable. También puede tomar una decisión débil y obtener buen resultado por evolución favorable. La calidad debe juzgarse por proceso: representación, alternativas, estimación de consecuencias, comunicación, seguimiento y revisabilidad.</w:t>
      </w:r>
    </w:p>
    <w:p>
      <w:pPr>
        <w:pStyle w:val="BodyJ"/>
      </w:pPr>
      <w:r>
        <w:t xml:space="preserve">Esto tiene implicancias éticas. Reconocer incertidumbre no disminuye responsabilidad; la hace más precisa. El médico es responsable de buscar la información razonablemente accesible, interpretar con competencia, comunicar límites y establecer una estrategia de reevaluación. No es responsable de volver determinista un mundo que no lo es.</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Quote1"/>
      </w:pPr>
      <w:r>
        <w:t xml:space="preserve">La decisión clínica no exige convertir una probabilidad en certeza; exige justificar por qué, bajo esa probabilidad y esas consecuencias, actuar supera a no actuar.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TallerHead"/>
      </w:pPr>
      <w:r>
        <w:t xml:space="preserve">Taller 9.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mayoría de los clínicos estima intuitivamente 70–90%, porque la sensibilidad y la especificidad "suenan" altas: el error clásico de ignorar la probabilidad previa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7. El cálculo del Taller 9 en frecuencias naturales: de 270 resultados positivos, sólo 90 corresponden a la enfermedad. La probabilidad postest (33%) queda lejos de la certeza que la intuición atribuye a una "prueba positiva".</w:t>
            </w:r>
          </w:p>
        </w:tc>
      </w:tr>
    </w:tbl>
    <w:p>
      <w:pPr>
        <w:spacing w:after="60"/>
      </w:pPr>
    </w:p>
    <w:p>
      <w:pPr>
        <w:pStyle w:val="EnUnaFrase"/>
      </w:pPr>
      <w:r>
        <w:rPr>
          <w:b/>
          <w:bCs/>
        </w:rPr>
        <w:t xml:space="preserve">En una frase.</w:t>
      </w:r>
      <w:r>
        <w:t xml:space="preserve"> La evidencia no desciende intacta desde la población hacia el individuo: debe traducirse mediante inferencias explícitas, y la decisión final se toma por umbrales y consecuencias, no por certeza.</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¿Cuál es el umbral implícito de mi decisión: qué probabilidad de estar equivocado la haría cambiar?</w:t>
      </w:r>
    </w:p>
    <w:p>
      <w:pPr>
        <w:pStyle w:val="BodyJ"/>
        <w:numPr>
          <w:ilvl w:val="0"/>
          <w:numId w:val="15"/>
        </w:numPr>
      </w:pPr>
      <w:r>
        <w:t xml:space="preserve">¿Estoy exigiendo certeza diagnóstica donde bastaría compromiso práctico, o actuando para no tolerar una duda?</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10.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6"/>
        </w:numPr>
      </w:pPr>
      <w:r>
        <w:t xml:space="preserve">"Está mejor": ¿mejor que cuándo, en qué variable y a qué velocidad?</w:t>
      </w:r>
    </w:p>
    <w:p>
      <w:pPr>
        <w:pStyle w:val="BodyJ"/>
        <w:numPr>
          <w:ilvl w:val="0"/>
          <w:numId w:val="16"/>
        </w:numPr>
      </w:pPr>
      <w:r>
        <w:t xml:space="preserve">¿Qué predijo mi diagnóstico hace 48 horas, y la evolución lo confirmó o lo desmintió?</w:t>
      </w:r>
    </w:p>
    <w:p>
      <w:pPr>
        <w:pStyle w:val="BodyJ"/>
        <w:numPr>
          <w:ilvl w:val="0"/>
          <w:numId w:val="16"/>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1973).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BodyJ"/>
      </w:pPr>
      <w:r>
        <w:t xml:space="preserve">Escribir bien no es cosmética. Es una intervención sobre el razonamiento colectivo. La frase que mezcla capas puede perpetuar error; la que las distingue crea una oportunidad de corrección.</w:t>
      </w:r>
    </w:p>
    <w:p>
      <w:pPr>
        <w:pStyle w:val="TallerHead"/>
      </w:pPr>
      <w:r>
        <w:t xml:space="preserve">Taller 11.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7"/>
        </w:numPr>
      </w:pPr>
      <w:r>
        <w:t xml:space="preserve">¿Qué párrafo de mi evolución de hoy es copia de ayer, y sigue siendo verdad?</w:t>
      </w:r>
    </w:p>
    <w:p>
      <w:pPr>
        <w:pStyle w:val="BodyJ"/>
        <w:numPr>
          <w:ilvl w:val="0"/>
          <w:numId w:val="17"/>
        </w:numPr>
      </w:pPr>
      <w:r>
        <w:t xml:space="preserve">Si yo no estuviera mañana, ¿el médico que me reemplace sabría por mi nota qué vigilar y qué reabriría el caso?</w:t>
      </w:r>
    </w:p>
    <w:p>
      <w:pPr>
        <w:pStyle w:val="BodyJ"/>
        <w:numPr>
          <w:ilvl w:val="0"/>
          <w:numId w:val="17"/>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8"/>
        </w:numPr>
      </w:pPr>
      <w:r>
        <w:rPr>
          <w:b/>
          <w:bCs/>
        </w:rPr>
        <w:t xml:space="preserve">Qué sabemos</w:t>
      </w:r>
      <w:r>
        <w:t xml:space="preserve">: hallazgos confirmados y su relevancia.</w:t>
      </w:r>
    </w:p>
    <w:p>
      <w:pPr>
        <w:pStyle w:val="BodyJ"/>
        <w:numPr>
          <w:ilvl w:val="0"/>
          <w:numId w:val="18"/>
        </w:numPr>
      </w:pPr>
      <w:r>
        <w:rPr>
          <w:b/>
          <w:bCs/>
        </w:rPr>
        <w:t xml:space="preserve">Qué creemos</w:t>
      </w:r>
      <w:r>
        <w:t xml:space="preserve">: explicación principal y alternativas importantes.</w:t>
      </w:r>
    </w:p>
    <w:p>
      <w:pPr>
        <w:pStyle w:val="BodyJ"/>
        <w:numPr>
          <w:ilvl w:val="0"/>
          <w:numId w:val="18"/>
        </w:numPr>
      </w:pPr>
      <w:r>
        <w:rPr>
          <w:b/>
          <w:bCs/>
        </w:rPr>
        <w:t xml:space="preserve">Qué no sabemos todavía</w:t>
      </w:r>
      <w:r>
        <w:t xml:space="preserve">: límites concretos.</w:t>
      </w:r>
    </w:p>
    <w:p>
      <w:pPr>
        <w:pStyle w:val="BodyJ"/>
        <w:numPr>
          <w:ilvl w:val="0"/>
          <w:numId w:val="18"/>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12.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19"/>
        </w:numPr>
      </w:pPr>
      <w:r>
        <w:t xml:space="preserve">¿Qué observó enfermería en las últimas 24 horas que no pasó por mi evaluación?</w:t>
      </w:r>
    </w:p>
    <w:p>
      <w:pPr>
        <w:pStyle w:val="BodyJ"/>
        <w:numPr>
          <w:ilvl w:val="0"/>
          <w:numId w:val="19"/>
        </w:numPr>
      </w:pPr>
      <w:r>
        <w:t xml:space="preserve">En mi último desacuerdo clínico, ¿discrepábamos en hechos, inferencias, incertidumbre, valores o umbral?</w:t>
      </w:r>
    </w:p>
    <w:p>
      <w:pPr>
        <w:pStyle w:val="BodyJ"/>
        <w:numPr>
          <w:ilvl w:val="0"/>
          <w:numId w:val="19"/>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14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al espejo nuevo de la inteligencia artificial (capítulo 13) y frente a la responsabilidad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Inteligencia artificial como espejo del razonamiento</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La pregunta que este capítulo propone no es "¿acierta la máquina?", sino una más incómoda: ¿en qué se parece esa prosa fluida y segura a la que escribimos nosotros?</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Una diferencia central</w:t>
      </w:r>
    </w:p>
    <w:p>
      <w:pPr>
        <w:pStyle w:val="BodyJ"/>
      </w:pPr>
      <w:r>
        <w:t xml:space="preserve">El clínico responsable puede distinguir "lo vi", "lo infiero" y "no lo sé". Un modelo suele mezclar estas capas si el prompt no exige separación y si no tiene fuentes verificables. Puede transformar ausencia de información en un detalle probable, porque su objetivo generativo favorece continuidad.</w:t>
      </w:r>
    </w:p>
    <w:p>
      <w:pPr>
        <w:pStyle w:val="BodyJ"/>
      </w:pPr>
      <w:r>
        <w:t xml:space="preserve">La matriz HII-D permite auditar una respuesta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Esa pregunta ya tiene datos. La evidencia disponible muestra que la confianza verbalizada de los grandes modelos —el "estoy bastante seguro" que escriben— tiende a la sobreconfianza sistemática y se calibra mal, aun cuando algunas señales internas del modelo discriminan mejor de lo que su prosa deja ver (Kadavath et al., 2022; Xiong et al., 2024). La implicación práctica es idéntica a la del capítulo 5, aplicada ahora a la máquina: preguntarle a un modelo cuán seguro está no sustituye la verificación, igual que la seguridad de un colega no sustituye sus razones. La calibración se demuestra con series de predicciones y desenlaces, no con tono.</w:t>
      </w:r>
    </w:p>
    <w:p>
      <w:pPr>
        <w:pStyle w:val="BodyJ"/>
      </w:pPr>
      <w:r>
        <w:t xml:space="preserve">La OMS ha recomendado gobernanza, evaluación, transparencia y supervisión para modelos multimodales en salud, atendiendo riesgos de inexactitud, sesgo, privacidad y dependencia excesiva (World Health Organization, 2024). La supervisión humana no debe ser una firma ritual al final. Debe contar con tiempo, datos y autoridad para cuestionar.</w:t>
      </w:r>
    </w:p>
    <w:p>
      <w:pPr>
        <w:pStyle w:val="Heading3"/>
        <w:spacing w:after="120" w:before="280"/>
      </w:pPr>
      <w:r>
        <w:rPr>
          <w:rFonts w:ascii="Georgia" w:cs="Georgia" w:eastAsia="Georgia" w:hAnsi="Georgia"/>
          <w:b/>
          <w:bCs/>
          <w:color w:val="2B2B2B"/>
          <w:sz w:val="25"/>
          <w:szCs w:val="25"/>
        </w:rPr>
        <w:t xml:space="preserve">La IA como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0"/>
        </w:numPr>
      </w:pPr>
      <w:r>
        <w:t xml:space="preserve">Si uso IA en este caso, ¿qué dato de su respuesta verifiqué contra una fuente primaria antes de actuar?</w:t>
      </w:r>
    </w:p>
    <w:p>
      <w:pPr>
        <w:pStyle w:val="BodyJ"/>
        <w:numPr>
          <w:ilvl w:val="0"/>
          <w:numId w:val="20"/>
        </w:numPr>
      </w:pPr>
      <w:r>
        <w:t xml:space="preserve">¿Qué agregó el modelo que el caso no contenía?</w:t>
      </w:r>
    </w:p>
    <w:p>
      <w:pPr>
        <w:pStyle w:val="BodyJ"/>
        <w:numPr>
          <w:ilvl w:val="0"/>
          <w:numId w:val="20"/>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8.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Debe poder formularse: "aunque X no está demostrado, actúo porque…" o "aunque X es posible, no actúo todavía porque…". Esta frase obliga a distinguir compromiso práctico de certeza epistémica.</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me mataría al paciente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me mataría al paciente si me equivoco?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indicado.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del capítulo 8: sin usar nombres de sesgos y sin dejar que el desenlace conocido juzgue lo que era razonable saber en cada momento.</w:t>
      </w:r>
    </w:p>
    <w:p>
      <w:pPr>
        <w:pStyle w:val="BodyJ"/>
      </w:pPr>
      <w:r>
        <w:rPr>
          <w:i/>
          <w:iCs/>
        </w:rPr>
        <w:t xml:space="preserve">El caso.</w:t>
      </w:r>
      <w:r>
        <w:t xml:space="preserve"> Mujer de 82 años, traída de su casa por "compromiso del estado general". Nota de ingreso nocturno: "ITU en anciana, frecuente en ella según hija; orina de mal olor. Se inicia ceftriaxona". Día 2: "afebril, sigue decaída, ITU en tratamiento". Día 3: "evolución lenta, propia de la edad". Noche del día 3: hipotensión, abdomen agudo; laparotomía: colecistitis gangrenosa. Sobrevive tras UCI prolongada.</w:t>
      </w:r>
    </w:p>
    <w:p>
      <w:pPr>
        <w:pStyle w:val="BodyJ"/>
      </w:pPr>
      <w:r>
        <w:rPr>
          <w:i/>
          <w:iCs/>
        </w:rPr>
        <w:t xml:space="preserve">Reconstrucción por capas.</w:t>
      </w:r>
      <w:r>
        <w:t xml:space="preserve"> </w:t>
      </w:r>
      <w:r>
        <w:rPr>
          <w:b/>
          <w:bCs/>
        </w:rPr>
        <w:t xml:space="preserve">Hechos disponibles el día 1:</w:t>
      </w:r>
      <w:r>
        <w:t xml:space="preserve"> compromiso general inespecífico (relato); "ITU frecuente" (dato heredado de la hija, nunca verificado en registros); orina de mal olor (observación de baja especificidad); sin fiebre documentada; abdomen "blando" en un examen nocturno no dirigido; sin laboratorio hepático solicitado. </w:t>
      </w:r>
      <w:r>
        <w:rPr>
          <w:b/>
          <w:bCs/>
        </w:rPr>
        <w:t xml:space="preserve">Inferencia del día 1:</w:t>
      </w:r>
      <w:r>
        <w:t xml:space="preserve"> "ITU" —formulada como hecho, no como hipótesis; fuerza real: posible, apoyada sobre todo en la frecuencia de la etiqueta en ancianas y en el dato heredado. </w:t>
      </w:r>
      <w:r>
        <w:rPr>
          <w:b/>
          <w:bCs/>
        </w:rPr>
        <w:t xml:space="preserve">Incertidumbre nunca escrita:</w:t>
      </w:r>
      <w:r>
        <w:t xml:space="preserve"> ¿qué explica el compromiso general si la orina no lo explica? (una anciana decaída "por ITU" sin fiebre ni sepsis urinaria es una historia que se cuenta mejor de lo que se sostiene). </w:t>
      </w:r>
      <w:r>
        <w:rPr>
          <w:b/>
          <w:bCs/>
        </w:rPr>
        <w:t xml:space="preserve">Decisión del día 1:</w:t>
      </w:r>
      <w:r>
        <w:t xml:space="preserve"> antibiótico razonable como apuesta empírica; el error no fue tratarla, fue tratarla </w:t>
      </w:r>
      <w:r>
        <w:rPr>
          <w:i/>
          <w:iCs/>
        </w:rPr>
        <w:t xml:space="preserve">sin criterio de reapertura</w:t>
      </w:r>
      <w:r>
        <w:t xml:space="preserve">: ninguna nota decía qué evolución obligaría a reexaminar.</w:t>
      </w:r>
    </w:p>
    <w:p>
      <w:pPr>
        <w:pStyle w:val="BodyJ"/>
      </w:pPr>
      <w:r>
        <w:rPr>
          <w:i/>
          <w:iCs/>
        </w:rPr>
        <w:t xml:space="preserve">Dónde estuvo la oportunidad.</w:t>
      </w:r>
      <w:r>
        <w:t xml:space="preserve"> El día 2, "afebril pero sigue decaída" era una discordancia informativa: el tratamiento correcto de la hipótesis correcta debía producir mejoría del estado general, no sólo apirexia. La reinterpretación ("evolución lenta, propia de la edad") inmunizó la hipótesis justo cuando la evolución la estaba degradando. Un examen abdominal dirigido, un perfil hepático o la simple pregunta de pase de visita —"¿qué no explica la ITU?"— tenían, ese día, su máximo valor. El día 3 la pregunta ya era innecesaria: el abdomen la respondió solo.</w:t>
      </w:r>
    </w:p>
    <w:p>
      <w:pPr>
        <w:pStyle w:val="BodyJ"/>
      </w:pPr>
      <w:r>
        <w:rPr>
          <w:i/>
          <w:iCs/>
        </w:rPr>
        <w:t xml:space="preserve">Lo que no debe concluirse.</w:t>
      </w:r>
      <w:r>
        <w:t xml:space="preserve"> El desenlace no demuestra que el equipo fuera incompetente, ni que toda "ITU en anciana" esconda una colecistitis. Con la información del día 1, la ITU era una apuesta empírica defendible. Lo indefendible era la arquitectura: un dato heredado con autoridad de hecho, una etiqueta que absorbió el caso, ninguna incertidumbre registrada, ninguna condición de reapertura. El mismo proceso, con desenlace benigno (una ITU real que respondía), habría dejado la misma vulnerabilidad instalada para la próxima paciente.</w:t>
      </w:r>
    </w:p>
    <w:p>
      <w:pPr>
        <w:pStyle w:val="BodyJ"/>
      </w:pPr>
      <w:r>
        <w:rPr>
          <w:i/>
          <w:iCs/>
        </w:rPr>
        <w:t xml:space="preserve">Frase medular (la que faltó el día 1):</w:t>
      </w:r>
      <w:r>
        <w:t xml:space="preserve"> "Compromiso del estado general no explicado en mujer de 82 años; bacteriuria posible como causa, no demostrada —tratamiento empírico iniciado. El decaimiento no tiene aún explicación suficiente: reexaminar abdomen y ampliar estudio si no hay mejoría global en 48 horas."</w:t>
      </w:r>
    </w:p>
    <w:p>
      <w:pPr>
        <w:pStyle w:val="BodyJ"/>
      </w:pPr>
      <w:r>
        <w:rPr>
          <w:i/>
          <w:iCs/>
        </w:rPr>
        <w:t xml:space="preserve">Lectura metacognitiva.</w:t>
      </w:r>
      <w:r>
        <w:t xml:space="preserve"> Nótese que la frase que faltó no requería más conocimiento médico, más tiempo ni más exámenes esa noche. Requería una disciplina de escritura: separar el hecho (decaimiento no explicado) de la inferencia (bacteriuria posible), conservar la incertidumbre (explicación insuficiente) y programar la revisión (48 horas, criterio global). Es la demostración más dura de la tesis de este libro: la epistemología de una frase puede ser la diferencia entre un susto y una laparotomía de madrugada.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(ronda, ficha, revisión de errores) cambiaría primero, y qué costaría?</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La inteligencia artificial vuelve esta exigencia aún más visible. La plausibilidad verbal puede separarse de la verdad. Por ello, tanto ante una respuesta automática como ante nuestra propia narrativa, debemos preguntar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Preferencias del paciente.</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5"/>
        </w:numPr>
      </w:pPr>
      <w:r>
        <w:t xml:space="preserve">¿Qué vi y qué me contaron? (un hecho decisivo, con fuente)</w:t>
      </w:r>
    </w:p>
    <w:p>
      <w:pPr>
        <w:pStyle w:val="BodyJ"/>
        <w:numPr>
          <w:ilvl w:val="0"/>
          <w:numId w:val="25"/>
        </w:numPr>
      </w:pPr>
      <w:r>
        <w:t xml:space="preserve">¿Qué creo y cuánto derecho tengo a creerlo? (inferencia con grado)</w:t>
      </w:r>
    </w:p>
    <w:p>
      <w:pPr>
        <w:pStyle w:val="BodyJ"/>
        <w:numPr>
          <w:ilvl w:val="0"/>
          <w:numId w:val="25"/>
        </w:numPr>
      </w:pPr>
      <w:r>
        <w:t xml:space="preserve">¿Qué le haría daño al paciente si estoy equivocado? (la incertidumbre peligrosa)</w:t>
      </w:r>
    </w:p>
    <w:p>
      <w:pPr>
        <w:pStyle w:val="BodyJ"/>
        <w:numPr>
          <w:ilvl w:val="0"/>
          <w:numId w:val="25"/>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6"/>
        </w:numPr>
      </w:pPr>
      <w:r>
        <w:t xml:space="preserve">¿Puedo describir el caso sin usar el diagnóstico actual?</w:t>
      </w:r>
    </w:p>
    <w:p>
      <w:pPr>
        <w:pStyle w:val="BodyJ"/>
        <w:numPr>
          <w:ilvl w:val="0"/>
          <w:numId w:val="26"/>
        </w:numPr>
      </w:pPr>
      <w:r>
        <w:t xml:space="preserve">¿Qué dato sostiene más mi conclusión?</w:t>
      </w:r>
    </w:p>
    <w:p>
      <w:pPr>
        <w:pStyle w:val="BodyJ"/>
        <w:numPr>
          <w:ilvl w:val="0"/>
          <w:numId w:val="26"/>
        </w:numPr>
      </w:pPr>
      <w:r>
        <w:t xml:space="preserve">¿Ese dato es específico o sólo compatible?</w:t>
      </w:r>
    </w:p>
    <w:p>
      <w:pPr>
        <w:pStyle w:val="BodyJ"/>
        <w:numPr>
          <w:ilvl w:val="0"/>
          <w:numId w:val="26"/>
        </w:numPr>
      </w:pPr>
      <w:r>
        <w:t xml:space="preserve">¿Qué hallazgo no encaja?</w:t>
      </w:r>
    </w:p>
    <w:p>
      <w:pPr>
        <w:pStyle w:val="BodyJ"/>
        <w:numPr>
          <w:ilvl w:val="0"/>
          <w:numId w:val="26"/>
        </w:numPr>
      </w:pPr>
      <w:r>
        <w:t xml:space="preserve">¿Qué información estoy suponiendo que fue verificada?</w:t>
      </w:r>
    </w:p>
    <w:p>
      <w:pPr>
        <w:pStyle w:val="BodyJ"/>
        <w:numPr>
          <w:ilvl w:val="0"/>
          <w:numId w:val="26"/>
        </w:numPr>
      </w:pPr>
      <w:r>
        <w:t xml:space="preserve">¿Qué alternativa cambiaría la conducta inmediata?</w:t>
      </w:r>
    </w:p>
    <w:p>
      <w:pPr>
        <w:pStyle w:val="BodyJ"/>
        <w:numPr>
          <w:ilvl w:val="0"/>
          <w:numId w:val="26"/>
        </w:numPr>
      </w:pPr>
      <w:r>
        <w:t xml:space="preserve">¿Estoy usando la respuesta al tratamiento como prueba causal demasiado fuerte?</w:t>
      </w:r>
    </w:p>
    <w:p>
      <w:pPr>
        <w:pStyle w:val="BodyJ"/>
        <w:numPr>
          <w:ilvl w:val="0"/>
          <w:numId w:val="26"/>
        </w:numPr>
      </w:pPr>
      <w:r>
        <w:t xml:space="preserve">¿La gravedad es coherente con mi explicación?</w:t>
      </w:r>
    </w:p>
    <w:p>
      <w:pPr>
        <w:pStyle w:val="BodyJ"/>
        <w:numPr>
          <w:ilvl w:val="0"/>
          <w:numId w:val="26"/>
        </w:numPr>
      </w:pPr>
      <w:r>
        <w:t xml:space="preserve">¿Existe reconsulta, recurrencia o evolución inesperada?</w:t>
      </w:r>
    </w:p>
    <w:p>
      <w:pPr>
        <w:pStyle w:val="BodyJ"/>
        <w:numPr>
          <w:ilvl w:val="0"/>
          <w:numId w:val="26"/>
        </w:numPr>
      </w:pPr>
      <w:r>
        <w:t xml:space="preserve">¿Mi confianza proviene de evidencia o de familiaridad y fluidez?</w:t>
      </w:r>
    </w:p>
    <w:p>
      <w:pPr>
        <w:pStyle w:val="BodyJ"/>
        <w:numPr>
          <w:ilvl w:val="0"/>
          <w:numId w:val="26"/>
        </w:numPr>
      </w:pPr>
      <w:r>
        <w:t xml:space="preserve">¿Cuál es el costo de esperar y cuál el costo de actuar?</w:t>
      </w:r>
    </w:p>
    <w:p>
      <w:pPr>
        <w:pStyle w:val="BodyJ"/>
        <w:numPr>
          <w:ilvl w:val="0"/>
          <w:numId w:val="26"/>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w:t>
      </w:r>
    </w:p>
    <w:p>
      <w:pPr>
        <w:pStyle w:val="BodyJ"/>
        <w:numPr>
          <w:ilvl w:val="0"/>
          <w:numId w:val="6"/>
        </w:numPr>
      </w:pPr>
      <w:r>
        <w:t xml:space="preserve">Anclaje — 7, 10, CC (viñeta 8)</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12, 14</w:t>
      </w:r>
    </w:p>
    <w:p>
      <w:pPr>
        <w:pStyle w:val="BodyJ"/>
        <w:numPr>
          <w:ilvl w:val="0"/>
          <w:numId w:val="6"/>
        </w:numPr>
      </w:pPr>
      <w:r>
        <w:t xml:space="preserve">Calibración — 5, 15, 16, Ap C</w:t>
      </w:r>
    </w:p>
    <w:p>
      <w:pPr>
        <w:pStyle w:val="BodyJ"/>
        <w:numPr>
          <w:ilvl w:val="0"/>
          <w:numId w:val="6"/>
        </w:numPr>
      </w:pPr>
      <w:r>
        <w:t xml:space="preserve">Carga teórica de la observación — 1</w:t>
      </w:r>
    </w:p>
    <w:p>
      <w:pPr>
        <w:pStyle w:val="BodyJ"/>
        <w:numPr>
          <w:ilvl w:val="0"/>
          <w:numId w:val="6"/>
        </w:numPr>
      </w:pPr>
      <w:r>
        <w:t xml:space="preserve">Cierre prematuro — 7, CC (viñeta 8)</w:t>
      </w:r>
    </w:p>
    <w:p>
      <w:pPr>
        <w:pStyle w:val="BodyJ"/>
        <w:numPr>
          <w:ilvl w:val="0"/>
          <w:numId w:val="6"/>
        </w:numPr>
      </w:pPr>
      <w:r>
        <w:t xml:space="preserve">Cognición distribuida — 12</w:t>
      </w:r>
    </w:p>
    <w:p>
      <w:pPr>
        <w:pStyle w:val="BodyJ"/>
        <w:numPr>
          <w:ilvl w:val="0"/>
          <w:numId w:val="6"/>
        </w:numPr>
      </w:pPr>
      <w:r>
        <w:t xml:space="preserve">Comunicación de incertidumbre — 12, 14, CC (viñeta 7)</w:t>
      </w:r>
    </w:p>
    <w:p>
      <w:pPr>
        <w:pStyle w:val="BodyJ"/>
        <w:numPr>
          <w:ilvl w:val="0"/>
          <w:numId w:val="6"/>
        </w:numPr>
      </w:pPr>
      <w:r>
        <w:t xml:space="preserve">Conocimiento tácito — 6</w:t>
      </w:r>
    </w:p>
    <w:p>
      <w:pPr>
        <w:pStyle w:val="BodyJ"/>
        <w:numPr>
          <w:ilvl w:val="0"/>
          <w:numId w:val="6"/>
        </w:numPr>
      </w:pPr>
      <w:r>
        <w:t xml:space="preserve">Contrafactuales — 10</w:t>
      </w:r>
    </w:p>
    <w:p>
      <w:pPr>
        <w:pStyle w:val="BodyJ"/>
        <w:numPr>
          <w:ilvl w:val="0"/>
          <w:numId w:val="6"/>
        </w:numPr>
      </w:pPr>
      <w:r>
        <w:t xml:space="preserve">Copiado de notas (fósil narrativo) — 11, Ap C</w:t>
      </w:r>
    </w:p>
    <w:p>
      <w:pPr>
        <w:pStyle w:val="BodyJ"/>
        <w:numPr>
          <w:ilvl w:val="0"/>
          <w:numId w:val="6"/>
        </w:numPr>
      </w:pPr>
      <w:r>
        <w:t xml:space="preserve">Creatividad en el juicio clínico (abducción, problem setting, tercera opción) — 2</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12, 14, Interludio III</w:t>
      </w:r>
    </w:p>
    <w:p>
      <w:pPr>
        <w:pStyle w:val="BodyJ"/>
        <w:numPr>
          <w:ilvl w:val="0"/>
          <w:numId w:val="6"/>
        </w:numPr>
      </w:pPr>
      <w:r>
        <w:t xml:space="preserve">Densidad epistémica — 4</w:t>
      </w:r>
    </w:p>
    <w:p>
      <w:pPr>
        <w:pStyle w:val="BodyJ"/>
        <w:numPr>
          <w:ilvl w:val="0"/>
          <w:numId w:val="6"/>
        </w:numPr>
      </w:pPr>
      <w:r>
        <w:t xml:space="preserve">Desaceleración selectiva — 8, Interludio II</w:t>
      </w:r>
    </w:p>
    <w:p>
      <w:pPr>
        <w:pStyle w:val="BodyJ"/>
        <w:numPr>
          <w:ilvl w:val="0"/>
          <w:numId w:val="6"/>
        </w:numPr>
      </w:pPr>
      <w:r>
        <w:t xml:space="preserve">Desacuerdo clínico — 12, Interludio III</w:t>
      </w:r>
    </w:p>
    <w:p>
      <w:pPr>
        <w:pStyle w:val="BodyJ"/>
        <w:numPr>
          <w:ilvl w:val="0"/>
          <w:numId w:val="6"/>
        </w:numPr>
      </w:pPr>
      <w:r>
        <w:t xml:space="preserve">Doble proceso — 6</w:t>
      </w:r>
    </w:p>
    <w:p>
      <w:pPr>
        <w:pStyle w:val="BodyJ"/>
        <w:numPr>
          <w:ilvl w:val="0"/>
          <w:numId w:val="6"/>
        </w:numPr>
      </w:pPr>
      <w:r>
        <w:t xml:space="preserve">Errores asimétricos — 9, CC (viñeta 5)</w:t>
      </w:r>
    </w:p>
    <w:p>
      <w:pPr>
        <w:pStyle w:val="BodyJ"/>
        <w:numPr>
          <w:ilvl w:val="0"/>
          <w:numId w:val="6"/>
        </w:numPr>
      </w:pPr>
      <w:r>
        <w:t xml:space="preserve">Falsabilidad del método HII-D — 15</w:t>
      </w:r>
    </w:p>
    <w:p>
      <w:pPr>
        <w:pStyle w:val="BodyJ"/>
        <w:numPr>
          <w:ilvl w:val="0"/>
          <w:numId w:val="6"/>
        </w:numPr>
      </w:pPr>
      <w:r>
        <w:t xml:space="preserve">Evidencia poblacional y particularización — 9</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11</w:t>
      </w:r>
    </w:p>
    <w:p>
      <w:pPr>
        <w:pStyle w:val="BodyJ"/>
        <w:numPr>
          <w:ilvl w:val="0"/>
          <w:numId w:val="6"/>
        </w:numPr>
      </w:pPr>
      <w:r>
        <w:t xml:space="preserve">Fichas clínicas y plantillas — 11, 16, Ap C</w:t>
      </w:r>
    </w:p>
    <w:p>
      <w:pPr>
        <w:pStyle w:val="BodyJ"/>
        <w:numPr>
          <w:ilvl w:val="0"/>
          <w:numId w:val="6"/>
        </w:numPr>
      </w:pPr>
      <w:r>
        <w:t xml:space="preserve">Frase medular — 4, 11, C, CC (todas las viñetas)</w:t>
      </w:r>
    </w:p>
    <w:p>
      <w:pPr>
        <w:pStyle w:val="BodyJ"/>
        <w:numPr>
          <w:ilvl w:val="0"/>
          <w:numId w:val="6"/>
        </w:numPr>
      </w:pPr>
      <w:r>
        <w:t xml:space="preserve">Frecuencias naturales — 2, 9, 12</w:t>
      </w:r>
    </w:p>
    <w:p>
      <w:pPr>
        <w:pStyle w:val="BodyJ"/>
        <w:numPr>
          <w:ilvl w:val="0"/>
          <w:numId w:val="6"/>
        </w:numPr>
      </w:pPr>
      <w:r>
        <w:t xml:space="preserve">Grados de facticidad — 1</w:t>
      </w:r>
    </w:p>
    <w:p>
      <w:pPr>
        <w:pStyle w:val="BodyJ"/>
        <w:numPr>
          <w:ilvl w:val="0"/>
          <w:numId w:val="6"/>
        </w:numPr>
      </w:pPr>
      <w:r>
        <w:t xml:space="preserve">Hindsight bias — 8, 10, 16, CC (viñeta 8)</w:t>
      </w:r>
    </w:p>
    <w:p>
      <w:pPr>
        <w:pStyle w:val="BodyJ"/>
        <w:numPr>
          <w:ilvl w:val="0"/>
          <w:numId w:val="6"/>
        </w:numPr>
      </w:pPr>
      <w:r>
        <w:t xml:space="preserve">HII-D (método) — 11, 15, Ap A; auditoría de IA con — 13</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Metacognición: definición y niveles — Int, 5; sensibilidad vs. sesgo — Int, 5; artificial — 13</w:t>
      </w:r>
    </w:p>
    <w:p>
      <w:pPr>
        <w:pStyle w:val="BodyJ"/>
        <w:numPr>
          <w:ilvl w:val="0"/>
          <w:numId w:val="6"/>
        </w:numPr>
      </w:pPr>
      <w:r>
        <w:t xml:space="preserve">Meta-d′ y medición de la metacognición — 5</w:t>
      </w:r>
    </w:p>
    <w:p>
      <w:pPr>
        <w:pStyle w:val="BodyJ"/>
        <w:numPr>
          <w:ilvl w:val="0"/>
          <w:numId w:val="6"/>
        </w:numPr>
      </w:pPr>
      <w:r>
        <w:t xml:space="preserve">Observación activa — 9, 10</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Pronóstico e incertidumbre de plazo — CC (viñeta 7)</w:t>
      </w:r>
    </w:p>
    <w:p>
      <w:pPr>
        <w:pStyle w:val="BodyJ"/>
        <w:numPr>
          <w:ilvl w:val="0"/>
          <w:numId w:val="6"/>
        </w:numPr>
      </w:pPr>
      <w:r>
        <w:t xml:space="preserve">Pruebas severas (Popper) — 2</w:t>
      </w:r>
    </w:p>
    <w:p>
      <w:pPr>
        <w:pStyle w:val="BodyJ"/>
        <w:numPr>
          <w:ilvl w:val="0"/>
          <w:numId w:val="6"/>
        </w:numPr>
      </w:pPr>
      <w:r>
        <w:t xml:space="preserve">Puntos de inflexión — 10, Interludio III</w:t>
      </w:r>
    </w:p>
    <w:p>
      <w:pPr>
        <w:pStyle w:val="BodyJ"/>
        <w:numPr>
          <w:ilvl w:val="0"/>
          <w:numId w:val="6"/>
        </w:numPr>
      </w:pPr>
      <w:r>
        <w:t xml:space="preserve">Representación del problema — Int, 2, 8, 16</w:t>
      </w:r>
    </w:p>
    <w:p>
      <w:pPr>
        <w:pStyle w:val="BodyJ"/>
        <w:numPr>
          <w:ilvl w:val="0"/>
          <w:numId w:val="6"/>
        </w:numPr>
      </w:pPr>
      <w:r>
        <w:t xml:space="preserve">Riesgo inductivo (Rudner, Douglas) — 9</w:t>
      </w:r>
    </w:p>
    <w:p>
      <w:pPr>
        <w:pStyle w:val="BodyJ"/>
        <w:numPr>
          <w:ilvl w:val="0"/>
          <w:numId w:val="6"/>
        </w:numPr>
      </w:pPr>
      <w:r>
        <w:t xml:space="preserve">Safety-netting — 10, CC (viñetas 5 y 6)</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w:t>
      </w:r>
    </w:p>
    <w:p>
      <w:pPr>
        <w:pStyle w:val="BodyJ"/>
        <w:numPr>
          <w:ilvl w:val="0"/>
          <w:numId w:val="6"/>
        </w:numPr>
      </w:pPr>
      <w:r>
        <w:t xml:space="preserve">Trayectoria y temporalidad — 10, Interludio I</w:t>
      </w:r>
    </w:p>
    <w:p>
      <w:pPr>
        <w:pStyle w:val="BodyJ"/>
        <w:numPr>
          <w:ilvl w:val="0"/>
          <w:numId w:val="6"/>
        </w:numPr>
      </w:pPr>
      <w:r>
        <w:t xml:space="preserve">Umbrales de decisión — 9, Interludio III, CC (viñeta 5)</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Aristotle. (2009). </w:t>
      </w:r>
      <w:r>
        <w:rPr>
          <w:i/>
          <w:iCs/>
        </w:rPr>
        <w:t xml:space="preserve">The Nicomachean Ethics</w:t>
      </w:r>
      <w:r>
        <w:t xml:space="preserve"> (D. Ross, Trans.; L. Brown, Rev.). Oxford University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(1991). </w:t>
      </w:r>
      <w:r>
        <w:rPr>
          <w:i/>
          <w:iCs/>
        </w:rPr>
        <w:t xml:space="preserve">The Normal and the Pathological</w:t>
      </w:r>
      <w:r>
        <w:t xml:space="preserve">. Zone Books.</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(1973). </w:t>
      </w:r>
      <w:r>
        <w:rPr>
          <w:i/>
          <w:iCs/>
        </w:rPr>
        <w:t xml:space="preserve">The Birth of the Clinic: An Archaeology of Medical Perception</w:t>
      </w:r>
      <w:r>
        <w:t xml:space="preserve"> (A. M. Sheridan Smith, Trans.). Vintage Books.</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The Enigma of Health: The Art of Healing in a Scientific Age</w:t>
      </w:r>
      <w:r>
        <w:t xml:space="preserve"> (J. Gaiger &amp; N. Walker, Trans.). Stanford University Press.</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Groopman, J. (2007). </w:t>
      </w:r>
      <w:r>
        <w:rPr>
          <w:i/>
          <w:iCs/>
        </w:rPr>
        <w:t xml:space="preserve">How Doctors Think</w:t>
      </w:r>
      <w:r>
        <w:t xml:space="preserve">. Houghton Mifflin.</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2b35fbffd35afed7770af47cbf0e6a2d4e4873.png"/><Relationship Id="rId10" Type="http://schemas.openxmlformats.org/officeDocument/2006/relationships/image" Target="media/f0140b60d6188c48a2f37a9874c989e4df8a113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147914b6ed22858813c6914a5f828116ebfd39b0.png"/><Relationship Id="rId16" Type="http://schemas.openxmlformats.org/officeDocument/2006/relationships/image" Target="media/4040ee3bac2dc1ccc36a8793c1f87e53f1ba14e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2026-08-09T01:45:20.442Z</dcterms:created>
  <dcterms:modified xsi:type="dcterms:W3CDTF">2026-08-09T01:45:20.443Z</dcterms:modified>
</cp:coreProperties>
</file>

<file path=docProps/custom.xml><?xml version="1.0" encoding="utf-8"?>
<Properties xmlns="http://schemas.openxmlformats.org/officeDocument/2006/custom-properties" xmlns:vt="http://schemas.openxmlformats.org/officeDocument/2006/docPropsVTypes"/>
</file>