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Las escenas narradas en primera persona condensan experiencias reales del autor y situaciones clínicas compuestas: conservan el conflicto cognitivo y moral que las originó, pero no reproducen literalmente un único episodio ni permiten identificar pacientes, familiares, profesionales o instituciones; los datos, circunstancias y trayectorias fueron modificados y combinados con fines docentes. Lo mismo vale para todas las viñetas clínicas del libro. Carmen es un personaje clínico compuesto, construido para acompañar el argumento; no corresponde a una paciente identificable.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5</w:t>
      </w:r>
    </w:p>
    <w:p>
      <w:pPr>
        <w:pStyle w:val="TocPart"/>
        <w:tabs>
          <w:tab w:val="right" w:pos="9026" w:leader="dot"/>
        </w:tabs>
      </w:pPr>
      <w:r>
        <w:t xml:space="preserve">PARTE I. Las capas del conocimiento clínico</w:t>
      </w:r>
      <w:r>
        <w:tab/>
      </w:r>
      <w:r>
        <w:rPr>
          <w:color w:val="8A8A8A"/>
        </w:rPr>
        <w:t xml:space="preserve">9</w:t>
      </w:r>
    </w:p>
    <w:p>
      <w:pPr>
        <w:pStyle w:val="TocEntry"/>
        <w:tabs>
          <w:tab w:val="right" w:pos="9026" w:leader="dot"/>
        </w:tabs>
      </w:pPr>
      <w:r>
        <w:t xml:space="preserve">Capítulo 1. El hecho clínico: observación, medición y procedencia</w:t>
      </w:r>
      <w:r>
        <w:tab/>
      </w:r>
      <w:r>
        <w:rPr>
          <w:color w:val="8A8A8A"/>
        </w:rPr>
        <w:t xml:space="preserve">10</w:t>
      </w:r>
    </w:p>
    <w:p>
      <w:pPr>
        <w:pStyle w:val="TocEntry"/>
        <w:tabs>
          <w:tab w:val="right" w:pos="9026" w:leader="dot"/>
        </w:tabs>
      </w:pPr>
      <w:r>
        <w:t xml:space="preserve">Capítulo 2. Inferir: del signo a la explicación</w:t>
      </w:r>
      <w:r>
        <w:tab/>
      </w:r>
      <w:r>
        <w:rPr>
          <w:color w:val="8A8A8A"/>
        </w:rPr>
        <w:t xml:space="preserve">16</w:t>
      </w:r>
    </w:p>
    <w:p>
      <w:pPr>
        <w:pStyle w:val="TocEntry"/>
        <w:tabs>
          <w:tab w:val="right" w:pos="9026" w:leader="dot"/>
        </w:tabs>
      </w:pPr>
      <w:r>
        <w:t xml:space="preserve">Capítulo 3. Incertidumbre: una condición estructural</w:t>
      </w:r>
      <w:r>
        <w:tab/>
      </w:r>
      <w:r>
        <w:rPr>
          <w:color w:val="8A8A8A"/>
        </w:rPr>
        <w:t xml:space="preserve">22</w:t>
      </w:r>
    </w:p>
    <w:p>
      <w:pPr>
        <w:pStyle w:val="TocEntry"/>
        <w:tabs>
          <w:tab w:val="right" w:pos="9026" w:leader="dot"/>
        </w:tabs>
      </w:pPr>
      <w:r>
        <w:t xml:space="preserve">Capítulo 4. Lenguaje clínico y densidad epistémica</w:t>
      </w:r>
      <w:r>
        <w:tab/>
      </w:r>
      <w:r>
        <w:rPr>
          <w:color w:val="8A8A8A"/>
        </w:rPr>
        <w:t xml:space="preserve">26</w:t>
      </w:r>
    </w:p>
    <w:p>
      <w:pPr>
        <w:pStyle w:val="TocEntry"/>
        <w:tabs>
          <w:tab w:val="right" w:pos="9026" w:leader="dot"/>
        </w:tabs>
      </w:pPr>
      <w:r>
        <w:t xml:space="preserve">Interludio I. La ficha de Carmen</w:t>
      </w:r>
      <w:r>
        <w:tab/>
      </w:r>
      <w:r>
        <w:rPr>
          <w:color w:val="8A8A8A"/>
        </w:rPr>
        <w:t xml:space="preserve">32</w:t>
      </w:r>
    </w:p>
    <w:p>
      <w:pPr>
        <w:pStyle w:val="TocPart"/>
        <w:tabs>
          <w:tab w:val="right" w:pos="9026" w:leader="dot"/>
        </w:tabs>
      </w:pPr>
      <w:r>
        <w:t xml:space="preserve">PARTE II. La mente que se observa</w:t>
      </w:r>
      <w:r>
        <w:tab/>
      </w:r>
      <w:r>
        <w:rPr>
          <w:color w:val="8A8A8A"/>
        </w:rPr>
        <w:t xml:space="preserve">34</w:t>
      </w:r>
    </w:p>
    <w:p>
      <w:pPr>
        <w:pStyle w:val="TocEntry"/>
        <w:tabs>
          <w:tab w:val="right" w:pos="9026" w:leader="dot"/>
        </w:tabs>
      </w:pPr>
      <w:r>
        <w:t xml:space="preserve">Capítulo 5. Metacognición: monitorear y regular el propio juicio</w:t>
      </w:r>
      <w:r>
        <w:tab/>
      </w:r>
      <w:r>
        <w:rPr>
          <w:color w:val="8A8A8A"/>
        </w:rPr>
        <w:t xml:space="preserve">35</w:t>
      </w:r>
    </w:p>
    <w:p>
      <w:pPr>
        <w:pStyle w:val="TocEntry"/>
        <w:tabs>
          <w:tab w:val="right" w:pos="9026" w:leader="dot"/>
        </w:tabs>
      </w:pPr>
      <w:r>
        <w:t xml:space="preserve">Capítulo 6. Pericia, intuición y conocimiento tácito</w:t>
      </w:r>
      <w:r>
        <w:tab/>
      </w:r>
      <w:r>
        <w:rPr>
          <w:color w:val="8A8A8A"/>
        </w:rPr>
        <w:t xml:space="preserve">41</w:t>
      </w:r>
    </w:p>
    <w:p>
      <w:pPr>
        <w:pStyle w:val="TocEntry"/>
        <w:tabs>
          <w:tab w:val="right" w:pos="9026" w:leader="dot"/>
        </w:tabs>
      </w:pPr>
      <w:r>
        <w:t xml:space="preserve">Capítulo 7. Error, sesgo y ecología del diagnóstico</w:t>
      </w:r>
      <w:r>
        <w:tab/>
      </w:r>
      <w:r>
        <w:rPr>
          <w:color w:val="8A8A8A"/>
        </w:rPr>
        <w:t xml:space="preserve">45</w:t>
      </w:r>
    </w:p>
    <w:p>
      <w:pPr>
        <w:pStyle w:val="TocEntry"/>
        <w:tabs>
          <w:tab w:val="right" w:pos="9026" w:leader="dot"/>
        </w:tabs>
      </w:pPr>
      <w:r>
        <w:t xml:space="preserve">Capítulo 8. Desacelerar: cuándo, en qué estado y con qué mente</w:t>
      </w:r>
      <w:r>
        <w:tab/>
      </w:r>
      <w:r>
        <w:rPr>
          <w:color w:val="8A8A8A"/>
        </w:rPr>
        <w:t xml:space="preserve">49</w:t>
      </w:r>
    </w:p>
    <w:p>
      <w:pPr>
        <w:pStyle w:val="TocEntry"/>
        <w:tabs>
          <w:tab w:val="right" w:pos="9026" w:leader="dot"/>
        </w:tabs>
      </w:pPr>
      <w:r>
        <w:t xml:space="preserve">Interludio II. Lo que el equipo pensó</w:t>
      </w:r>
      <w:r>
        <w:tab/>
      </w:r>
      <w:r>
        <w:rPr>
          <w:color w:val="8A8A8A"/>
        </w:rPr>
        <w:t xml:space="preserve">55</w:t>
      </w:r>
    </w:p>
    <w:p>
      <w:pPr>
        <w:pStyle w:val="TocPart"/>
        <w:tabs>
          <w:tab w:val="right" w:pos="9026" w:leader="dot"/>
        </w:tabs>
      </w:pPr>
      <w:r>
        <w:t xml:space="preserve">PARTE III. Decidir en el tiempo y con otros</w:t>
      </w:r>
      <w:r>
        <w:tab/>
      </w:r>
      <w:r>
        <w:rPr>
          <w:color w:val="8A8A8A"/>
        </w:rPr>
        <w:t xml:space="preserve">57</w:t>
      </w:r>
    </w:p>
    <w:p>
      <w:pPr>
        <w:pStyle w:val="TocEntry"/>
        <w:tabs>
          <w:tab w:val="right" w:pos="9026" w:leader="dot"/>
        </w:tabs>
      </w:pPr>
      <w:r>
        <w:t xml:space="preserve">Capítulo 9. La evidencia y el caso singular</w:t>
      </w:r>
      <w:r>
        <w:tab/>
      </w:r>
      <w:r>
        <w:rPr>
          <w:color w:val="8A8A8A"/>
        </w:rPr>
        <w:t xml:space="preserve">58</w:t>
      </w:r>
    </w:p>
    <w:p>
      <w:pPr>
        <w:pStyle w:val="TocEntry"/>
        <w:tabs>
          <w:tab w:val="right" w:pos="9026" w:leader="dot"/>
        </w:tabs>
      </w:pPr>
      <w:r>
        <w:t xml:space="preserve">Capítulo 10. Decidir sin certeza: umbrales, valores y bioética</w:t>
      </w:r>
      <w:r>
        <w:tab/>
      </w:r>
      <w:r>
        <w:rPr>
          <w:color w:val="8A8A8A"/>
        </w:rPr>
        <w:t xml:space="preserve">62</w:t>
      </w:r>
    </w:p>
    <w:p>
      <w:pPr>
        <w:pStyle w:val="TocEntry"/>
        <w:tabs>
          <w:tab w:val="right" w:pos="9026" w:leader="dot"/>
        </w:tabs>
      </w:pPr>
      <w:r>
        <w:t xml:space="preserve">Capítulo 11. Temporalidad, trayectoria y razonamiento contrafactual</w:t>
      </w:r>
      <w:r>
        <w:tab/>
      </w:r>
      <w:r>
        <w:rPr>
          <w:color w:val="8A8A8A"/>
        </w:rPr>
        <w:t xml:space="preserve">69</w:t>
      </w:r>
    </w:p>
    <w:p>
      <w:pPr>
        <w:pStyle w:val="TocEntry"/>
        <w:tabs>
          <w:tab w:val="right" w:pos="9026" w:leader="dot"/>
        </w:tabs>
      </w:pPr>
      <w:r>
        <w:t xml:space="preserve">Capítulo 12. La ficha clínica como instrumento de pensamiento</w:t>
      </w:r>
      <w:r>
        <w:tab/>
      </w:r>
      <w:r>
        <w:rPr>
          <w:color w:val="8A8A8A"/>
        </w:rPr>
        <w:t xml:space="preserve">73</w:t>
      </w:r>
    </w:p>
    <w:p>
      <w:pPr>
        <w:pStyle w:val="TocEntry"/>
        <w:tabs>
          <w:tab w:val="right" w:pos="9026" w:leader="dot"/>
        </w:tabs>
      </w:pPr>
      <w:r>
        <w:t xml:space="preserve">Capítulo 13. Pensar con otros: equipos, desacuerdo y comunicación de la incertidumbre</w:t>
      </w:r>
      <w:r>
        <w:tab/>
      </w:r>
      <w:r>
        <w:rPr>
          <w:color w:val="8A8A8A"/>
        </w:rPr>
        <w:t xml:space="preserve">80</w:t>
      </w:r>
    </w:p>
    <w:p>
      <w:pPr>
        <w:pStyle w:val="TocEntry"/>
        <w:tabs>
          <w:tab w:val="right" w:pos="9026" w:leader="dot"/>
        </w:tabs>
      </w:pPr>
      <w:r>
        <w:t xml:space="preserve">Interludio III. La decisión de Carmen</w:t>
      </w:r>
      <w:r>
        <w:tab/>
      </w:r>
      <w:r>
        <w:rPr>
          <w:color w:val="8A8A8A"/>
        </w:rPr>
        <w:t xml:space="preserve">85</w:t>
      </w:r>
    </w:p>
    <w:p>
      <w:pPr>
        <w:pStyle w:val="TocPart"/>
        <w:tabs>
          <w:tab w:val="right" w:pos="9026" w:leader="dot"/>
        </w:tabs>
      </w:pPr>
      <w:r>
        <w:t xml:space="preserve">PARTE IV. Una epistemología operativa</w:t>
      </w:r>
      <w:r>
        <w:tab/>
      </w:r>
      <w:r>
        <w:rPr>
          <w:color w:val="8A8A8A"/>
        </w:rPr>
        <w:t xml:space="preserve">87</w:t>
      </w:r>
    </w:p>
    <w:p>
      <w:pPr>
        <w:pStyle w:val="TocEntry"/>
        <w:tabs>
          <w:tab w:val="right" w:pos="9026" w:leader="dot"/>
        </w:tabs>
      </w:pPr>
      <w:r>
        <w:t xml:space="preserve">Capítulo 14. Humildad epistémica y responsabilidad clínica</w:t>
      </w:r>
      <w:r>
        <w:tab/>
      </w:r>
      <w:r>
        <w:rPr>
          <w:color w:val="8A8A8A"/>
        </w:rPr>
        <w:t xml:space="preserve">88</w:t>
      </w:r>
    </w:p>
    <w:p>
      <w:pPr>
        <w:pStyle w:val="TocEntry"/>
        <w:tabs>
          <w:tab w:val="right" w:pos="9026" w:leader="dot"/>
        </w:tabs>
      </w:pPr>
      <w:r>
        <w:t xml:space="preserve">Capítulo 15. El método HII-D: una epistemología operativa</w:t>
      </w:r>
      <w:r>
        <w:tab/>
      </w:r>
      <w:r>
        <w:rPr>
          <w:color w:val="8A8A8A"/>
        </w:rPr>
        <w:t xml:space="preserve">94</w:t>
      </w:r>
    </w:p>
    <w:p>
      <w:pPr>
        <w:pStyle w:val="TocEntry"/>
        <w:tabs>
          <w:tab w:val="right" w:pos="9026" w:leader="dot"/>
        </w:tabs>
      </w:pPr>
      <w:r>
        <w:t xml:space="preserve">Cuaderno de casos. Ocho viñetas para una lectura metacognitiva</w:t>
      </w:r>
      <w:r>
        <w:tab/>
      </w:r>
      <w:r>
        <w:rPr>
          <w:color w:val="8A8A8A"/>
        </w:rPr>
        <w:t xml:space="preserve">101</w:t>
      </w:r>
    </w:p>
    <w:p>
      <w:pPr>
        <w:pStyle w:val="TocEntry"/>
        <w:tabs>
          <w:tab w:val="right" w:pos="9026" w:leader="dot"/>
        </w:tabs>
      </w:pPr>
      <w:r>
        <w:t xml:space="preserve">Capítulo 16. Enseñar y organizar la metacognición clínica</w:t>
      </w:r>
      <w:r>
        <w:tab/>
      </w:r>
      <w:r>
        <w:rPr>
          <w:color w:val="8A8A8A"/>
        </w:rPr>
        <w:t xml:space="preserve">110</w:t>
      </w:r>
    </w:p>
    <w:p>
      <w:pPr>
        <w:pStyle w:val="TocEntry"/>
        <w:tabs>
          <w:tab w:val="right" w:pos="9026" w:leader="dot"/>
        </w:tabs>
      </w:pPr>
      <w:r>
        <w:t xml:space="preserve">Capítulo 17. La inteligencia artificial en el proceso clínico: roles, riesgos y defensas</w:t>
      </w:r>
      <w:r>
        <w:tab/>
      </w:r>
      <w:r>
        <w:rPr>
          <w:color w:val="8A8A8A"/>
        </w:rPr>
        <w:t xml:space="preserve">114</w:t>
      </w:r>
    </w:p>
    <w:p>
      <w:pPr>
        <w:pStyle w:val="TocEntry"/>
        <w:tabs>
          <w:tab w:val="right" w:pos="9026" w:leader="dot"/>
        </w:tabs>
      </w:pPr>
      <w:r>
        <w:t xml:space="preserve">Capítulo 18. La palabra exacta: lo que la poesía sabe del juicio clínico</w:t>
      </w:r>
      <w:r>
        <w:tab/>
      </w:r>
      <w:r>
        <w:rPr>
          <w:color w:val="8A8A8A"/>
        </w:rPr>
        <w:t xml:space="preserve">122</w:t>
      </w:r>
    </w:p>
    <w:p>
      <w:pPr>
        <w:pStyle w:val="TocPart"/>
        <w:tabs>
          <w:tab w:val="right" w:pos="9026" w:leader="dot"/>
        </w:tabs>
      </w:pPr>
      <w:r>
        <w:t xml:space="preserve">Conclusión. Una medicina lúcida</w:t>
      </w:r>
      <w:r>
        <w:tab/>
      </w:r>
      <w:r>
        <w:rPr>
          <w:color w:val="8A8A8A"/>
        </w:rPr>
        <w:t xml:space="preserve">126</w:t>
      </w:r>
    </w:p>
    <w:p>
      <w:pPr>
        <w:pStyle w:val="TocPart"/>
        <w:tabs>
          <w:tab w:val="right" w:pos="9026" w:leader="dot"/>
        </w:tabs>
      </w:pPr>
      <w:r>
        <w:t xml:space="preserve">Apéndice A. Hoja HII-D para discusión de casos</w:t>
      </w:r>
      <w:r>
        <w:tab/>
      </w:r>
      <w:r>
        <w:rPr>
          <w:color w:val="8A8A8A"/>
        </w:rPr>
        <w:t xml:space="preserve">128</w:t>
      </w:r>
    </w:p>
    <w:p>
      <w:pPr>
        <w:pStyle w:val="TocPart"/>
        <w:tabs>
          <w:tab w:val="right" w:pos="9026" w:leader="dot"/>
        </w:tabs>
      </w:pPr>
      <w:r>
        <w:t xml:space="preserve">Apéndice B. Léxico de certeza y pausa diagnóstica</w:t>
      </w:r>
      <w:r>
        <w:tab/>
      </w:r>
      <w:r>
        <w:rPr>
          <w:color w:val="8A8A8A"/>
        </w:rPr>
        <w:t xml:space="preserve">130</w:t>
      </w:r>
    </w:p>
    <w:p>
      <w:pPr>
        <w:pStyle w:val="TocPart"/>
        <w:tabs>
          <w:tab w:val="right" w:pos="9026" w:leader="dot"/>
        </w:tabs>
      </w:pPr>
      <w:r>
        <w:t xml:space="preserve">Apéndice C. Guía de implementación en un servicio clínico</w:t>
      </w:r>
      <w:r>
        <w:tab/>
      </w:r>
      <w:r>
        <w:rPr>
          <w:color w:val="8A8A8A"/>
        </w:rPr>
        <w:t xml:space="preserve">132</w:t>
      </w:r>
    </w:p>
    <w:p>
      <w:pPr>
        <w:pStyle w:val="TocPart"/>
        <w:tabs>
          <w:tab w:val="right" w:pos="9026" w:leader="dot"/>
        </w:tabs>
      </w:pPr>
      <w:r>
        <w:t xml:space="preserve">Apéndice D. Las preguntas para la próxima visita</w:t>
      </w:r>
      <w:r>
        <w:tab/>
      </w:r>
      <w:r>
        <w:rPr>
          <w:color w:val="8A8A8A"/>
        </w:rPr>
        <w:t xml:space="preserve">135</w:t>
      </w:r>
    </w:p>
    <w:p>
      <w:pPr>
        <w:pStyle w:val="TocPart"/>
        <w:tabs>
          <w:tab w:val="right" w:pos="9026" w:leader="dot"/>
        </w:tabs>
      </w:pPr>
      <w:r>
        <w:t xml:space="preserve">Glosario</w:t>
      </w:r>
      <w:r>
        <w:tab/>
      </w:r>
      <w:r>
        <w:rPr>
          <w:color w:val="8A8A8A"/>
        </w:rPr>
        <w:t xml:space="preserve">139</w:t>
      </w:r>
    </w:p>
    <w:p>
      <w:pPr>
        <w:pStyle w:val="TocPart"/>
        <w:tabs>
          <w:tab w:val="right" w:pos="9026" w:leader="dot"/>
        </w:tabs>
      </w:pPr>
      <w:r>
        <w:t xml:space="preserve">Índice analítico</w:t>
      </w:r>
      <w:r>
        <w:tab/>
      </w:r>
      <w:r>
        <w:rPr>
          <w:color w:val="8A8A8A"/>
        </w:rPr>
        <w:t xml:space="preserve">144</w:t>
      </w:r>
    </w:p>
    <w:p>
      <w:pPr>
        <w:pStyle w:val="TocPart"/>
        <w:tabs>
          <w:tab w:val="right" w:pos="9026" w:leader="dot"/>
        </w:tabs>
      </w:pPr>
      <w:r>
        <w:t xml:space="preserve">Lista de figuras</w:t>
      </w:r>
      <w:r>
        <w:tab/>
      </w:r>
      <w:r>
        <w:rPr>
          <w:color w:val="8A8A8A"/>
        </w:rPr>
        <w:t xml:space="preserve">148</w:t>
      </w:r>
    </w:p>
    <w:p>
      <w:pPr>
        <w:pStyle w:val="TocPart"/>
        <w:tabs>
          <w:tab w:val="right" w:pos="9026" w:leader="dot"/>
        </w:tabs>
      </w:pPr>
      <w:r>
        <w:t xml:space="preserve">Nota metodológica y estatuto de las afirmaciones</w:t>
      </w:r>
      <w:r>
        <w:tab/>
      </w:r>
      <w:r>
        <w:rPr>
          <w:color w:val="8A8A8A"/>
        </w:rPr>
        <w:t xml:space="preserve">149</w:t>
      </w:r>
    </w:p>
    <w:p>
      <w:pPr>
        <w:pStyle w:val="TocPart"/>
        <w:tabs>
          <w:tab w:val="right" w:pos="9026" w:leader="dot"/>
        </w:tabs>
      </w:pPr>
      <w:r>
        <w:t xml:space="preserve">Referencias</w:t>
      </w:r>
      <w:r>
        <w:tab/>
      </w:r>
      <w:r>
        <w:rPr>
          <w:color w:val="8A8A8A"/>
        </w:rPr>
        <w:t xml:space="preserve">151</w:t>
      </w:r>
    </w:p>
    <w:p>
      <w:pPr>
        <w:pStyle w:val="TocPart"/>
        <w:tabs>
          <w:tab w:val="right" w:pos="9026" w:leader="dot"/>
        </w:tabs>
      </w:pPr>
      <w:r>
        <w:t xml:space="preserve">Tarjeta: HII-D en sesenta segundos</w:t>
      </w:r>
      <w:r>
        <w:tab/>
      </w:r>
      <w:r>
        <w:rPr>
          <w:color w:val="8A8A8A"/>
        </w:rPr>
        <w:t xml:space="preserve">161</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y verosímiles que saltaban sin escalas desde el vómito y la sombra radiológica hasta una infección bacteriana establecida. La frase viajó conmigo a la entrega de turno, de la entrega a la visita médica, de la visita a la epicrisis y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 turno.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es epistemológica antes que estilística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Hay que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sostuvo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la entrega de turno, la visita médica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la pausa —cuándo desacelerar, en qué estado y con qué mente—.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los equipos y la comunicación de la incertidumbre. La </w:t>
      </w:r>
      <w:r>
        <w:rPr>
          <w:b/>
          <w:bCs/>
        </w:rPr>
        <w:t xml:space="preserve">Parte IV</w:t>
      </w:r>
      <w:r>
        <w:t xml:space="preserve"> propone una epistemología operativa. La responsabilidad, incluido el miedo que también escribe; el método HII-D; un cuaderno de ocho casos; la enseñanza de la metacognición clínica; la inteligencia artificial en el proceso diagnóstico y terapéutico, con sus roles, sus riesgos y las defensas frente a ellos. Y un cierre desde la poesía chilena: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observar cómo las capas del conocimiento se mezclan, se separan y producen consecuencias clínicas reales en una persona concreta dentro del relato docente.</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Lea con un caso propio en mente. Las preguntas de cierre de cada capítulo están reunidas en el Apéndice D, y la versión de sesenta segundos del método, en la tarjeta de la última página.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BodyJ"/>
      </w:pPr>
      <w:r>
        <w:t xml:space="preserve">La Figura 1 resume la arquitectura: tres hilos que atraviesan las cuatro partes, y un caso que los atraviesa a todos.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3181350"/>
                          </a:xfrm>
                          <a:prstGeom prst="rect">
                            <a:avLst/>
                          </a:prstGeom>
                        </pic:spPr>
                      </pic:pic>
                    </a:graphicData>
                  </a:graphic>
                </wp:inline>
              </w:drawing>
            </w:r>
          </w:p>
          <w:p>
            <w:pPr>
              <w:pStyle w:val="Caption"/>
            </w:pPr>
            <w:r>
              <w:t xml:space="preserve">Figura 1. Mapa del libro. Tres hilos —las capas del conocimiento, el arco que va de la abducción a la humildad y el lenguaje que conserva o borra las capas— recorren las cuatro partes; los números remiten a capítulos. Carmen los atraviesa todos.</w:t>
            </w:r>
          </w:p>
        </w:tc>
      </w:tr>
    </w:tbl>
    <w:p>
      <w:pPr>
        <w:spacing w:after="60"/>
      </w:pP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treinta de cigarrillo y una cicatriz en la línea media que le cruza el abdomen desde una cirugía de hace una década. Sobre la cicatriz, una hernia incisional que ella conoce mejor que nadie: sabe qué comidas la distienden, sabe dormir de lado cuando «se le aprieta», sabe distinguir la molestia habitual del dolor que la obliga a ir a urgencias. Ha ingresado tres veces en el último año por episodios de suboclusión intestinal que cedieron con reposo digestivo y sonda nasogástrica. Esta madrugada llegó por cuarta vez, y algo es radicalmente distinto: está hipotensa, taquicárdica, con las rodillas moteadas y un lactato de 6 mmol/L. En la nota de ingreso, alguien escribió: «Paciente con hernia complicada conocida, cuadro habitual, se maneja de forma habitual».</w:t>
      </w:r>
    </w:p>
    <w:p>
      <w:pPr>
        <w:pStyle w:val="BodyJ"/>
      </w:pPr>
      <w:r>
        <w:t xml:space="preserve">Casi todo en esa frase suena razonable, y casi todo oculta el problema real. ¿Qué significa «conocida» cuando el comportamiento biológico acaba de cambiar? ¿Qué tiene de «habitual» una paciente que por primera vez ingresa en shock? ¿«Complicada» describe el atascamiento mecánico de los ingresos previos o la amenaza de isquemia y sepsis que enfrenta hoy? La frase no es falsa: es prematura. Comprime cuatro operaciones distintas —observar los signos de hipoperfusión, inferir la causa del deterioro, reconocer lo que la clínica aún no permite descartar y decidir una conducta proporcional al riesgo— en un gesto único que ya no deja ver sus partes. Este libro trata de esas cuatro operaciones, de cómo se confunden en el registro diario y de cómo volver a separarlas cuando importa. El libro vuelve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Este libro ordena ese trabajo en cuatro capas —lo observado, lo inferido, lo incierto y lo decidido— que la Figura 2 anticipa y que la Parte I desarrolla una por una.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571750"/>
                          </a:xfrm>
                          <a:prstGeom prst="rect">
                            <a:avLst/>
                          </a:prstGeom>
                        </pic:spPr>
                      </pic:pic>
                    </a:graphicData>
                  </a:graphic>
                </wp:inline>
              </w:drawing>
            </w:r>
          </w:p>
          <w:p>
            <w:pPr>
              <w:pStyle w:val="Caption"/>
            </w:pPr>
            <w:r>
              <w:t xml:space="preserve">Figura 2. Las cuatro capas del conocimiento clínico, la franja de incertidumbre que las atraviesa y el circuito de reevaluación que vuelve a la pregunta y a los hechos. La separación es funcional y gradual; no representa compartimentos ontológicos puros.</w:t>
            </w:r>
          </w:p>
        </w:tc>
      </w:tr>
    </w:tbl>
    <w:p>
      <w:pPr>
        <w:spacing w:after="60"/>
      </w:pPr>
    </w:p>
    <w:p>
      <w:pPr>
        <w:pStyle w:val="BodyJ"/>
      </w:pPr>
      <w:r>
        <w:t xml:space="preserve">Estas capas se mezclan con facilidad. Una nota puede declarar «infección urinaria» ante bacteriuria en un paciente sondado sin evidencia clínica de infección, o «descompensación cardiaca» donde sólo hay edema y una radiografía congestiva.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Una nota clínica comprime cuatro operaciones —observar, inferir, reconocer lo incierto, decidir— en un solo gesto; este libro enseña a separarlas cuando importa y a dejarlas juntas cuando no.</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de la mañana y, en la entrega de turno, el residente presenta a Carmen: «Paciente séptica de foco abdominal, con hernia complicada». El jefe de servicio mira la hoja de enfermería de urgencias y hace una sola pregunta: «¿Qué parte de esa frase la observó alguien directamente y qué parte la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se llama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BodyJ"/>
      </w:pPr>
      <w:r>
        <w:t xml:space="preserve">Antes de seguir, hay que precisar qué estatuto tiene entonces la palabra «hecho» en este libro, porque la carga teórica de la observación parece amenazar la distinción que organiza todo lo demás: si toda observación ya contiene conceptos, ¿dónde termina el hecho y empieza la inferencia? La respuesta es pragmática, no ontológica. «Hecho» es el estatus provisional que un equipo concede a una afirmación cuando acuerda no cuestionarla para la decisión en curso. «Lactato 6,0» es un hecho mientras nadie discuta el método ni la hora; deja de serlo en el instante en que la decisión dependa de si la muestra era venosa o estaba hemolizada, y entonces hay que bajar un nivel y volver a mirar. La frontera entre capas no es una línea en la naturaleza, sino una línea que el equipo traza, puede volver a trazar y debe poder mostrar dónde la trazó. Eso —y no compartimentos puros— es lo que la Figura 2 llama separación funcional y gradual.</w:t>
      </w:r>
    </w:p>
    <w:p>
      <w:pPr>
        <w:pStyle w:val="BodyJ"/>
      </w:pPr>
      <w:r>
        <w:t xml:space="preserve">Esta posición tiene un antecedente chileno que pide reconocerse con la precisión que su propio autor exigía. Maturana formuló en 1970 la frase que cualquier ficha debería llevar como advertencia: todo lo dicho es dicho por un observador (Maturana, 1970; Maturana &amp; Varela, 1984). Y propuso después distinguir dos objetividades. La «objetividad sin paréntesis» es la del que cree hablar de la realidad sin mediación y usa esa creencia como argumento para obligar al otro; la «objetividad entre paréntesis» admite que toda afirmación válida lo es dentro de un dominio de condiciones que el observador puede declarar (Maturana, 1990). El «quién lo observó, cómo y cuándo» de este capítulo y el léxico de certeza del capítulo 4 son objetividad entre paréntesis vuelta hábito de escritura. Dos aclaraciones, para que el préstamo no se convierta en coartada. El paréntesis no le quita realidad al lactato: la paciente está hipoperfundida la mida quien la mida, y donde el constructivismo de Maturana da el paso de disolver esa diferencia, este libro no lo acompaña. Y declarar al observador no vuelve relativa la observación: la vuelve auditable, que es lo contrario. La trazabilidad es el paréntesis puesto por escrito.</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este libro vuelve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(Hernández, Bellomo &amp; Bakker, 2019). La hiperlactatemia que persiste no siempre es hipoperfusión que persiste —puede ser estrés adrenérgico, menor aclaramiento u otra cosa—, y perseguir el número puede inducir más reanimación de la que el paciente tolera.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No es folclor narrativo; son tres hallazgos semiológicos de alto valor: pérdida de reductibilidad aguda, cambio en el carácter del dolor —que sugiere sufrimiento parietal o vascular más allá de la distensión luminal— y percepción de amenaza vital. La nota que los aplana en «dolor abdominal en paciente con hernia conocida» no ha mentido: ha destruido evidencia diagnóstica primaria.</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sostuvo que la medicina no describe simplemente desviaciones estadísticas: juzga relaciones entre el organismo, sus normas y su capacidad de habitar un medio (Canguilhem, 1971).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los hechos se registran de modo trazable en el tiempo. Una etiqueta como «shock séptico abdominal» fusiona estado fisiológico, etiología microbiológica y foco anatómico en un solo bloque. Una formulación limpia separa las capas y sus momentos: al ingreso, hipotensión con requerimiento de noradrenalina, lactato de 6,0 mmol/L y llene capilar de 5 segundos; episodio obstructivo clínico sobre hernia incisional, sin signos tomográficos de perforación ni isquemia; y, a las 14 horas de incubación, hemocultivos periféricos positivos para bacilos gramnegativos. Recién sobre esa arquitectura de datos puede sostenerse el foco abdominal por translocación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ofrecen la misma verificabilidad externa. Puede distinguirse un ordenamiento: dato directamente medido y verificable; observación profesional reproducible; relato consistente del paciente o tercero; dato heredado de una nota anterior; y ausencia inferida porque algo no fue registrado. Este ordenamiento no jerarquiza el valor de las fuentes ni desacredita el relato — para el dolor, el cambio respecto del basal y las preferencias del paciente, el testimonio es la fuente primaria y la más pertinente (el capítulo 14 vuelve sobre esto).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609850"/>
                          </a:xfrm>
                          <a:prstGeom prst="rect">
                            <a:avLst/>
                          </a:prstGeom>
                        </pic:spPr>
                      </pic:pic>
                    </a:graphicData>
                  </a:graphic>
                </wp:inline>
              </w:drawing>
            </w:r>
          </w:p>
          <w:p>
            <w:pPr>
              <w:pStyle w:val="Caption"/>
            </w:pPr>
            <w:r>
              <w:t xml:space="preserve">Figura 3. Fuentes del hecho clínico: el eje ordena por verificabilidad externa directa, no por valor. Ninguna categoría es despreciable; cada una ofrece un acceso privilegiado distinto y exige un lenguaje distinto.</w:t>
            </w:r>
          </w:p>
        </w:tc>
      </w:tr>
    </w:tbl>
    <w:p>
      <w:pPr>
        <w:spacing w:after="60"/>
      </w:pPr>
    </w:p>
    <w:p>
      <w:pPr>
        <w:pStyle w:val="BodyJ"/>
      </w:pPr>
      <w:r>
        <w:t xml:space="preserve">Cada fuente se lee por lo que sólo ella ofrece y por dónde suele fallar: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Fuente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Acceso privilegiado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Vulnerabilidad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Escritura recomendada</w:t>
            </w:r>
          </w:p>
        </w:tc>
      </w:tr>
      <w:tr>
        <w:tc>
          <w:tcPr>
            <w:tcW w:type="dxa" w:w="1750"/>
            <w:tcMar>
              <w:top w:type="dxa" w:w="60"/>
              <w:left w:type="dxa" w:w="100"/>
              <w:bottom w:type="dxa" w:w="60"/>
              <w:right w:type="dxa" w:w="100"/>
            </w:tcMar>
            <w:vAlign w:val="top"/>
          </w:tcPr>
          <w:p>
            <w:pPr>
              <w:spacing w:after="0"/>
            </w:pPr>
            <w:r>
              <w:rPr>
                <w:sz w:val="17"/>
                <w:szCs w:val="17"/>
              </w:rPr>
              <w:t xml:space="preserve">Medición instrumental</w:t>
            </w:r>
          </w:p>
        </w:tc>
        <w:tc>
          <w:tcPr>
            <w:tcW w:type="dxa" w:w="2150"/>
            <w:tcMar>
              <w:top w:type="dxa" w:w="60"/>
              <w:left w:type="dxa" w:w="100"/>
              <w:bottom w:type="dxa" w:w="60"/>
              <w:right w:type="dxa" w:w="100"/>
            </w:tcMar>
            <w:vAlign w:val="top"/>
          </w:tcPr>
          <w:p>
            <w:pPr>
              <w:spacing w:after="0"/>
            </w:pPr>
            <w:r>
              <w:rPr>
                <w:sz w:val="17"/>
                <w:szCs w:val="17"/>
              </w:rPr>
              <w:t xml:space="preserve">Cuantificación y tendencias</w:t>
            </w:r>
          </w:p>
        </w:tc>
        <w:tc>
          <w:tcPr>
            <w:tcW w:type="dxa" w:w="2560"/>
            <w:tcMar>
              <w:top w:type="dxa" w:w="60"/>
              <w:left w:type="dxa" w:w="100"/>
              <w:bottom w:type="dxa" w:w="60"/>
              <w:right w:type="dxa" w:w="100"/>
            </w:tcMar>
            <w:vAlign w:val="top"/>
          </w:tcPr>
          <w:p>
            <w:pPr>
              <w:spacing w:after="0"/>
            </w:pPr>
            <w:r>
              <w:rPr>
                <w:sz w:val="17"/>
                <w:szCs w:val="17"/>
              </w:rPr>
              <w:t xml:space="preserve">Error analítico, calibración, oportunidad</w:t>
            </w:r>
          </w:p>
        </w:tc>
        <w:tc>
          <w:tcPr>
            <w:tcW w:type="dxa" w:w="2560"/>
            <w:tcMar>
              <w:top w:type="dxa" w:w="60"/>
              <w:left w:type="dxa" w:w="100"/>
              <w:bottom w:type="dxa" w:w="60"/>
              <w:right w:type="dxa" w:w="100"/>
            </w:tcMar>
            <w:vAlign w:val="top"/>
          </w:tcPr>
          <w:p>
            <w:pPr>
              <w:spacing w:after="0"/>
            </w:pPr>
            <w:r>
              <w:rPr>
                <w:sz w:val="17"/>
                <w:szCs w:val="17"/>
              </w:rPr>
              <w:t xml:space="preserve">Método, fecha, unidad y tendencia</w:t>
            </w:r>
          </w:p>
        </w:tc>
      </w:tr>
      <w:tr>
        <w:tc>
          <w:tcPr>
            <w:tcW w:type="dxa" w:w="1750"/>
            <w:tcMar>
              <w:top w:type="dxa" w:w="60"/>
              <w:left w:type="dxa" w:w="100"/>
              <w:bottom w:type="dxa" w:w="60"/>
              <w:right w:type="dxa" w:w="100"/>
            </w:tcMar>
            <w:vAlign w:val="top"/>
          </w:tcPr>
          <w:p>
            <w:pPr>
              <w:spacing w:after="0"/>
            </w:pPr>
            <w:r>
              <w:rPr>
                <w:sz w:val="17"/>
                <w:szCs w:val="17"/>
              </w:rPr>
              <w:t xml:space="preserve">Observación profesional</w:t>
            </w:r>
          </w:p>
        </w:tc>
        <w:tc>
          <w:tcPr>
            <w:tcW w:type="dxa" w:w="2150"/>
            <w:tcMar>
              <w:top w:type="dxa" w:w="60"/>
              <w:left w:type="dxa" w:w="100"/>
              <w:bottom w:type="dxa" w:w="60"/>
              <w:right w:type="dxa" w:w="100"/>
            </w:tcMar>
            <w:vAlign w:val="top"/>
          </w:tcPr>
          <w:p>
            <w:pPr>
              <w:spacing w:after="0"/>
            </w:pPr>
            <w:r>
              <w:rPr>
                <w:sz w:val="17"/>
                <w:szCs w:val="17"/>
              </w:rPr>
              <w:t xml:space="preserve">Signos y patrones en contexto</w:t>
            </w:r>
          </w:p>
        </w:tc>
        <w:tc>
          <w:tcPr>
            <w:tcW w:type="dxa" w:w="2560"/>
            <w:tcMar>
              <w:top w:type="dxa" w:w="60"/>
              <w:left w:type="dxa" w:w="100"/>
              <w:bottom w:type="dxa" w:w="60"/>
              <w:right w:type="dxa" w:w="100"/>
            </w:tcMar>
            <w:vAlign w:val="top"/>
          </w:tcPr>
          <w:p>
            <w:pPr>
              <w:spacing w:after="0"/>
            </w:pPr>
            <w:r>
              <w:rPr>
                <w:sz w:val="17"/>
                <w:szCs w:val="17"/>
              </w:rPr>
              <w:t xml:space="preserve">Variabilidad interobservador</w:t>
            </w:r>
          </w:p>
        </w:tc>
        <w:tc>
          <w:tcPr>
            <w:tcW w:type="dxa" w:w="2560"/>
            <w:tcMar>
              <w:top w:type="dxa" w:w="60"/>
              <w:left w:type="dxa" w:w="100"/>
              <w:bottom w:type="dxa" w:w="60"/>
              <w:right w:type="dxa" w:w="100"/>
            </w:tcMar>
            <w:vAlign w:val="top"/>
          </w:tcPr>
          <w:p>
            <w:pPr>
              <w:spacing w:after="0"/>
            </w:pPr>
            <w:r>
              <w:rPr>
                <w:sz w:val="17"/>
                <w:szCs w:val="17"/>
              </w:rPr>
              <w:t xml:space="preserve">Quién observó, cuándo y en qué condiciones</w:t>
            </w:r>
          </w:p>
        </w:tc>
      </w:tr>
      <w:tr>
        <w:tc>
          <w:tcPr>
            <w:tcW w:type="dxa" w:w="1750"/>
            <w:tcMar>
              <w:top w:type="dxa" w:w="60"/>
              <w:left w:type="dxa" w:w="100"/>
              <w:bottom w:type="dxa" w:w="60"/>
              <w:right w:type="dxa" w:w="100"/>
            </w:tcMar>
            <w:vAlign w:val="top"/>
          </w:tcPr>
          <w:p>
            <w:pPr>
              <w:spacing w:after="0"/>
            </w:pPr>
            <w:r>
              <w:rPr>
                <w:sz w:val="17"/>
                <w:szCs w:val="17"/>
              </w:rPr>
              <w:t xml:space="preserve">Testimonio del paciente o del cuidador</w:t>
            </w:r>
          </w:p>
        </w:tc>
        <w:tc>
          <w:tcPr>
            <w:tcW w:type="dxa" w:w="2150"/>
            <w:tcMar>
              <w:top w:type="dxa" w:w="60"/>
              <w:left w:type="dxa" w:w="100"/>
              <w:bottom w:type="dxa" w:w="60"/>
              <w:right w:type="dxa" w:w="100"/>
            </w:tcMar>
            <w:vAlign w:val="top"/>
          </w:tcPr>
          <w:p>
            <w:pPr>
              <w:spacing w:after="0"/>
            </w:pPr>
            <w:r>
              <w:rPr>
                <w:sz w:val="17"/>
                <w:szCs w:val="17"/>
              </w:rPr>
              <w:t xml:space="preserve">Experiencia corporal, síntomas, basal</w:t>
            </w:r>
          </w:p>
        </w:tc>
        <w:tc>
          <w:tcPr>
            <w:tcW w:type="dxa" w:w="2560"/>
            <w:tcMar>
              <w:top w:type="dxa" w:w="60"/>
              <w:left w:type="dxa" w:w="100"/>
              <w:bottom w:type="dxa" w:w="60"/>
              <w:right w:type="dxa" w:w="100"/>
            </w:tcMar>
            <w:vAlign w:val="top"/>
          </w:tcPr>
          <w:p>
            <w:pPr>
              <w:spacing w:after="0"/>
            </w:pPr>
            <w:r>
              <w:rPr>
                <w:sz w:val="17"/>
                <w:szCs w:val="17"/>
              </w:rPr>
              <w:t xml:space="preserve">Memoria, lenguaje, interpretación</w:t>
            </w:r>
          </w:p>
        </w:tc>
        <w:tc>
          <w:tcPr>
            <w:tcW w:type="dxa" w:w="2560"/>
            <w:tcMar>
              <w:top w:type="dxa" w:w="60"/>
              <w:left w:type="dxa" w:w="100"/>
              <w:bottom w:type="dxa" w:w="60"/>
              <w:right w:type="dxa" w:w="100"/>
            </w:tcMar>
            <w:vAlign w:val="top"/>
          </w:tcPr>
          <w:p>
            <w:pPr>
              <w:spacing w:after="0"/>
            </w:pPr>
            <w:r>
              <w:rPr>
                <w:sz w:val="17"/>
                <w:szCs w:val="17"/>
              </w:rPr>
              <w:t xml:space="preserve">Conservar la fuente y, cuando importa, la expresión textual</w:t>
            </w:r>
          </w:p>
        </w:tc>
      </w:tr>
      <w:tr>
        <w:tc>
          <w:tcPr>
            <w:tcW w:type="dxa" w:w="1750"/>
            <w:tcMar>
              <w:top w:type="dxa" w:w="60"/>
              <w:left w:type="dxa" w:w="100"/>
              <w:bottom w:type="dxa" w:w="60"/>
              <w:right w:type="dxa" w:w="100"/>
            </w:tcMar>
            <w:vAlign w:val="top"/>
          </w:tcPr>
          <w:p>
            <w:pPr>
              <w:spacing w:after="0"/>
            </w:pPr>
            <w:r>
              <w:rPr>
                <w:sz w:val="17"/>
                <w:szCs w:val="17"/>
              </w:rPr>
              <w:t xml:space="preserve">Registro heredado</w:t>
            </w:r>
          </w:p>
        </w:tc>
        <w:tc>
          <w:tcPr>
            <w:tcW w:type="dxa" w:w="2150"/>
            <w:tcMar>
              <w:top w:type="dxa" w:w="60"/>
              <w:left w:type="dxa" w:w="100"/>
              <w:bottom w:type="dxa" w:w="60"/>
              <w:right w:type="dxa" w:w="100"/>
            </w:tcMar>
            <w:vAlign w:val="top"/>
          </w:tcPr>
          <w:p>
            <w:pPr>
              <w:spacing w:after="0"/>
            </w:pPr>
            <w:r>
              <w:rPr>
                <w:sz w:val="17"/>
                <w:szCs w:val="17"/>
              </w:rPr>
              <w:t xml:space="preserve">Trayectoria longitudinal</w:t>
            </w:r>
          </w:p>
        </w:tc>
        <w:tc>
          <w:tcPr>
            <w:tcW w:type="dxa" w:w="2560"/>
            <w:tcMar>
              <w:top w:type="dxa" w:w="60"/>
              <w:left w:type="dxa" w:w="100"/>
              <w:bottom w:type="dxa" w:w="60"/>
              <w:right w:type="dxa" w:w="100"/>
            </w:tcMar>
            <w:vAlign w:val="top"/>
          </w:tcPr>
          <w:p>
            <w:pPr>
              <w:spacing w:after="0"/>
            </w:pPr>
            <w:r>
              <w:rPr>
                <w:sz w:val="17"/>
                <w:szCs w:val="17"/>
              </w:rPr>
              <w:t xml:space="preserve">Pérdida de procedencia y copia</w:t>
            </w:r>
          </w:p>
        </w:tc>
        <w:tc>
          <w:tcPr>
            <w:tcW w:type="dxa" w:w="2560"/>
            <w:tcMar>
              <w:top w:type="dxa" w:w="60"/>
              <w:left w:type="dxa" w:w="100"/>
              <w:bottom w:type="dxa" w:w="60"/>
              <w:right w:type="dxa" w:w="100"/>
            </w:tcMar>
            <w:vAlign w:val="top"/>
          </w:tcPr>
          <w:p>
            <w:pPr>
              <w:spacing w:after="0"/>
            </w:pPr>
            <w:r>
              <w:rPr>
                <w:sz w:val="17"/>
                <w:szCs w:val="17"/>
              </w:rPr>
              <w:t xml:space="preserve">Autor, fecha y grado de verificación</w:t>
            </w:r>
          </w:p>
        </w:tc>
      </w:tr>
      <w:tr>
        <w:tc>
          <w:tcPr>
            <w:tcW w:type="dxa" w:w="1750"/>
            <w:tcMar>
              <w:top w:type="dxa" w:w="60"/>
              <w:left w:type="dxa" w:w="100"/>
              <w:bottom w:type="dxa" w:w="60"/>
              <w:right w:type="dxa" w:w="100"/>
            </w:tcMar>
            <w:vAlign w:val="top"/>
          </w:tcPr>
          <w:p>
            <w:pPr>
              <w:spacing w:after="0"/>
            </w:pPr>
            <w:r>
              <w:rPr>
                <w:sz w:val="17"/>
                <w:szCs w:val="17"/>
              </w:rPr>
              <w:t xml:space="preserve">Silencio documental</w:t>
            </w:r>
          </w:p>
        </w:tc>
        <w:tc>
          <w:tcPr>
            <w:tcW w:type="dxa" w:w="2150"/>
            <w:tcMar>
              <w:top w:type="dxa" w:w="60"/>
              <w:left w:type="dxa" w:w="100"/>
              <w:bottom w:type="dxa" w:w="60"/>
              <w:right w:type="dxa" w:w="100"/>
            </w:tcMar>
            <w:vAlign w:val="top"/>
          </w:tcPr>
          <w:p>
            <w:pPr>
              <w:spacing w:after="0"/>
            </w:pPr>
            <w:r>
              <w:rPr>
                <w:sz w:val="17"/>
                <w:szCs w:val="17"/>
              </w:rPr>
              <w:t xml:space="preserve">Ningún acceso positivo</w:t>
            </w:r>
          </w:p>
        </w:tc>
        <w:tc>
          <w:tcPr>
            <w:tcW w:type="dxa" w:w="2560"/>
            <w:tcMar>
              <w:top w:type="dxa" w:w="60"/>
              <w:left w:type="dxa" w:w="100"/>
              <w:bottom w:type="dxa" w:w="60"/>
              <w:right w:type="dxa" w:w="100"/>
            </w:tcMar>
            <w:vAlign w:val="top"/>
          </w:tcPr>
          <w:p>
            <w:pPr>
              <w:spacing w:after="0"/>
            </w:pPr>
            <w:r>
              <w:rPr>
                <w:sz w:val="17"/>
                <w:szCs w:val="17"/>
              </w:rPr>
              <w:t xml:space="preserve">Confundir «no consignado» con «ausente»</w:t>
            </w:r>
          </w:p>
        </w:tc>
        <w:tc>
          <w:tcPr>
            <w:tcW w:type="dxa" w:w="2560"/>
            <w:tcMar>
              <w:top w:type="dxa" w:w="60"/>
              <w:left w:type="dxa" w:w="100"/>
              <w:bottom w:type="dxa" w:w="60"/>
              <w:right w:type="dxa" w:w="100"/>
            </w:tcMar>
            <w:vAlign w:val="top"/>
          </w:tcPr>
          <w:p>
            <w:pPr>
              <w:spacing w:after="0"/>
            </w:pPr>
            <w:r>
              <w:rPr>
                <w:sz w:val="17"/>
                <w:szCs w:val="17"/>
              </w:rPr>
              <w:t xml:space="preserve">«No consignado» o «no evaluado»</w:t>
            </w:r>
          </w:p>
        </w:tc>
      </w:tr>
    </w:tbl>
    <w:p>
      <w:pPr>
        <w:spacing w:after="12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(04:15,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Dato medido, con hora, unidad y origen de la muestra: el hecho de mayor verificabilidad externa de la lista. (2) Observación profesional: útil, pero sujeta a variabilidad interobservador y caducidad rápida; en un abdomen agudo dinámico, el examen físico de las 04:00 no garantiza el estado peritoneal de las 09:00 si no consigna quién examinó y bajo qué analgesia. (3) Registro heredado: casi ninguna ficha especifica quién documentó la alergia ni con qué clínica; exige reescribirse como «alergia a penicilina referida por la paciente (exantema cutáneo en la juventud, sin registro clínico verificable)». (4) Silencio documental o relato, según su fuente: «niega sangrados previos» (anamnesis) no equivale a «sin episodios de sangrado consignados en fichas previas» (revisión de registro). (5) Testimonio de la paciente con su carga fenomenológica intacta: irreemplazable como marcador de cambio respecto de su basal; debe conservarse entre comillas.</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el registro de Carmen, el informe tomográfico concluye: «hernia incisional con asas de intestino delgado dilatadas, sin signos de isquemia ni perforación». En la evolución de ingreso, el residente transcribe: «TAC descarta complicación». Son tres palabras que transforman una descripción radiológica acotada en una sentencia clínica absoluta. Este capítulo trata del salto —inevitable, necesario y riesgoso— entre los signos que observamos y las explicaciones que conjeturamos.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semántica no debe confundirse con la amputación de datos críticos. «Mujer de 61 años con dolor abdominal» carece de poder discriminativo para activar un illness script específico. En cambio, «mujer de 61 años con hernia incisional y suboclusiones recurrentes autolimitadas, que cursa con un cuarto episodio obstructivo agudo, esta vez complicado con shock séptico por bacilos gramnegativos rápidamente reversible con soporte vasoactivo y antibióticos, sin signos tomográficos actuales de estrangulación ni perforación» conserva los calificadores que guían el razonamiento: temporalidad, cambio de patrón, gravedad fisiológica, microbiología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Este capítulo la devuelve al centro. Peirce, al bautizar la abducción en sus lecciones de 1903, la describió como la única operación lógica que introduce ideas nuevas. La deducción prueba lo que ya estaba contenido en las premisas y la inducción generaliza lo ya observado; la hipótesis que organiza un caso, en cambio, no se extrae de los datos: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sino también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se trabaja sin verla (Bohm, 1996; Bohm &amp; Peat, 1987). Es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señaló,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sin censura inicial incluye: tromboembolismo pulmonar (el EPOC y la inmovilidad aumentan el riesgo, y la escasez de sibilancias no explica una saturación de 89%), neumotórax secundario a ruptura de bula, edema pulmonar cardiogénico, neumonía basal oculta, síndrome coronario agudo con equivalente disneico, anemia severa o fatiga muscular respiratoria. La reformulación que replantea el problema (problem setting) es: «insuficiencia respiratoria hipoxémica aguda desproporcionada al broncoespasmo auscultado». Ese giro lingüístico desactiva el reflejo de indicar una tercera tanda de nebulizaciones y abre el espacio mental donde viven el TEP y el neumotórax. Nótese la secuencia: primero volumen divergente sin filtro —pues la autocensura temprana es el motor del cierre prematuro— y recién después poda severa contra los datos del caso. Tres minutos de generación libre cuestan mucho menos que veinticuatro horas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formulación epistemológicamente rigurosa:</w:t>
      </w:r>
    </w:p>
    <w:p>
      <w:pPr>
        <w:pStyle w:val="Quote1"/>
      </w:pPr>
      <w:r>
        <w:t xml:space="preserve">TAC de abdomen confirma obstrucción en hernia incisional sin signos actuales de necrosis transmural, perforación ni sufrimiento vascular mesentérico; por sensibilidad del método, la imagen no excluye isquemia mucosa incipiente ni predice recurrencia a corto plazo. Con la estabilización hemodinámica actual, la probabilidad de estrangulación irreversible es suficientemente baja para diferir cirugía de emergencia y mantener vigilancia activa</w:t>
      </w:r>
    </w:p>
    <w:p>
      <w:pPr>
        <w:pStyle w:val="BodyJ"/>
      </w:pPr>
      <w:r>
        <w:t xml:space="preserve">La diferencia es operativa: «TAC descarta complicación» apaga las alarmas del equipo; la reescritura especifica qué amenaza sigue viva, qué parámetros obligan a reevaluar (reaparición del dolor, defensa abdominal, ascenso del lactato) y qué autoriza realmente el examen (no entrar a pabellón esta madrugada, no archivar el problema quirúrgico).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del ingreso, Carmen está hemodinámicamente estable, afebril y con la sonda nasogástrica aún a caída libre. En la visita, la familia hace la pregunta inevitable: «Doctor, ¿ya saben qué tuvo?». El equipo conoce varios hechos: que hubo una obstrucción intestinal mecánica, que desencadenó un shock grave, que en la sangre crecieron bacilos gramnegativos y que el escáner inicial no mostró intestino necrótico. Pero desconoce otras capas del mismo fenómeno: por qué este cuarto episodio escaló hasta el shock (incertidumbre fisiopatológica), si las bacterias cruzaron desde la pared intestinal inflamada (incertidumbre causal) y cuándo volverá a atascarse la hernia (incertidumbre pronóstica). «¿Ya saben qué tuvo?» exige, en rigor, varias respuestas simultáneas. Este capítulo trata de cómo cartografiarlas y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4. Un mapa de la incertidumbre clínica (adaptado de la taxonomía de Han et al.): fuentes y objetos se combinan, y cada combinación pide una respuesta distinta.</w:t>
            </w:r>
          </w:p>
        </w:tc>
      </w:tr>
    </w:tbl>
    <w:p>
      <w:pPr>
        <w:spacing w:after="60"/>
      </w:pPr>
    </w:p>
    <w:p>
      <w:pPr>
        <w:pStyle w:val="BodyJ"/>
      </w:pPr>
      <w:r>
        <w:t xml:space="preserve">También importa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 el clínico,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Declarar que «en medicina todo es incierto» es una coartada retórica que no guía ninguna conducta. La incertidumbre clínicamente útil es localizada y específica. En lugar de una duda global, desglosa el límite de cada afirmación. El foco abdominal de la sepsis es altamente probable por secuencia clínica, pero el mecanismo exacto de translocación no es demostrable directamente. La tomografía excluye perforación actual, pero su normalidad vascular no garantiza que el asa no sufra en un próximo atascamiento. Y, en otro dominio, en un paciente con vejiga neurogénica febril una infección urinaria no puede descartarse sólo por la ausencia de disuria. Nombrar qué parte exacta del modelo está abierta es lo que permite decidir qué se estudia con un examen y qué se gobierna con vigilancia.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BodyJ"/>
      </w:pPr>
      <w:r>
        <w:t xml:space="preserve">Reconocer incertidumbre no disminuye la responsabilidad; la hace más precisa. El médico responde por buscar la información razonablemente accesible, interpretar con competencia, comunicar límites y establecer una estrategia de reevaluación — no por volver determinista un mundo que no lo es.</w:t>
      </w:r>
    </w:p>
    <w:p>
      <w:pPr>
        <w:pStyle w:val="Quote1"/>
      </w:pPr>
      <w:r>
        <w:t xml:space="preserve">La incertidumbre no es el espacio vacío entre los hechos y la decisión; es una dimensión positiva del caso que debe describirse y gobernarse.</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y retrospectiva: revisar la cronología y la imagen ayuda, pero quedará un residuo fisiopatológico no demostrable que no bloquea la toma de decisiones hoy. (b) Parcialmente reducible mediante descarte de focos alternativos (urocultivo, revisión de catéteres): no exige certeza absoluta para completar el esquema antibiótico, pero su alta plausibilidad refuerza que el shock fue consecuencia directa del episodio obstructivo. (c) Aleatoria e irreductible mediante exámenes: ningún test predice el día del quinto atascamiento; es la incertidumbre </w:t>
      </w:r>
      <w:r>
        <w:rPr>
          <w:b/>
          <w:bCs/>
        </w:rPr>
        <w:t xml:space="preserve">peligrosa</w:t>
      </w:r>
      <w:r>
        <w:t xml:space="preserve"> y dominante del caso, porque el costo del error (esperar y que se obstruya en su casa) puede ser letal. (d) Mixta (epistémica y axiológica): la espirometría y la evaluación preoperatoria reducen la duda biológica, pero el resto depende de los valores de Carmen —cuánto riesgo quirúrgico programado está dispuesta a asumir hoy para evitar una urgencia vital mañana—. La cartografía no adivina el futuro: ordena qué se mide, qué se vigila, qué se tolera y qué se delibera con la enferma.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exige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la visita médica de la mañana, dos residentes resumen el caso de Carmen con los mismos datos sobre la mesa. El primero dice: «Paciente con hernia complicada y sepsis, actualmente mejor». La segunda presenta: «Cuarto episodio obstructivo en el año por hernia incisional, esta vez debutando con shock séptico y bacteriemia por bacilos gramnegativos, revertido con vasopresores y antibióticos, sin signos tomográficos de isquemia aguda; el salto cualitativo de gravedad modifica el riesgo de mantener una conducta expectante». Ambos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sostuvo que la mirada clínica moderna se organizó mediante formas específicas de describir, localizar y correlacionar signos (Foucault, 1966;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BodyJ"/>
      </w:pPr>
      <w:r>
        <w:t xml:space="preserve">La densidad epistémica puede auditarse. Seis dimensiones concentran lo que una frase clínica pierde con más frecuencia: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Dimensión</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Pregunta de auditoría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Pérdida frecuente</w:t>
            </w:r>
          </w:p>
        </w:tc>
      </w:tr>
      <w:tr>
        <w:tc>
          <w:tcPr>
            <w:tcW w:type="dxa" w:w="1750"/>
            <w:tcMar>
              <w:top w:type="dxa" w:w="60"/>
              <w:left w:type="dxa" w:w="100"/>
              <w:bottom w:type="dxa" w:w="60"/>
              <w:right w:type="dxa" w:w="100"/>
            </w:tcMar>
            <w:vAlign w:val="top"/>
          </w:tcPr>
          <w:p>
            <w:pPr>
              <w:spacing w:after="0"/>
            </w:pPr>
            <w:r>
              <w:rPr>
                <w:sz w:val="17"/>
                <w:szCs w:val="17"/>
              </w:rPr>
              <w:t xml:space="preserve">Procedencia</w:t>
            </w:r>
          </w:p>
        </w:tc>
        <w:tc>
          <w:tcPr>
            <w:tcW w:type="dxa" w:w="2150"/>
            <w:tcMar>
              <w:top w:type="dxa" w:w="60"/>
              <w:left w:type="dxa" w:w="100"/>
              <w:bottom w:type="dxa" w:w="60"/>
              <w:right w:type="dxa" w:w="100"/>
            </w:tcMar>
            <w:vAlign w:val="top"/>
          </w:tcPr>
          <w:p>
            <w:pPr>
              <w:spacing w:after="0"/>
            </w:pPr>
            <w:r>
              <w:rPr>
                <w:sz w:val="17"/>
                <w:szCs w:val="17"/>
              </w:rPr>
              <w:t xml:space="preserve">¿De dónde proviene el dato?</w:t>
            </w:r>
          </w:p>
        </w:tc>
        <w:tc>
          <w:tcPr>
            <w:tcW w:type="dxa" w:w="2560"/>
            <w:tcMar>
              <w:top w:type="dxa" w:w="60"/>
              <w:left w:type="dxa" w:w="100"/>
              <w:bottom w:type="dxa" w:w="60"/>
              <w:right w:type="dxa" w:w="100"/>
            </w:tcMar>
            <w:vAlign w:val="top"/>
          </w:tcPr>
          <w:p>
            <w:pPr>
              <w:spacing w:after="0"/>
            </w:pPr>
            <w:r>
              <w:rPr>
                <w:sz w:val="17"/>
                <w:szCs w:val="17"/>
              </w:rPr>
              <w:t xml:space="preserve">Información heredada presentada como observada</w:t>
            </w:r>
          </w:p>
        </w:tc>
      </w:tr>
      <w:tr>
        <w:tc>
          <w:tcPr>
            <w:tcW w:type="dxa" w:w="1750"/>
            <w:tcMar>
              <w:top w:type="dxa" w:w="60"/>
              <w:left w:type="dxa" w:w="100"/>
              <w:bottom w:type="dxa" w:w="60"/>
              <w:right w:type="dxa" w:w="100"/>
            </w:tcMar>
            <w:vAlign w:val="top"/>
          </w:tcPr>
          <w:p>
            <w:pPr>
              <w:spacing w:after="0"/>
            </w:pPr>
            <w:r>
              <w:rPr>
                <w:sz w:val="17"/>
                <w:szCs w:val="17"/>
              </w:rPr>
              <w:t xml:space="preserve">Temporalidad</w:t>
            </w:r>
          </w:p>
        </w:tc>
        <w:tc>
          <w:tcPr>
            <w:tcW w:type="dxa" w:w="2150"/>
            <w:tcMar>
              <w:top w:type="dxa" w:w="60"/>
              <w:left w:type="dxa" w:w="100"/>
              <w:bottom w:type="dxa" w:w="60"/>
              <w:right w:type="dxa" w:w="100"/>
            </w:tcMar>
            <w:vAlign w:val="top"/>
          </w:tcPr>
          <w:p>
            <w:pPr>
              <w:spacing w:after="0"/>
            </w:pPr>
            <w:r>
              <w:rPr>
                <w:sz w:val="17"/>
                <w:szCs w:val="17"/>
              </w:rPr>
              <w:t xml:space="preserve">¿Cuándo ocurrió y cómo cambió?</w:t>
            </w:r>
          </w:p>
        </w:tc>
        <w:tc>
          <w:tcPr>
            <w:tcW w:type="dxa" w:w="2560"/>
            <w:tcMar>
              <w:top w:type="dxa" w:w="60"/>
              <w:left w:type="dxa" w:w="100"/>
              <w:bottom w:type="dxa" w:w="60"/>
              <w:right w:type="dxa" w:w="100"/>
            </w:tcMar>
            <w:vAlign w:val="top"/>
          </w:tcPr>
          <w:p>
            <w:pPr>
              <w:spacing w:after="0"/>
            </w:pPr>
            <w:r>
              <w:rPr>
                <w:sz w:val="17"/>
                <w:szCs w:val="17"/>
              </w:rPr>
              <w:t xml:space="preserve">«Estable», «resuelto» o «recurrente» sin referente</w:t>
            </w:r>
          </w:p>
        </w:tc>
      </w:tr>
      <w:tr>
        <w:tc>
          <w:tcPr>
            <w:tcW w:type="dxa" w:w="1750"/>
            <w:tcMar>
              <w:top w:type="dxa" w:w="60"/>
              <w:left w:type="dxa" w:w="100"/>
              <w:bottom w:type="dxa" w:w="60"/>
              <w:right w:type="dxa" w:w="100"/>
            </w:tcMar>
            <w:vAlign w:val="top"/>
          </w:tcPr>
          <w:p>
            <w:pPr>
              <w:spacing w:after="0"/>
            </w:pPr>
            <w:r>
              <w:rPr>
                <w:sz w:val="17"/>
                <w:szCs w:val="17"/>
              </w:rPr>
              <w:t xml:space="preserve">Transparencia inferencial</w:t>
            </w:r>
          </w:p>
        </w:tc>
        <w:tc>
          <w:tcPr>
            <w:tcW w:type="dxa" w:w="2150"/>
            <w:tcMar>
              <w:top w:type="dxa" w:w="60"/>
              <w:left w:type="dxa" w:w="100"/>
              <w:bottom w:type="dxa" w:w="60"/>
              <w:right w:type="dxa" w:w="100"/>
            </w:tcMar>
            <w:vAlign w:val="top"/>
          </w:tcPr>
          <w:p>
            <w:pPr>
              <w:spacing w:after="0"/>
            </w:pPr>
            <w:r>
              <w:rPr>
                <w:sz w:val="17"/>
                <w:szCs w:val="17"/>
              </w:rPr>
              <w:t xml:space="preserve">¿Dónde comienza la interpretación?</w:t>
            </w:r>
          </w:p>
        </w:tc>
        <w:tc>
          <w:tcPr>
            <w:tcW w:type="dxa" w:w="2560"/>
            <w:tcMar>
              <w:top w:type="dxa" w:w="60"/>
              <w:left w:type="dxa" w:w="100"/>
              <w:bottom w:type="dxa" w:w="60"/>
              <w:right w:type="dxa" w:w="100"/>
            </w:tcMar>
            <w:vAlign w:val="top"/>
          </w:tcPr>
          <w:p>
            <w:pPr>
              <w:spacing w:after="0"/>
            </w:pPr>
            <w:r>
              <w:rPr>
                <w:sz w:val="17"/>
                <w:szCs w:val="17"/>
              </w:rPr>
              <w:t xml:space="preserve">Diagnóstico o mecanismo escrito como hecho</w:t>
            </w:r>
          </w:p>
        </w:tc>
      </w:tr>
      <w:tr>
        <w:tc>
          <w:tcPr>
            <w:tcW w:type="dxa" w:w="1750"/>
            <w:tcMar>
              <w:top w:type="dxa" w:w="60"/>
              <w:left w:type="dxa" w:w="100"/>
              <w:bottom w:type="dxa" w:w="60"/>
              <w:right w:type="dxa" w:w="100"/>
            </w:tcMar>
            <w:vAlign w:val="top"/>
          </w:tcPr>
          <w:p>
            <w:pPr>
              <w:spacing w:after="0"/>
            </w:pPr>
            <w:r>
              <w:rPr>
                <w:sz w:val="17"/>
                <w:szCs w:val="17"/>
              </w:rPr>
              <w:t xml:space="preserve">Calibración modal</w:t>
            </w:r>
          </w:p>
        </w:tc>
        <w:tc>
          <w:tcPr>
            <w:tcW w:type="dxa" w:w="2150"/>
            <w:tcMar>
              <w:top w:type="dxa" w:w="60"/>
              <w:left w:type="dxa" w:w="100"/>
              <w:bottom w:type="dxa" w:w="60"/>
              <w:right w:type="dxa" w:w="100"/>
            </w:tcMar>
            <w:vAlign w:val="top"/>
          </w:tcPr>
          <w:p>
            <w:pPr>
              <w:spacing w:after="0"/>
            </w:pPr>
            <w:r>
              <w:rPr>
                <w:sz w:val="17"/>
                <w:szCs w:val="17"/>
              </w:rPr>
              <w:t xml:space="preserve">¿La fuerza verbal corresponde al respaldo?</w:t>
            </w:r>
          </w:p>
        </w:tc>
        <w:tc>
          <w:tcPr>
            <w:tcW w:type="dxa" w:w="2560"/>
            <w:tcMar>
              <w:top w:type="dxa" w:w="60"/>
              <w:left w:type="dxa" w:w="100"/>
              <w:bottom w:type="dxa" w:w="60"/>
              <w:right w:type="dxa" w:w="100"/>
            </w:tcMar>
            <w:vAlign w:val="top"/>
          </w:tcPr>
          <w:p>
            <w:pPr>
              <w:spacing w:after="0"/>
            </w:pPr>
            <w:r>
              <w:rPr>
                <w:sz w:val="17"/>
                <w:szCs w:val="17"/>
              </w:rPr>
              <w:t xml:space="preserve">«Demostrado», «descartado», «secundario a»</w:t>
            </w:r>
          </w:p>
        </w:tc>
      </w:tr>
      <w:tr>
        <w:tc>
          <w:tcPr>
            <w:tcW w:type="dxa" w:w="1750"/>
            <w:tcMar>
              <w:top w:type="dxa" w:w="60"/>
              <w:left w:type="dxa" w:w="100"/>
              <w:bottom w:type="dxa" w:w="60"/>
              <w:right w:type="dxa" w:w="100"/>
            </w:tcMar>
            <w:vAlign w:val="top"/>
          </w:tcPr>
          <w:p>
            <w:pPr>
              <w:spacing w:after="0"/>
            </w:pPr>
            <w:r>
              <w:rPr>
                <w:sz w:val="17"/>
                <w:szCs w:val="17"/>
              </w:rPr>
              <w:t xml:space="preserve">Relevancia decisional</w:t>
            </w:r>
          </w:p>
        </w:tc>
        <w:tc>
          <w:tcPr>
            <w:tcW w:type="dxa" w:w="2150"/>
            <w:tcMar>
              <w:top w:type="dxa" w:w="60"/>
              <w:left w:type="dxa" w:w="100"/>
              <w:bottom w:type="dxa" w:w="60"/>
              <w:right w:type="dxa" w:w="100"/>
            </w:tcMar>
            <w:vAlign w:val="top"/>
          </w:tcPr>
          <w:p>
            <w:pPr>
              <w:spacing w:after="0"/>
            </w:pPr>
            <w:r>
              <w:rPr>
                <w:sz w:val="17"/>
                <w:szCs w:val="17"/>
              </w:rPr>
              <w:t xml:space="preserve">¿Por qué importa ahora?</w:t>
            </w:r>
          </w:p>
        </w:tc>
        <w:tc>
          <w:tcPr>
            <w:tcW w:type="dxa" w:w="2560"/>
            <w:tcMar>
              <w:top w:type="dxa" w:w="60"/>
              <w:left w:type="dxa" w:w="100"/>
              <w:bottom w:type="dxa" w:w="60"/>
              <w:right w:type="dxa" w:w="100"/>
            </w:tcMar>
            <w:vAlign w:val="top"/>
          </w:tcPr>
          <w:p>
            <w:pPr>
              <w:spacing w:after="0"/>
            </w:pPr>
            <w:r>
              <w:rPr>
                <w:sz w:val="17"/>
                <w:szCs w:val="17"/>
              </w:rPr>
              <w:t xml:space="preserve">Inventario correcto sin consecuencia práctica</w:t>
            </w:r>
          </w:p>
        </w:tc>
      </w:tr>
      <w:tr>
        <w:tc>
          <w:tcPr>
            <w:tcW w:type="dxa" w:w="1750"/>
            <w:tcMar>
              <w:top w:type="dxa" w:w="60"/>
              <w:left w:type="dxa" w:w="100"/>
              <w:bottom w:type="dxa" w:w="60"/>
              <w:right w:type="dxa" w:w="100"/>
            </w:tcMar>
            <w:vAlign w:val="top"/>
          </w:tcPr>
          <w:p>
            <w:pPr>
              <w:spacing w:after="0"/>
            </w:pPr>
            <w:r>
              <w:rPr>
                <w:sz w:val="17"/>
                <w:szCs w:val="17"/>
              </w:rPr>
              <w:t xml:space="preserve">Revisabilidad</w:t>
            </w:r>
          </w:p>
        </w:tc>
        <w:tc>
          <w:tcPr>
            <w:tcW w:type="dxa" w:w="2150"/>
            <w:tcMar>
              <w:top w:type="dxa" w:w="60"/>
              <w:left w:type="dxa" w:w="100"/>
              <w:bottom w:type="dxa" w:w="60"/>
              <w:right w:type="dxa" w:w="100"/>
            </w:tcMar>
            <w:vAlign w:val="top"/>
          </w:tcPr>
          <w:p>
            <w:pPr>
              <w:spacing w:after="0"/>
            </w:pPr>
            <w:r>
              <w:rPr>
                <w:sz w:val="17"/>
                <w:szCs w:val="17"/>
              </w:rPr>
              <w:t xml:space="preserve">¿Qué haría cambiar la formulación o la conducta?</w:t>
            </w:r>
          </w:p>
        </w:tc>
        <w:tc>
          <w:tcPr>
            <w:tcW w:type="dxa" w:w="2560"/>
            <w:tcMar>
              <w:top w:type="dxa" w:w="60"/>
              <w:left w:type="dxa" w:w="100"/>
              <w:bottom w:type="dxa" w:w="60"/>
              <w:right w:type="dxa" w:w="100"/>
            </w:tcMar>
            <w:vAlign w:val="top"/>
          </w:tcPr>
          <w:p>
            <w:pPr>
              <w:spacing w:after="0"/>
            </w:pPr>
            <w:r>
              <w:rPr>
                <w:sz w:val="17"/>
                <w:szCs w:val="17"/>
              </w:rPr>
              <w:t xml:space="preserve">Plan sin plazo, responsable ni criterio de reapertura</w:t>
            </w:r>
          </w:p>
        </w:tc>
      </w:tr>
    </w:tbl>
    <w:p>
      <w:pPr>
        <w:spacing w:after="120"/>
      </w:pPr>
    </w:p>
    <w:p>
      <w:pPr>
        <w:pStyle w:val="BodyJ"/>
      </w:pPr>
      <w:r>
        <w:t xml:space="preserve">La lista funciona como pauta de lectura, no como puntaje: la densidad epistémica es un ideal regulativo de escritura y razonamiento, no una escala validada ni una propiedad cuantificada de manera reproducible. Las doce preguntas del Apéndice B son su versión aplicada al caso en curso.</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encontró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TallerHead"/>
      </w:pPr>
      <w:r>
        <w:t xml:space="preserve">Caja de herramientas. Dos filósofos para la frase clínica</w:t>
      </w:r>
    </w:p>
    <w:p>
      <w:pPr>
        <w:pStyle w:val="BodyJ"/>
      </w:pPr>
      <w:r>
        <w:t xml:space="preserve">Dos aportes del siglo XX describen con precisión lo que este capítulo pide. El primero es de J. L. Austin: hay enunciados que no describen el mundo sino que hacen cosas en él — prometer, sentenciar, declarar (Austin, 1962). Buena parte del lenguaje clínico es performativo en ese sentido exacto: «se decide alta», «se descarta abdomen agudo» o «paciente no reanimable» no informan un estado de cosas; dan de alta, suspenden una vigilancia, fijan un límite de tratamiento. Por eso la exigencia de este capítulo no es estilística: una frase que hace cosas debe responder por lo que hace, no sólo por lo que dice. La pregunta de Austin, trasladada a la ficha: ¿qué acaba de hacer esta oración — y con qué derecho?</w:t>
      </w:r>
    </w:p>
    <w:p>
      <w:pPr>
        <w:pStyle w:val="BodyJ"/>
      </w:pPr>
      <w:r>
        <w:t xml:space="preserve">El segundo es de Stephen Toulmin, que propuso la anatomía mínima de toda afirmación práctica: un dato, una conclusión, la garantía que autoriza pasar del uno a la otra, el respaldo de esa garantía, un calificador modal que gradúa la fuerza («probablemente», «salvo que…») y las condiciones de refutación (Toulmin, 1958). La frase medular de este libro es, sin habérselo propuesto, un argumento de Toulmin comprimido: hechos (dato), inferencia graduada (conclusión con calificador), incertidumbre crítica (refutación posible) y decisión (lo que la garantía autoriza a hacer). Escribir «bacteriemia por gramnegativos en contexto de obstrucción: foco abdominal altamente probable, salvo hallazgo alternativo en imagen» es exhibir la anatomía completa; escribir «sepsis abdominal» es esconderla. Toulmin, que décadas después defendió junto a Jonsen la casuística clínica como forma legítima de razonamiento moral (Jonsen &amp; Toulmin, 1988), habría reconocido en la ficha bien escrita a su silogismo práctico favorito. La Figura 5 despliega esa anatomía sobre una frase de Carmen.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572125"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72125" cy="3705225"/>
                          </a:xfrm>
                          <a:prstGeom prst="rect">
                            <a:avLst/>
                          </a:prstGeom>
                        </pic:spPr>
                      </pic:pic>
                    </a:graphicData>
                  </a:graphic>
                </wp:inline>
              </w:drawing>
            </w:r>
          </w:p>
          <w:p>
            <w:pPr>
              <w:pStyle w:val="Caption"/>
            </w:pPr>
            <w:r>
              <w:t xml:space="preserve">Figura 5. La frase medular como argumento de Toulmin: dato, garantía, respaldo, calificador modal, conclusión y refutación, sobre una frase real de Carmen. Cada pieza corresponde a una capa del libro; la decisión es lo que la garantía autoriza.</w:t>
            </w:r>
          </w:p>
        </w:tc>
      </w:tr>
    </w:tbl>
    <w:p>
      <w:pPr>
        <w:spacing w:after="60"/>
      </w:pP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actúa como un argumento de Toulmin comprimido: enlaza el dato observado con la acción a través de una garantía clínica explícita. No prescribe necesariamente una conducta única, pero transparenta por qué se desplaza el umbral terapéutico. «Cuarto episodio de suboclusión en doce meses» documenta aceleración de la frecuencia; «primer ingreso complicado con shock y bacteriemia» establece un cambio cualitativo en la severidad biológica. «Sin evidencia tomográfica de isquemia actual» acota la urgencia quirúrgica inmediata, y «alto riesgo de recurrencia grave fuera del hospital» fundamenta la indicación de reparación electiva pronta.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sintaxis misma funciona como un registro de auditoría causal. Escribir «shock séptico por hernia incisional» esconde una cadena fisiopatológica incierta detrás de una preposición. En cambio, «shock séptico con bacteriemia por gramnegativos, temporalmente asociado a obstrucción mecánica en hernia incisional; foco abdominal altamente probable por translocación, mecanismo exacto no demostrado» separa el fenómeno medido, la asociación temporal y el calificador modal de la inferencia. La segunda versión ocupa dos líneas más, pero permite que cualquier miembro del equipo audite dónde termina el hecho y dónde empieza la hipótesis.</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de tórax sin defectos de llenado hasta arterias segmentarias; con probabilidad clínica pretest intermedia y estabilidad hemodinámica, el valor predictivo negativo supera el umbral para no anticoagular y mantener vigilancia clínica» —separa la técnica, su alcance anatómico y la decisión por umbral—. (2) «Opacidad alveolar basal con defervescencia y caída de parámetros inflamatorios tras 72 h de ceftriaxona, oxigenoterapia y kinesioterapia respiratoria; neumonía bacteriana probable, respuesta microbiológica directa no demostrada» —distingue el hecho de la mejoría temporal de la atribución causal a un solo factor—. (3) «Paciente responde con monosílabos, se queja de dolor 8/10 y cursó con insomnio; anamnesis y examen físico limitados por dolor agudo no controlado» —reemplaza una etiqueta moralizante por una barrera clínica modificable—. (4) «Bacteriuria y piuria asintomática en portador crónico de sonda Foley, afebril y sin respuesta inflamatoria sistémica nueva: colonización probable; se difiere antibiótico y se definen criterios de alarma» —desactiva el reflejo de tratar el papel del laboratorio—. (5) «El manejo médico con reposo intestinal y descompresión por sonda nasogástrica tenía como meta recuperar tránsito en 48 h; al persistir débito alto al tercer día, se cumple criterio de resolución quirúrgica» —sustituye la retórica de «fracaso» por el cumplimiento de un umbral predefinido—.</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Tercer día, 7:00. Antes de la visita, la becada del servicio abre la ficha de Carmen para escribir la evolución y se detiene en la frase que viaja intacta desde la madrugada del ingreso: «cuadro habitual, manejo habitual». La tacha. No porque sea falsa —la hernia es la de siempre—, sino porque dice a la vez más y menos de lo que hoy se sabe. No separa lo demostrado de lo probable, y deja fuera la única pregunta que importa esta mañana: qué pasa si vuelve a ocurrir. Reescribe la evaluación con lo que esta parte del libro ha ido separando. Su versión:</w:t>
      </w:r>
    </w:p>
    <w:p>
      <w:pPr>
        <w:pStyle w:val="BodyJ"/>
      </w:pPr>
      <w:r>
        <w:rPr>
          <w:i/>
          <w:iCs/>
        </w:rPr>
        <w:t xml:space="preserve">Hechos.</w:t>
      </w:r>
      <w:r>
        <w:t xml:space="preserve"> Cuarto episodio obstructivo en doce meses sobre hernia incisional conocida (tres ingresos previos resueltos con manejo conservador según registro clínico). Episodio actual: ingresó de madrugada en shock con requerimiento de noradrenalina por 36 horas, lactato arterial máximo de 6,0 mmol/L (04:15 h del ingreso) y llene capilar de 5 segundos documentado por enfermería en urgencias. Hemocultivos periféricos 2/2 positivos a las 14 h para Escherichia coli multisensible. TAC de abdomen de ingreso con asas dilatadas en saco herniario, sin signos de isquemia, neumatosis ni perforación. Actualmente en su tercer día: afebril, sin vasoactivos desde la tarde de ayer y con débito por sonda en descenso. Relato de ingreso textual: «esta vez la hernia no se dejó acomodar, el dolor era otro». Su hija, que la trajo, agrega lo que ninguna nota recogió: «las otras veces se le pasaba en el día; esta vez aguantó dos días en la casa y no quería venir».</w:t>
      </w:r>
    </w:p>
    <w:p>
      <w:pPr>
        <w:pStyle w:val="BodyJ"/>
      </w:pPr>
      <w:r>
        <w:rPr>
          <w:i/>
          <w:iCs/>
        </w:rPr>
        <w:t xml:space="preserve">Inferencias.</w:t>
      </w:r>
      <w:r>
        <w:t xml:space="preserve"> Obstrucción intestinal mecánica por hernia incisional: demostrada. Sepsis de foco abdominal por translocación bacteriana secundaria al atascamiento: altamente probable (concordancia temporal, aislamiento de enterobacteria comunitaria en sangre y ausencia de foco urinario o respiratorio); isquemia parietal transitoria ya resuelta como mecanismo subyacente: posible, no demostrada. Severidad del cuadro: cualitativamente superior a la serie histórica de la paciente.</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es confiable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experimenté con total nitidez: un hombre de sesenta y ocho años, hipertenso y sin historia de urolitiasis, que se retorcía en la camilla con un dolor lumbar brusco irradiado al flanco izquierdo y microhematuria en la cinta reactiva. El cuadro gritaba «cólico renal» con tal fluidez que casi no palpé el abdomen ni busqué latidos expansivos. El aneurisma de aorta abdominal fisurado lo encontró el radiólogo en la ecografía de la mañana. Desde entonces distingo dos preguntas que esa madrugada confundí: «¿qué tan seguro me siento?» y «¿qué tan probable es que esté en lo cierto?». Este capítulo trata de la brecha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6.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7.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justo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falso cólico renal de aquella noche reunía todas las claves de la fluidez cognitiva de Koriat: el patrón clínico era arquetípico, yo había tratado decenas de cólicos similares en urgencias y el relato cerraba sin fisuras. Pero ninguna de esas señales internas medía lo único determinante para la sobrevida del enfermo: la probabilidad previa de que, en un hipertenso de casi setenta años que debuta con dolor lumbar agudo, una catástrofe aórtica estuviera imitando el patrón urológico. La pregunta metacognitiva útil no es «¿debo confiar en mi intuición?», sino «¿bajo qué condiciones ecológicas es confiable esta intuición?». Como argumentaron Kahneman y Klein, la validez intuitiva aumenta cuando el entorno posee regularidades estables, existe exposición extensa y el clínico recibe retroalimentación oportuna sobre sus aciertos y errores; se desploma, en cambio, frente a presentaciones solapadas donde el desenlace real ocurre horas después y en otro servicio (Kahneman &amp; Klein, 2009).</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sino parte de su materia. Tajer ha descrito cómo atraviesan incluso la fisiopatología de lo que se trata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Y vigilan, sobre todo, al momento más fértil y más frágil del razonamiento: la conjetura abductiva del capítulo 2. La abducción propone explicaciones con una velocidad que ningún método iguala; el monitoreo es lo que impide que la primera propuesta cómoda se quede con el caso sin haberlo ganado.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La división del trabajo es esta: el monitoreo detecta —la fluidez que se rompe, el dato que no encaja, la emoción que desentona con el caso—. El control decide qué hacer con la señal: releer datos, reformular el problema, buscar una alternativa, pedir una segunda opinión, posponer una decisión reversible, intensificar vigilancia o actuar pese a la duda cuando el costo de esperar es alto. Detectar sin decidir es rumia; decidir sin haber detectado es piloto automático. Y la estrategia elegida debe corresponder a la fuente de la incertidumbre: la duda que nace de un dato débil se trata verificando el dato; la que nace de una representación pobre, reformulando el problema; la que nace del cansancio o del apuro, con un segundo lector.</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BodyJ"/>
      </w:pPr>
      <w:r>
        <w:t xml:space="preserve">Hay algo más que la palabra «metacognición» puede ocultar si se la toma al pie de la letra: la vigilancia del propio juicio es sólo en parte introspectiva. Muchas de sus mejores señales vienen de afuera. La ceja de la enfermera que conoce al paciente hace años; la pregunta del interno que no logró entender la síntesis (y quizá no había nada coherente que entender); la madre que insiste; el kinesiólogo que encuentra «distinto» al señor de la cama 12. Monitorear el propio pensamiento incluye leer esas señales como datos sobre el razonamiento, no como interferencias en él. La metacognición clínica es, en ese sentido, parcialmente social; el capítulo 13 la despliega a escala de equipo.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solución única: el ejercicio produce el dato que la práctica cotidiana casi nunca devuelve. Los patrones típicos que emergen en ejercicios docentes: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¿Cuál fue mi última predicción concreta —un cultivo, una imagen, una evolución— y la contrasté con el resultado cuando llegó, o sólo recuerdo las que acerté?</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junto a la cama en concluir: «Esta hernia hay que operarla de forma programada antes de que se vaya de alta, o apenas se recupere, pero no hoy en urgencia». El interno que la acompañaba anotó la indicación en la ficha; lo que no pudo anotar fue el razonamiento, porque ni la propia cirujana lo había formulado paso a paso antes de hablar. Había algo en la tensión elástica del saco herniario, en la pendiente descendente del lactato y en la memoria muscular de haber operado doscientas paredes abdominales complejas. Este capítulo trata de ese conocimiento tácito que acierta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BodyJ"/>
      </w:pPr>
      <w:r>
        <w:t xml:space="preserve">Schön agregó el movimiento que a Polanyi le faltaba nombrar: el profesional competente no sólo actúa desde lo tácito — conversa con la situación y, cuando ésta responde con una sorpresa, reflexiona en plena acción (Schön, 1983). Ahí está la tensión productiva entre ambos: lo tácito es el modo normal de operar de la pericia, pero debe poder volverse explícito a demanda, porque sólo lo explícito puede ser interrogado, enseñado y corregido. Una intuición que no tolera la pregunta «¿qué estás viendo que yo no veo?» no es pericia madura: es autoridad con buena prensa. La intuición experta vale precisamente porque puede ser interrogada — y quien la despliega sin poder desempaquetarla está pidiendo fe, no ofreciendo juicio.</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(Aristóteles, 1985).</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¿Cuándo confiar, entonces, en la primera impresión? La respuesta menos romántica salió del debate entre el programa de los sesgos y el de la pericia naturalista, que terminó en un acuerdo célebre (Kahneman &amp; Klein, 2009). La intuición es confiable cuando se formó en un entorno de validez alta —regularidades estables entre señales y desenlaces— y con oportunidad real de aprenderlas, es decir, feedback oportuno y veraz. Sin esas dos condiciones la sensación de saber crece igual, pero sin correlato. La clínica contiene ambos mundos. La sala de reanimación y la lectura de patrones radiológicos entrenan intuiciones con feedback rápido; la consulta de síntomas inespecíficos cuyos desenlaces nadie vuelve a ver produce fluidez sin calibración — la sobreconfianza del capítulo 5, fabricada por el entorno. La pregunta operativa frente a la propia seguridad no es «¿cuánta experiencia tengo?», sino «¿en qué entorno se formó esta impresión, y quién me avisó cuando fallé?».</w:t>
      </w:r>
    </w:p>
    <w:p>
      <w:pPr>
        <w:pStyle w:val="BodyJ"/>
      </w:pPr>
      <w:r>
        <w:t xml:space="preserve">Enseñar la pericia clínica no puede reducirse a dictar conclusiones. Exige hacer visible qué pistas perceptivas resultaron decisivas, qué alternativas se descartaron en silencio y qué hallazgo físico habría cambiado la mano. Cuando el interno le preguntó en el pasillo cómo lo había decidido tan rápido, la cirujana hizo el ejercicio de desempaquetar su intuición. Un episodio que demostró potencial letal (shock séptico) pese a un escáner sin necrosis; intervalos libres de enfermedad cada vez más cortos; y un examen físico donde el abdomen «avisa pero todavía no exige»: una hernia parcialmente reductible, sensible en el anillo fibroso, pero con pared blanda y sin sufrimiento cutáneo ni irritación peritoneal. Desplegar el juicio experto en variables observables es lo único que impide que el aprendiz imite el tono de autoridad sin haber adquirido los criterios que lo sostienen.</w:t>
      </w:r>
    </w:p>
    <w:p>
      <w:pPr>
        <w:pStyle w:val="BodyJ"/>
      </w:pPr>
      <w:r>
        <w:t xml:space="preserve">Varela, cuya obra con Maturana el capítulo 1 ya convocó, agrega una corrección que este libro debe aceptar. En las conferencias publicadas como </w:t>
      </w:r>
      <w:r>
        <w:rPr>
          <w:i/>
          <w:iCs/>
        </w:rPr>
        <w:t xml:space="preserve">Ética y acción</w:t>
      </w:r>
      <w:r>
        <w:t xml:space="preserve"> sostuvo que la pericia ética —y la pericia en general— no es deliberación sino un saber hacer inmediato, encarnado, que responde a la situación sin pasar por reglas ni por juicios explícitos (Varela, 1996). La deliberación aparece sólo en el quiebre, cuando la respuesta espontánea falla o la situación no calza con lo aprendido. La cirujana que abre este capítulo no calló un razonamiento en ese minuto: no lo había. Esto parece contradecir un libro que pide explicitar en cada página, y no lo contradice si se lee bien. Las pausas del capítulo 8 son los quiebres de Varela puestos por diseño donde la experiencia enseña que la respuesta inmediata se equivoca. La explicitación de la cirujana en el pasillo no fue parte de su juicio sino de su transmisión. Y la ficha no fotografía la cognición del que escribe: le presta al siguiente lector lo que necesita para revisarla. Lo que Varela corrige es la descripción: la buena práctica no consiste en pensar explícitamente, consiste en responder bien y en reconocer el quiebre. Y lo que advierte es un costo: la explicitación sin disparador no protege al experto, lo degrada a principiante. Por eso la versión completa de HII-D se reserva para los casos difíciles, y la humildad que el capítulo 14 defenderá no es la del que duda de todo, sino la del que sabe cuándo su saber hacer dejó de bastar.</w:t>
      </w:r>
    </w:p>
    <w:p>
      <w:pPr>
        <w:pStyle w:val="BodyJ"/>
      </w:pPr>
      <w:r>
        <w:t xml:space="preserve">La música ofrece la imagen más exacta de ese saber hacer, y no como metáfora. La improvisación en jazz es pericia que responde en tiempo real dentro de una estructura —la armonía, el tempo, los otros— sin deliberar nota por nota. Cuando se registró con resonancia funcional a seis pianistas profesionales improvisando, se observó una desactivación extensa de la corteza prefrontal dorsolateral, la región asociada al automonitoreo y al control consciente de la ejecución, junto con la activación de la corteza prefrontal medial (Limb &amp; Braun, 2008). El experto que improvisa apaga al supervisor. Eso es lo que Varela describe y lo que este libro no debe contradecir: la metacognición madura no es vigilancia continua, porque la vigilancia continua estropea la ejecución; es saber cuándo volver a encender al supervisor. La cirujana frente a Carmen improvisó sobre una estructura de doscientas paredes abdominales; la pausa del capítulo 8 es el momento en que el pianista deja de tocar porque escuchó una nota que no era de la pieza.</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de ochenta y dos años, traída por su hija por decaimiento hipoactivo de dos días y orina de mal olor. La hoja de atención de urgencias traía escrito «antecedente de ITU a repetición», el sedimento mostraba piuria y el urocultivo preliminar informó desarrollo bacteriano. Indiqué ceftriaxona, escribí «ITU baja/alta en anciana frágil, evolución favorable esperable» y pasé al siguiente ingreso de la tarde. Al tercer día la paciente seguía postrada e inapetente; al cuarto agregó fiebre alta, ictericia subclínica y defensa en el hipocondrio derecho: era una colecistitis aguda gangrenosa. Durante años conté este caso diciendo «me anclé en la ITU». Hoy entiendo que esa etiqueta psicológica, aunque cierta, era otra forma de cierre prematuro: bautizar el sesgo me ahorraba reconstruir la arquitectura real del fallo.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la comprensión del juicio. Tversky y Kahneman mostraron que las personas estiman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aquella colecistitis, analizado como trayectoria ecológica y no como pecado mental aislado, recorrió al menos cinco estaciones. Primero, una frase heredada de urgencias («ITU a repetición») que ingresó a mi nota con jerarquía de hecho comprobado. Segundo, un error de ponderación bayesiana: olvidé que la bacteriuria asintomática ronda el 20% en mujeres de ochenta años o más que viven en la comunidad, y es todavía más frecuente en las institucionalizadas (Nicolle et al., 2019), de modo que un urocultivo positivo sin disuria ni dolor lumbar tenía un valor predictivo bajísimo para explicar su postración aguda. Tercero, un examen abdominal superficial practicado por trámite porque mi hipótesis ya estaba cerrada. Cuarto, cuarenta y ocho horas de falta de respuesta clínica que inmunicé con un lugar común geriátrico («los adultos mayores tardan más en prender con el antibiótico»). Y quinto, un diseño de trabajo sin barreras de salida: ningún criterio escrito de reevaluación a las 48 horas ni una pregunta en la visita de sala que desafiara la etiqueta inicial. El sesgo de anclaje estuvo presente, pero el error fue el sistema completo operando en línea. La responsabilidad cognitiva individual no desaparece; se vuelve contextual. La Figura 8 dibuja la trayectoria y marca dónde una barrera la habría interceptado.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9750" cy="2819400"/>
                          </a:xfrm>
                          <a:prstGeom prst="rect">
                            <a:avLst/>
                          </a:prstGeom>
                        </pic:spPr>
                      </pic:pic>
                    </a:graphicData>
                  </a:graphic>
                </wp:inline>
              </w:drawing>
            </w:r>
          </w:p>
          <w:p>
            <w:pPr>
              <w:pStyle w:val="Caption"/>
            </w:pPr>
            <w:r>
              <w:t xml:space="preserve">Figura 8. El error como trayectoria: las cinco estaciones del caso de la colecistitis y las dos barreras de bajo costo que lo habrían interceptado. Reconstruir así es el formato que el capítulo 16 propone para la morbimortalidad.</w:t>
            </w:r>
          </w:p>
        </w:tc>
      </w:tr>
    </w:tbl>
    <w:p>
      <w:pPr>
        <w:spacing w:after="60"/>
      </w:pP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Error típico.</w:t>
      </w:r>
      <w:r>
        <w:t xml:space="preserve"> En ejercicios docentes, la respuesta más frecuente viola la regla en la segunda línea: «hubo anclaje y sesgo de confirmación». Nombrar el sesgo se siente como análisis, pero no responde ninguna de las cuatro preguntas: no dice en qué formato viajaba la frase, por qué el urocultivo valía menos, en qué minuto «sigue decaída» se volvió «responde lento» ni qué barrera habría costado diez segundos. El sesgo es el nombre del desenlace; la trayectoria es lo que se puede cambiar.</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de ochenta y dos años sin síndrome miccional, la bacteriuria tiene alta prevalencia basal; confirma poco cuando la probabilidad pretest de otra causa es sustancial. (3) El día 3: «sigue decaída» se convirtió en «responde lento», una reinterpretación que inmunizaba la hipótesis. (4) Dos barreras de bajo costo y alto impacto: dejar escrito un criterio de reapertura obligatorio al indicar el tratamiento empírico («si no recupera estado basal ni apetito en 48 h, reexaminar abdomen dirigido y solicitar pruebas hepáticas o imagen») e instituir en la visita médica de sala la pregunta de resistencia: «¿qué hallazgo de esta paciente no queda explicado por una infección urinaria?». La hipoactividad severa sin síndrome miccional era la pieza suelta. El análisis de trayectoria termina cuando se diseña la barrera operativa, no cuando se rotula el sesgo del médico.</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Desacelerar: cuándo, en qué estado y con qué mente</w:t>
      </w:r>
    </w:p>
    <w:p>
      <w:pPr>
        <w:pStyle w:val="BodyJ"/>
      </w:pPr>
      <w:r>
        <w:t xml:space="preserve">En la visita médica de las 8:30, el residente presenta la cama 12 en cuarenta segundos: «Pielonefritis aguda en su tercer día de tratamiento antibiótico, afebril, con buena respuesta clínica». La internista a cargo de la sala mira dos segundos la curva de signos vitales y los exámenes en pantalla y le pide: «Preséntamelo de nuevo, pero sin usar la palabra pielonefritis ni infección». El residente toma aire y reestructura: «Hombre con lesión medular completa y usuario crónico de sonda Foley; tras recambio traumático de sonda presentó orina turbia, piuria y urocultivo positivo, manteniéndose siempre afebril, hemodinámicamente estable y sin disuria ni dolor lumbar evaluables por su nivel lesional; cursa con PCR elevada estable y tiene un cáncer renal metastásico activo como causa inflamatoria concomitante...». Antes de terminar la tercera oración, ya nadie en la sala cree que el paciente tenga una pielonefritis. Ese es exactamente el punto de este capítulo.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decisión irreversible con evidencia débil; y el estado del propio razonador —hora, horas de turno, ánimo, preocupación ajena al caso—, que la sección siguiente desarrolla.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El estado del que piensa: esfuerzo, sueño y ánimo</w:t>
      </w:r>
    </w:p>
    <w:p>
      <w:pPr>
        <w:pStyle w:val="BodyJ"/>
      </w:pPr>
      <w:r>
        <w:t xml:space="preserve">Hay un supuesto silencioso en todo lo anterior: que quien debe desacelerar dispone de la energía para hacerlo. Pensar cuesta. La deliberación consume recursos que el reconocimiento de patrones no gasta, y la mente obedece una ley del menor esfuerzo: cuando puede no pensar, no piensa (Kahneman, 2011). Descartar en modo automático no es una falla ocasional; es el estado por defecto, y pensar de verdad es una decisión que se toma contra él. Este libro ha hablado de disposiciones —humildad, curiosidad, lealtad al caso— como si estuvieran siempre disponibles. No lo están. Dependen de tres cosas que ningún modelo del razonamiento clínico incluye y que cualquier médico de turno conoce: cuánto durmió, cómo está de ánimo y qué otra cosa lo preocupa.</w:t>
      </w:r>
    </w:p>
    <w:p>
      <w:pPr>
        <w:pStyle w:val="BodyJ"/>
      </w:pPr>
      <w:r>
        <w:t xml:space="preserve">La evidencia es más dura de lo que la cultura hospitalaria admite. Un metaanálisis de sesenta estudios estimó que menos de treinta horas sin dormir reducen el desempeño cognitivo general de los médicos en cerca de una desviación estándar, y el desempeño clínico en más de una y media (Philibert, 2005). El médico de las cuatro de la mañana no es el mismo instrumento que el de las nueve. Cuando se asignó al azar a veinticuatro internos de dos unidades de cuidados intensivos a turnos tradicionales con guardias de 24 horas o más, o a turnos acotados a dieciséis, los turnos largos produjeron un 36% más de errores graves, y los errores diagnósticos graves se multiplicaron por más de cinco (Landrigan et al., 2004). El dato es de internos y de cuidados intensivos; extenderlo a cualquier guardia es una inferencia, no un hecho. El efecto no exige noches. En más de 21.000 consultas por infección respiratoria, la probabilidad de salir con un antibiótico subió hora a hora dentro de la misma sesión de policlínico, con independencia del paciente y del diagnóstico: unas chances un 26% mayores en la cuarta hora que en la primera (Linder et al., 2014). Nadie decidió prescribir peor a las cuatro de la tarde; el umbral se movió solo, con el cansancio. Y el ánimo tampoco es neutro: en un experimento clásico, los médicos a quienes se indujo un afecto positivo integraron antes la información de un caso y se anclaron menos en su primera hipótesis (Estrada, Isen &amp; Young, 1997). El estado afectivo no acompaña al razonamiento; lo configura. Maturana lo había dicho desde la biología, en una formulación que esta sección adopta: las emociones son disposiciones corporales que especifican el dominio de acciones en que un organismo puede moverse en cada momento (Maturana, 1990). Un ánimo no es ruido sobre el razonamiento; es el repertorio de pensamientos y conductas disponibles, y por eso debe figurar entre los hechos.</w:t>
      </w:r>
    </w:p>
    <w:p>
      <w:pPr>
        <w:pStyle w:val="BodyJ"/>
      </w:pPr>
      <w:r>
        <w:t xml:space="preserve">¿Qué hacer con esto, si no se puede decretar el descanso ni el buen ánimo? Tres cosas, todas coherentes con el resto del libro.</w:t>
      </w:r>
    </w:p>
    <w:p>
      <w:pPr>
        <w:pStyle w:val="BodyJ"/>
      </w:pPr>
      <w:r>
        <w:t xml:space="preserve">Primero, tratar el propio estado como un hecho de la capa H. «¿En qué condiciones estoy pensando esto?» es una pregunta con respuesta observable: la hora, las horas de turno, lo dormido, el ánimo, la preocupación ajena al caso que ocupa la mitad de la atención. Y esa respuesta es un dato sobre la confiabilidad del instrumento que está produciendo las inferencias, tan pertinente como la calibración de un gasómetro. Reconocerlo no es debilidad, sino la trazabilidad que el capítulo 1 exige a cualquier observación, aplicada al observador. Por eso la lista de disparadores de esta sección tiene un ítem más: el estado del razonador. Turno largo, madrugada, ánimo alterado o una preocupación que no es el paciente son condiciones que, por sí solas, justifican la pausa breve o el segundo lector, aunque el caso parezca fácil. Sobre todo si parece fácil.</w:t>
      </w:r>
    </w:p>
    <w:p>
      <w:pPr>
        <w:pStyle w:val="BodyJ"/>
      </w:pPr>
      <w:r>
        <w:t xml:space="preserve">Segundo, no apostar a la voluntad. Las herramientas de este libro que más valen a las cuatro de la mañana son las que no necesitan energía para activarse: el criterio de reapertura escrito cuando todavía había lucidez, la pregunta fija de la entrega de turno, la regla de ocho ítems al lado de la camilla, la versión de sesenta segundos. Son prótesis del esfuerzo: trasladan el pensamiento desde el momento en que no está disponible hacia el momento en que lo estuvo, o hacia otra persona. El diseño reemplaza al ánimo porque el ánimo no es confiable, y esa es la razón para diseñar.</w:t>
      </w:r>
    </w:p>
    <w:p>
      <w:pPr>
        <w:pStyle w:val="BodyJ"/>
      </w:pPr>
      <w:r>
        <w:t xml:space="preserve">Tercero, usar el relevo. La entrega de turno, además de transferir información, es el momento en que un cerebro descansado revisa lo que decidió uno cansado, y eso cambia qué se entrega. «Lo vi a las cinco, con doce horas encima; la hipótesis es X y no alcancé a pensar en Y» es una frase que un equipo maduro puede decir sin vergüenza, y vale más que «sin novedades». El capítulo 13 desarrolla la mitad colectiva de esta idea; el capítulo 16, su mitad institucional, porque los turnos y el descanso son condiciones epistémicas antes que laborales.</w:t>
      </w:r>
    </w:p>
    <w:p>
      <w:pPr>
        <w:pStyle w:val="BodyJ"/>
      </w:pPr>
      <w:r>
        <w:t xml:space="preserve">Nada de esto convierte al clínico cansado en lúcido. Lo convierte en alguien que sabe en qué estado está pensando y organiza el trabajo para que su juicio sea revisado por un instrumento mejor calibrado: una regla, una nota escrita antes, un colega que acaba de llegar.</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La mente del principiante</w:t>
      </w:r>
    </w:p>
    <w:p>
      <w:pPr>
        <w:pStyle w:val="BodyJ"/>
      </w:pPr>
      <w:r>
        <w:t xml:space="preserve">Hay una tradición que lleva siglos entrenando la operación de esa primera instrucción, y vale reconocerla aunque venga de lejos de la medicina. Suzuki abrió sus charlas sobre la práctica del Zen con una frase que cualquier residente podría tener pegada en la ficha: en la mente del principiante hay muchas posibilidades; en la del experto, pocas (Suzuki, 1970). </w:t>
      </w:r>
      <w:r>
        <w:rPr>
          <w:i/>
          <w:iCs/>
        </w:rPr>
        <w:t xml:space="preserve">Shoshin</w:t>
      </w:r>
      <w:r>
        <w:t xml:space="preserve">, la mente del principiante, no es ignorancia, sino la disposición a mirar lo que ya se conoce como si fuera la primera vez, sin que el nombre decida por adelantado. Presentar el caso sin la etiqueta es </w:t>
      </w:r>
      <w:r>
        <w:rPr>
          <w:i/>
          <w:iCs/>
        </w:rPr>
        <w:t xml:space="preserve">shoshin</w:t>
      </w:r>
      <w:r>
        <w:t xml:space="preserve"> vuelto procedimiento; el Taller 8 es una práctica contemplativa con disfraz de ejercicio clínico.</w:t>
      </w:r>
    </w:p>
    <w:p>
      <w:pPr>
        <w:pStyle w:val="BodyJ"/>
      </w:pPr>
      <w:r>
        <w:t xml:space="preserve">Lo segundo que el Zen aporta es el «no saber» como disciplina y no como derrota: sostener la pregunta abierta sin precipitarse a cerrarla, que es el «no lo sé» del capítulo 14 y la cartografía del capítulo 3. Y lo tercero es la atención misma como práctica que se entrena. Epstein, cuyo concepto de práctica atenta este capítulo ya usó, lo trajo explícitamente de esa tradición (Epstein, 1999), y con Krasner observó en setenta médicos de atención primaria que un programa de comunicación atenta se asoció con menos agotamiento y más empatía, aunque sin grupo control (Krasner et al., 2009). El estado del que piensa, tratado páginas atrás, tiene aquí su contraparte: si el ánimo y el cansancio son hechos, la atención es una habilidad, y las habilidades se practican.</w:t>
      </w:r>
    </w:p>
    <w:p>
      <w:pPr>
        <w:pStyle w:val="BodyJ"/>
      </w:pPr>
      <w:r>
        <w:t xml:space="preserve">Dos límites, para que el préstamo no se vuelva decorado. Este libro toma del Zen una disciplina de la atención y una actitud ante el no saber, no una metafísica ni una terapéutica. Y la mente del principiante no reemplaza al </w:t>
      </w:r>
      <w:r>
        <w:rPr>
          <w:i/>
          <w:iCs/>
        </w:rPr>
        <w:t xml:space="preserve">illness script</w:t>
      </w:r>
      <w:r>
        <w:t xml:space="preserve">: el experto que mira como principiante sigue sabiendo lo que sabe; lo que suspende es la prisa con que ese saber cierra el caso. Varela, practicante budista que escribió desde esa experiencia, dijo en el capítulo 6 lo que la une con la pericia: el saber hacer responde sin deliberar, y la deliberación entra en el quiebre. La pausa de este capítulo es ese quiebre buscado a propósito: un respiro entre el patrón que se encendió y la frase que lo fija.</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visitas de sala, altas y entregas de turno.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 — y la calidad del proceso tiene componentes nombrables: representación, alternativas consideradas, estimación de consecuencias, comunicación, seguimiento y revisabilidad.</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al paciente hospitalizado de su lista actual cuyo diagnóstico de ingreso lleve más días repitiéndose en las evoluciones sin ser cuestionado. Redacte su presentación en cinco líneas describiendo exclusivamente los hallazgos primarios, la línea temporal y el contexto basal, con prohibición estricta de usar el diagnóstico de trabajo o sus sinónimos. Luego responda: ¿qué dato discordante reapareció apenas quitó la etiqueta que lo mantenía subordinado?, ¿qué hipótesis alternativa se volvió visible?, ¿se sostiene el plan terapéutico actual frente a la nueva representación?</w:t>
      </w:r>
    </w:p>
    <w:p>
      <w:pPr>
        <w:pStyle w:val="BodyJ"/>
      </w:pPr>
      <w:r>
        <w:rPr>
          <w:i/>
          <w:iCs/>
        </w:rPr>
        <w:t xml:space="preserve">Error típico.</w:t>
      </w:r>
      <w:r>
        <w:t xml:space="preserve"> El sinónimo disfrazado: «cuadro infeccioso de origen urinario en tratamiento» cumple la prohibición de la palabra y viola su propósito, porque sigue organizando la percepción desde el diagnóstico. La presentación que funciona empieza por la persona y la línea temporal —lesión medular, sonda, recambio traumático, orina turbia, afebril— y deja que el oyente arme la hipótesis; si la etiqueta entra por la puerta de atrás, el ejercicio no ocurrió.</w:t>
      </w:r>
    </w:p>
    <w:p>
      <w:pPr>
        <w:pStyle w:val="BodyJ"/>
      </w:pPr>
      <w:r>
        <w:rPr>
          <w:i/>
          <w:iCs/>
        </w:rPr>
        <w:t xml:space="preserve">Solución comentada.</w:t>
      </w:r>
      <w:r>
        <w:t xml:space="preserve"> El ejercicio funciona por sustracción: la etiqueta organiza la percepción, y quitarla obliga a re-observar. En el caso de la cama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Esta es la reconstrucción.</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se activaron dos disparadores concretos: la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paredes abdominales complejas la autorizaban a decir «programada,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Marcela, la enfermera de urgencias, que midió el llene capilar de cinco segundos y anotó las rodillas moteadas en su hoja. Durante las primeras horas, esa hoja fue el único lugar de la ficha donde la gravedad existía. Nadie le preguntó qué pensaba hasta que la internista lo hizo en la mañana, y la respuesta no cabía en ninguna casilla: «A mí no me pareció la de siempre; no quiso ni el agua». Fue la primera versión de «esta vez es distinto» que el equipo escuchó, y venía de quien había mirado a Carmen más tiempo que nadie.</w:t>
      </w:r>
    </w:p>
    <w:p>
      <w:pPr>
        <w:pStyle w:val="BodyJ"/>
      </w:pPr>
      <w:r>
        <w:t xml:space="preserve">Y está la calibración de la confianza colectiva. En la visita vespertina del primer día, cuando los hemocultivos preliminares informaron bacilos gramnegativos, la internista hizo una pregunta que rara vez se formula en voz alta: «¿Qué tan seguros estamos hoy de que esta bacteriemia viene del intestino atascado? ¿Ochenta por ciento? ¿Noventa y cinco?». El porcentaje exacto importaba menos que el efecto cognitivo de la pregunta. Al obligarse a ponerle número, el equipo notó que su certeza del 95% provenía de la elegancia narrativa —la historia de la hernia cerraba perfecto— y no de haber examinado sistemáticamente los focos rivales. Diez minutos bastaron para solicitar un sedimento urinario con urocultivo, inspeccionar los sitios de punción venosa instalados en urgencias y documentar la ausencia de síntomas respiratorios o biliares. Ese chequeo transformó una seguridad retórica en una inferencia por exclusión verdaderamente respaldada.</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leerse con su marco a la vista y traducirse a una persona (capítulo 9); la decisión por umbrales, donde los valores entran al cálculo y la bioética entra en la premisa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La guía clínica cita un ensayo aleatorizado y concluye: «la reparación quirúrgica electiva de la hernia incisional reduce significativamente la recurrencia obstructiva frente al manejo expectante en pacientes comparables». En la cama 7, Carmen —61 años, recién recuperada de un shock séptico, con un EPOC moderado y un abdomen ya operado— escucha la recomendación del equipo y hace una pregunta simple: «¿Y qué pasa si no me opero?». Entre el resultado promedio del artículo científico y la respuesta honesta a Carmen existe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aritmética, hecha explícita con Carmen y con cifras ilustrativas, lo muestra. Suponga que el ensayo clínico de referencia demostró que operar electivamente reduce un 50% el riesgo relativo de una nueva obstrucción a dos años, con un riesgo basal de 20% en la cohorte estudiada. Eso equivale a una reducción absoluta de 10 puntos: hay que operar a diez pacientes promedio para evitar una obstrucción. Pero Carmen no pertenece al promedio de ese estudio. Tras cuatro episodios en doce meses, cada vez más seguidos y el último con shock séptico, su probabilidad basal de volver a obstruirse con una complicación grave es mucho mayor: por ejemplo, un 60%. Si el beneficio relativo se mantuviera, la reducción absoluta en ella subiría a 30 puntos porcentuales: casi uno de cada tres casos como el suyo evitaría un evento potencialmente letal. Sin embargo, su denominador de daño también se aparta del ensayo: el EPOC moderado, el desacondicionamiento post-sepsis y una pared con cicatrices previas elevan su riesgo absoluto de complicaciones respiratorias o quirúrgicas. La aritmética clínica no decide por la paciente, pero desnuda qué hay que estimar antes de recomendar: dos riesgos basales individualizados, el de la enfermedad sin intervención y el del quirófano. Y muestra por qué la muletilla «está indicado por evidencia» suele esconder ambas estimaciones.</w:t>
      </w:r>
    </w:p>
    <w:p>
      <w:pPr>
        <w:pStyle w:val="BodyJ"/>
      </w:pPr>
      <w:r>
        <w:t xml:space="preserve">La validez externa no es una propiedad binaria del estudio, sino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Antes de traducir un resultado al caso hay que leerlo, y leerlo ya es una decisión. Pocas historias recientes lo muestran mejor.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sino el riesgo inductivo que el capítulo siguiente desarrolla,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9.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Singularidad sin arbitrariedad: evidencia externa, local y del propio caso</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 Esa exigencia evita dos excesos simétricos: el positivismo ingenuo que cree que el estudio decide por sí solo y el particularismo romántico que presenta la intuición del médico como conocimiento inaccesible a examen.</w:t>
      </w:r>
    </w:p>
    <w:p>
      <w:pPr>
        <w:pStyle w:val="BodyJ"/>
      </w:pPr>
      <w:r>
        <w:t xml:space="preserve">La evidencia externa convive con dos fuentes más. La primera es el conocimiento local —epidemiología, perfiles de resistencia, disponibilidad diagnóstica, tiempos de traslado, experiencia técnica, capacidad de seguimiento—, que puede modificar la decisión sin contradecir ningún estudio, siempre que sea explícito y actualizable y no una tradición institucional. La segunda es el propio paciente, que genera evidencia longitudinal sobre sí mismo: respuestas previas, recurrencias, efectos adversos y preferencias estables, información relevante aunque no equivalga a un ensayo N-de-1 formal. El riesgo con ambas es la atribución causal fácil: la mejoría posterior a una intervención no demuestra que haya sido causada por ella cuando coexisten historia natural y tratamientos simultáneos.</w:t>
      </w:r>
    </w:p>
    <w:p>
      <w:pPr>
        <w:pStyle w:val="BodyJ"/>
      </w:pPr>
      <w:r>
        <w:t xml:space="preserve">Una deliberación bien formulada declara, por eso, qué proviene de estudios, qué se extrapola, qué aporta la historia individual, qué depende del contexto local y qué permanece desconocido. La competencia metacognitiva consiste en reconocer cuándo se está citando un resultado, cuándo extrapolando, cuándo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Leer un ensayo es ya una decisión sobre su marco; traducirlo a esta persona es una inferencia que debe declararse — ni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El último ensayo «negativo» que cité: ¿mostró ausencia de efecto o ausencia de significación — y traté esa diferencia como si no existiera?</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bioética</w:t>
      </w:r>
    </w:p>
    <w:p>
      <w:pPr>
        <w:pStyle w:val="BodyJ"/>
      </w:pPr>
      <w:r>
        <w:t xml:space="preserve">Suponga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y la decisión técnica se cruza con la bioética.</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10.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se toleran más falsos positivos para reducir omisiones. En un tratamiento tóxico o irreversible, se exige mayor evidencia. La incertidumbre diagnóstica debe traducirse en una matriz de consecuencias.</w:t>
      </w:r>
    </w:p>
    <w:p>
      <w:pPr>
        <w:pStyle w:val="BodyJ"/>
      </w:pPr>
      <w:r>
        <w:t xml:space="preserve">Los dos momentos de Carmen ilustran esta asimetría de costos. En la madrugada del ingreso, con la paciente en shock pero con una tomografía sin necrosis ni perforación libre, entrar a pabellón en plena inestabilidad hemodinámica conllevaba una mortalidad perioperatoria altísima. Como el cuadro cedió rápido con descompresión nasogástrica y antibióticos, el umbral para una cirugía de rescate inmediato era muy alto, y fue prudente no cruzarlo. Días después, con Carmen recuperada en sala, la matriz de consecuencias se invierte. El error más costoso ya no es operar a una paciente inestable, sino enviarla de alta con el anillo herniario intacto. Un quinto atascamiento reproduciría entonces el shock séptico en su casa, lejos de una cama crítica. La anatomía radiológica es la misma; lo que desplazó el umbral terapéutico hacia la reparación electiva fue el nuevo peso pronóstico del error de omisión. La Figura 11 pone los dos momentos uno junto al otro.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9750" cy="3505200"/>
                          </a:xfrm>
                          <a:prstGeom prst="rect">
                            <a:avLst/>
                          </a:prstGeom>
                        </pic:spPr>
                      </pic:pic>
                    </a:graphicData>
                  </a:graphic>
                </wp:inline>
              </w:drawing>
            </w:r>
          </w:p>
          <w:p>
            <w:pPr>
              <w:pStyle w:val="Caption"/>
            </w:pPr>
            <w:r>
              <w:t xml:space="preserve">Figura 11. La línea de tiempo de Carmen y el umbral que se mueve: en la madrugada, el daño esperado de operar en shock supera al de esperar; al día 7, el daño esperado de un alta sin operar supera al de una cirugía programada. Los hechos anatómicos no cambiaron; cambió el costo del error de omisión.</w:t>
            </w:r>
          </w:p>
        </w:tc>
      </w:tr>
    </w:tbl>
    <w:p>
      <w:pPr>
        <w:spacing w:after="60"/>
      </w:pP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p. 2). Heather Douglas llamó a esto riesgo inductivo y sostuvo que atraviesa toda la ciencia con consecuencias prácticas. Cuánta evidencia se exige antes de afirmar que un compuesto es tóxico depende de qué error —afirmar de más o afirmar de menos— produce más daño (Douglas, 2000, pp. 565-577).</w:t>
      </w:r>
    </w:p>
    <w:p>
      <w:pPr>
        <w:pStyle w:val="BodyJ"/>
      </w:pPr>
      <w:r>
        <w:t xml:space="preserve">La clínica es el caso extremo y más honesto de esta tesis. El umbral de Pauker y Kassirer es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significa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Y la persona,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la frontera entre evidencia técnica y bioética tiene estructura epistémica antes que moral. Consiste en tratar la «indicación médica» como una propiedad intrínseca del órgano enfermo y no como una relación proporcional entre una intervención y una biografía concreta. «La estenosis aórtica severa sintomática tiene indicación de recambio valvular quirúrgico o percutáneo (TAVI)» es un enunciado verdadero sobre una cohorte seleccionada. Afirmar que este hombre de 88 años va a recuperar calidad de vida o funcionalidad gracias a la prótesis valvular es una inferencia completamente distinta. Tiene fragilidad clínica avanzada, deterioro cognitivo incipiente, dos hospitalizaciones por broncoaspiración en el semestre y una hija cuidadora exhausta, y la validez de esa inferencia exige meter esos hechos en la ecuación. Aquí la brecha entre el efecto promedio del ensayo y el caso singular exhibe toda su carga moral. Cuando la evaluación omite la funcionalidad basal y el soporte familiar, lo que se pierde no es sólo precisión pronóstica; es el paciente mismo.</w:t>
      </w:r>
    </w:p>
    <w:p>
      <w:pPr>
        <w:pStyle w:val="BodyJ"/>
      </w:pPr>
      <w:r>
        <w:t xml:space="preserve">Hay que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Una, en la conversación donde la cirujana recomienda operar a Carmen y le devuelve la decisión (Interludio III). Otra, en la viñeta del final de la vida, donde la incertidumbre que domina no es pronóstica sino de metas (Cuaderno de casos, viñeta 5).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Error típico.</w:t>
      </w:r>
      <w:r>
        <w:t xml:space="preserve"> En ejercicios docentes, la respuesta intuitiva se concentra entre 80% y 90%: se lee la sensibilidad de la prueba como si fuera la probabilidad de la enfermedad, y la prevalencia de 10% desaparece del cálculo. El segundo error es el inverso y más discreto: quien ya conoce la trampa responde «muy baja» sin calcular, y pasa de la sobreconfianza a la desconfianza sin pasar por el número. Las frecuencias naturales existen para que la respuesta sea 33% y no una actitud.</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estimación intuitiva suele quedar muy por encima. Cuando Casscells y colaboradores plantearon un problema análogo a médicos y estudiantes de Harvard, la respuesta más frecuente fue 95% donde la correcta rondaba el 2%: el error clásico de ignorar la probabilidad previa (Casscells et al., 1978;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12.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mayor pendiente —cirugía, ingreso a diálisis, conexión a ventilación mecánica o inicio de una nueva línea oncológica—. Dibuje en un papel las cuatro casillas de Jonsen: indicaciones médicas, preferencias del paciente, calidad de vida y rasgos contextuales. Complételas en cinco minutos utilizando únicamente lo que recuerda hoy, sin abrir la ficha clínica. Luego ábrala y contraste: ¿qué casilla quedó vacía, y ese vacío refleja una incógnita real del caso o una omisión en el estudio del paciente?</w:t>
      </w:r>
    </w:p>
    <w:p>
      <w:pPr>
        <w:pStyle w:val="BodyJ"/>
      </w:pPr>
      <w:r>
        <w:rPr>
          <w:i/>
          <w:iCs/>
        </w:rPr>
        <w:t xml:space="preserve">Solución comentada.</w:t>
      </w:r>
      <w:r>
        <w:t xml:space="preserve"> El ejercicio suele revelar dos hallazgos. Primero: mientras la casilla de indicaciones biomédicas se llena sin esfuerzo, las otras tres exhiben lagunas que no son opiniones discutibles sino hechos nunca recabados. Nadie preguntó con quién vive el paciente; la funcionalidad basal figura como «previamente autovalente» por arrastre documental, sin evaluación objetiva; y las preferencias registradas son presunciones de la familia, no la voz directa del enfermo. Segundo: completar las cuatro casillas rara vez cambia el aspecto técnico de la intervención, pero transforma de raíz la deliberación. Hace evidente con quién falta conversar, qué datos basales urge verificar y qué decisiones está tomando el equipo por pura inercia asistencial. Y cuando las cuatro casillas están completas y aun así persiste el desacuerdo, el ejercicio entrega un último diagnóstico crucial: el caso ya no requiere más exámenes; requiere deliberación estructurada y, a menudo, tiempo.</w:t>
      </w:r>
    </w:p>
    <w:p>
      <w:pPr>
        <w:pStyle w:val="EnUnaFrase"/>
      </w:pPr>
      <w:r>
        <w:rPr>
          <w:b/>
          <w:bCs/>
        </w:rPr>
        <w:t xml:space="preserve">En una frase.</w:t>
      </w:r>
      <w:r>
        <w:t xml:space="preserve"> Decidir sin certeza no es un mal menor: es la forma normal del juicio clínico cuando trabaja bien — umbrales explícitos, valores declarados y el contexto global del paciente dentro del cálculo.</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De mi paciente más grave de hoy: ¿sé cómo funcionaba antes de enfermar, con quién vive y qué espera del tratamiento — y está escrito en alguna parte?</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repite en cada entrega de turno y casi nunca alguien detiene la presentación para preguntar: ¿mejor en comparación con qué momento?, ¿mejor en qué variable fisiológica?, ¿mejor a qué velocidad? Un lactato arterial de 3 mmol/L puede ser una excelente noticia si desciende desde 6 mmol/L tras la reanimación inicial, o una señal ominosa si asciende desde 1,5 mmol/L. Este capítulo trata del tiempo: la dimensión clínica donde los datos cambian radicalmente de significado sin cambiar de valor numérico.</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Los marcadores tienen, además, su propio tiempo, y leerlos sin él fabrica falsos fracasos. La proteína C reactiva empieza a subir unas seis horas después del estímulo, alcanza su máximo alrededor de las 48 y tiene una vida media de unas 19 horas (Pepys &amp; Hirschfield, 2003). Una PCR de las 48 horas más alta que la del ingreso, en una neumonía cuyo paciente ya está afebril, comiendo y sin oxígeno, no es un fracaso del antibiótico sino la cinética esperada de un estímulo reciente. Escalar el tratamiento por ella es tratar al número. Lo que informa es el cuarto día. En la cohorte de Edimburgo, una PCR de ingreso bajo 100 mg/L se asoció con menos complicaciones y menos mortalidad (Chalmers et al., 2008). La caída de al menos la mitad al cuarto día se ha usado como marcador de estabilidad, aunque agrega poco a los criterios clínicos salvo para detectar la neumonía complicada (Akram et al., 2013). Es la lección del lactato del capítulo 1 con otro marcador: el estado del paciente manda sobre el número y la trayectoria manda sobre el valor aislado. Por eso una predicción útil lleva su plazo escrito: no «PCR en descenso», sino «PCR en descenso al cuarto día».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sino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Tiempo, reversibilidad y umbral</w:t>
      </w:r>
    </w:p>
    <w:p>
      <w:pPr>
        <w:pStyle w:val="BodyJ"/>
      </w:pPr>
      <w:r>
        <w:t xml:space="preserve">La misma probabilidad conduce a decisiones distintas según el tiempo: el umbral del capítulo anterior no está fijo en el eje temporal. Cuando el daño progresa rápidamente, el valor de esperar información disminuye. Cuando la conducta es reversible, puede iniciarse con un umbral menor y reevaluarse. Cuando es irreversible, la deliberación debe ser más exigente — y el tiempo que se compra con una medida reversible es, a menudo, la mejor inversión diagnóstica disponible.</w:t>
      </w:r>
    </w:p>
    <w:p>
      <w:pPr>
        <w:pStyle w:val="BodyJ"/>
      </w:pPr>
      <w:r>
        <w:t xml:space="preserve">Una forma práctica de pensar incluye cinco dimensiones: probabilidad, magnitud del daño, velocidad de evolución, reversibilidad de la intervención y capacidad de vigilancia. Iniciar un tratamiento empírico no declara certeza etiológica; declara que, con esta velocidad y esta reversibilidad, actuar supera a esperar. El taller de este capítulo pone la alternativa —esperar con diseño— por escrito.</w:t>
      </w:r>
    </w:p>
    <w:p>
      <w:pPr>
        <w:pStyle w:val="BodyJ"/>
      </w:pPr>
      <w:r>
        <w:t xml:space="preserve">La geografía desplaza el umbral tanto como la velocidad. En un hospital insular, a cinco horas de vuelo del escáner y del cirujano más cercanos, una mujer de 40 años consulta a las 16:00 por dolor en la fosa iliaca derecha de doce horas, con fiebre baja y leucocitosis moderada; la ecografía no logra ver el apéndice. En la ciudad, el plan sería observación activa y tomografía si el dolor localiza. En la isla no hay tomografía, el avión ambulancia tarda horas en llegar y, pasada cierta hora, no despega hasta el día siguiente. La probabilidad de apendicitis es la misma en los dos lugares; lo que cambia es el costo de esperar. El «control a las 4 horas» del taller de este capítulo se convierte en «decidir antes de que cierre la ventana de evacuación», y por eso el umbral para trasladar es más bajo que el umbral para operar. La decisión defendible se escribe con la geografía dentro: «apendicitis probable, no demostrada; se solicita evacuación aeromédica ahora, porque la ventana de traslado vence antes que la ventana de observación». Esperar la certeza que el escáner daría es, aquí, elegir el error más caro.</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Considere cómo se condensa un punto de inflexión en la ficha: «Cuarto episodio obstructivo en doce meses, por primera vez complicado con bacteriemia y shock séptico, lo que invalida la seguridad del manejo expectante previo.» La frase no predice con certeza absoluta que una quinta obstrucción será letal. Expresa algo más riguroso: que la aceleración de las recurrencias y el salto cualitativo en gravedad han modificado la inferencia pronóstica. Al elevar el costo esperado de un nuevo evento, han desplazado el umbral a favor de una intervención electiva.</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exámenes iniciales tranquilizadores quedará hospitalizado o en urgencias «en observación». Redacte el plan en no más de cuatro líneas, de modo que la espera opere como una intervención diagnóstica estructurada y no como una postergación pasiva.</w:t>
      </w:r>
    </w:p>
    <w:p>
      <w:pPr>
        <w:pStyle w:val="BodyJ"/>
      </w:pPr>
      <w:r>
        <w:rPr>
          <w:i/>
          <w:iCs/>
        </w:rPr>
        <w:t xml:space="preserve">Solución comentada.</w:t>
      </w:r>
      <w:r>
        <w:t xml:space="preserve"> Una formulación defendible es:</w:t>
      </w:r>
    </w:p>
    <w:p>
      <w:pPr>
        <w:pStyle w:val="Quote1"/>
      </w:pPr>
      <w:r>
        <w:t xml:space="preserve">Observación clínica activa por dolor abdominal agudo en estudio, con probabilidad pretest baja pero no excluida de patología quirúrgica. Plan: reevaluación abdominal presencial a las 4 h (o antes si presenta dolor en ascenso, vómitos, fiebre o taquicardia &gt;100 lpm); control de parámetros inflamatorios a las 6 h. Si el dolor migra o localiza, aparece irritación peritoneal o no tolera prueba de vía oral, avisar al médico de turno de inmediato para solicitar tomografía. Si a las 8 h permanece afebril, sin dolor a la deambulación y tolerando régimen líquido, proceder al alta con pauta escrita de signos de alarma.</w:t>
      </w:r>
    </w:p>
    <w:p>
      <w:pPr>
        <w:pStyle w:val="BodyJ"/>
      </w:pPr>
      <w:r>
        <w:t xml:space="preserve">Esta estructura explicita los cuatro pilares que validan al tiempo como prueba diagnóstica. Qué se busca evaluar: la trayectoria del dolor y la tolerancia oral. En qué ventana: 4 a 8 horas. Qué variables gatillan acción, con plazos y responsables definidos. Y cuáles son los umbrales de salida en ambas direcciones: escalar el estudio o dar el alta. Compárese con la anotación habitual «control según evolución», una fórmula vacía que delega en el azar lo que debía quedar gobernado por el diseño del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ficha clínica de cualquier paciente que lleve más de una semana hospitalizado y busque el párrafo que se repite intacto desde el ingreso. Casi siempre está ahí. Alguien lo redactó el primer día, otro lo copió y pegó el segundo, y desde entonces viaja en las evoluciones como un polizón: «paciente con antecedente de ITU a repetición», «en estudio por baja de peso», «se mantiene manejo habitual». Este capítulo aborda la ficha clínica como tecnología cognitiva: la diferencia entre un registro que sostiene el pensamiento y uno que lo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sostuvo que la clínica moderna no nació simplemente de mirar mejor, sino de reorganizar qué era decible y registrable. El hospital, la autopsia y el registro crearon un espacio donde ciertos fenómenos pudieron convertirse en signos y otros ni siquiera podían formularse (Foucault, 1966).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BodyJ"/>
      </w:pPr>
      <w:r>
        <w:t xml:space="preserve">La crítica tiene una contraparte constructiva, y vale nombrarla para quien diseña o compra sistemas. Una ficha electrónica pensada desde HII-D no guardaría un diagnóstico como texto libre ni como un código cerrado. Lo guardaría como un objeto con atributos obligatorios: estado de verificación (provisional, diferencial, confirmado, refutado), fuente y fecha de cada hecho que lo sostiene, grado de la inferencia según el léxico del Apéndice B y fecha de reevaluación. Un «antecedente» sin autor ni fecha no podría copiarse a la nota siguiente sin arrastrar su procedencia, y una hipótesis que lleva diez días en estado «provisional» se volvería visible por sí sola. No exige una tecnología nueva: es la lógica de trazabilidad con que un laboratorio etiqueta cada muestra, aplicada a las afirmaciones. Mientras esa ficha no exista, el médico puede imitarla a mano: escribir el estado de la hipótesis junto a su nombre.</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La magnitud del fenómeno ya fue medida. En 23.630 notas de evolución hospitalarias con trazabilidad de cada carácter, sólo el 18% del texto había sido escrito a mano; el 46% venía copiado de notas previas y el 36% importado automáticamente desde otras partes del registro (Wang et al., 2017). Cuatro de cada cinco palabras de una evolución típica no fueron pensadas el día en que aparecen firmadas. Cada evolución debería responder qué cambió en hechos, interpretación, incertidumbre y plan.</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038475"/>
                          </a:xfrm>
                          <a:prstGeom prst="rect">
                            <a:avLst/>
                          </a:prstGeom>
                        </pic:spPr>
                      </pic:pic>
                    </a:graphicData>
                  </a:graphic>
                </wp:inline>
              </w:drawing>
            </w:r>
          </w:p>
          <w:p>
            <w:pPr>
              <w:pStyle w:val="Caption"/>
            </w:pPr>
            <w:r>
              <w:t xml:space="preserve">Figura 13. El viaje de una frase: la conjetura del prefacio se convierte en antecedente y el antecedente en hecho sin que nadie mienta en ningún punto. Al pie, de qué está hecha una evolución típica según Wang, Khanna y Najafi (2017).</w:t>
            </w:r>
          </w:p>
        </w:tc>
      </w:tr>
    </w:tbl>
    <w:p>
      <w:pPr>
        <w:spacing w:after="60"/>
      </w:pP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lesión medular, vejiga neurogénica y sonda Foley permanente; presenta orina turbia, piuria y urocultivo positivo tras recambio reciente del catéter. Se mantiene afebril, hemodinámicamente estable y sin deterioro respecto de su basal. Parámetros inflamatorios elevados sin curva previa, en contexto de un cáncer renal metastásico activo. Antecedente documentado de colonización previa por enterobacteria multirresistente.</w:t>
      </w:r>
    </w:p>
    <w:p>
      <w:pPr>
        <w:pStyle w:val="BodyJ"/>
      </w:pPr>
      <w:r>
        <w:rPr>
          <w:i/>
          <w:iCs/>
        </w:rPr>
        <w:t xml:space="preserve">Inferencia:</w:t>
      </w:r>
      <w:r>
        <w:t xml:space="preserve"> bacteriuria y piuria asociadas a recambio de catéter en paciente crónicamente colonizado; sin evidencia clínica actual de infección urinaria sintomática asociada a catéter. Los marcadores inflamatorios tienen una explicación oncológica alternativa y plausible.</w:t>
      </w:r>
    </w:p>
    <w:p>
      <w:pPr>
        <w:pStyle w:val="BodyJ"/>
      </w:pPr>
      <w:r>
        <w:rPr>
          <w:i/>
          <w:iCs/>
        </w:rPr>
        <w:t xml:space="preserve">Incertidumbre:</w:t>
      </w:r>
      <w:r>
        <w:t xml:space="preserve"> los síntomas urinarios bajos clásicos no son evaluables por su lesión medular; el riesgo es subestimar una infección incipiente de expresión atípica.</w:t>
      </w:r>
    </w:p>
    <w:p>
      <w:pPr>
        <w:pStyle w:val="BodyJ"/>
      </w:pPr>
      <w:r>
        <w:rPr>
          <w:i/>
          <w:iCs/>
        </w:rPr>
        <w:t xml:space="preserve">Decisión:</w:t>
      </w:r>
      <w:r>
        <w:t xml:space="preserve"> no iniciar antibióticos ahora. Mantener vigilancia clínica estrecha ante la aparición de fiebre, inestabilidad hemodinámica, aumento de espasticidad o disreflexia autonómica. El antecedente de colonización multirresistente —declarado en la capa de hechos— eleva el daño ecológico e individual de un tratamiento innecesario, y exige un umbral clínico estricto antes de prescribir.</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el paso siguiente es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Foley en paciente con vejiga neurogénica y antecedente de colonización multirresistente, sin signos sistémicos ni autonómicos que configuren infección activa; se difiere antibioterapia bajo vigilancia dirigida para evitar selección de resistencia.»</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La ficha de resultados y la ficha de proceso</w:t>
      </w:r>
    </w:p>
    <w:p>
      <w:pPr>
        <w:pStyle w:val="BodyJ"/>
      </w:pPr>
      <w:r>
        <w:t xml:space="preserve">«Neumonía. Ceftriaxona 2 g.» Casi toda ficha contiene notas así, y casi nadie las considera incompletas: tienen un diagnóstico y un tratamiento, que es lo que la plantilla pide. Pero la flecha entre esas dos palabras esconde una cascada de decisiones que alguien tomó, o dejó de tomar, y que la nota no registra. ¿Tiene realmente neumonía, y en base a qué? ¿Requiere hospitalizarse, y en qué unidad? ¿Qué factores anuncian una evolución tórpida? ¿A qué microorganismos apunta la cobertura empírica, y cuáles quedan deliberadamente fuera? ¿Hay que cubrir anaerobios? ¿Qué complicación conviene descartar, y con qué? ¿Necesita oxígeno? ¿Se beneficia de corticoides, y qué lo vuelve riesgoso en este paciente? ¿Cuánto esperar para evaluar la respuesta, y con qué cinética se lee la PCR? Cada pregunta es un HII-D en miniatura; la nota de resultados las comprime todas en una preposición que ni siquiera está escrita.</w:t>
      </w:r>
    </w:p>
    <w:p>
      <w:pPr>
        <w:pStyle w:val="BodyJ"/>
      </w:pPr>
      <w:r>
        <w:t xml:space="preserve">Hay, entonces, dos fichas que suelen confundirse. La ficha de resultados registra conclusiones y acciones: lo que se decidió. La ficha de proceso registra, además, los verbos que llevaron hasta ahí. Qué se sospechó y por qué; de qué se dudó; qué se descartó y con qué método; qué se priorizó; qué se infirió y con qué grado; qué se realizó; qué se repitió; qué se comprobó; qué se aprendió. No es una lista de virtudes: es una gramática, y cada verbo cae en una capa del método. Sospechado e inferido son la capa I; dudado, descartado y priorizado son la incertidumbre; realizado y repetido son la decisión; comprobado y aprendido son la reevaluación. La ficha de resultados conjuga un solo verbo, «se indica», y por eso no puede ser auditada: no hay camino que recorrer.</w:t>
      </w:r>
    </w:p>
    <w:p>
      <w:pPr>
        <w:pStyle w:val="BodyJ"/>
      </w:pPr>
      <w:r>
        <w:t xml:space="preserve">La misma neumonía, escrita como proceso, cabe en ocho líneas:</w:t>
      </w:r>
    </w:p>
    <w:p>
      <w:pPr>
        <w:pStyle w:val="Quote1"/>
      </w:pPr>
      <w:r>
        <w:t xml:space="preserve">Sospecho neumonía adquirida en la comunidad en un hombre de 67 años, diabético compensado, por fiebre de tres días, tos productiva, crépitos en la base derecha y opacidad nueva en la radiografía. Dudé de insuficiencia cardiaca (sin edema ni ingurgitación, radiografía sin congestión) y de embolia (sin factores de riesgo, dolor pleurítico ni hemoptisis): las degrado a poco probables, no las descarto. Descarto aspiración por anamnesis, no por imagen: no hubo vómito ni compromiso de conciencia. Priorizo la hipoxemia: saturación 92% ambiental y frecuencia respiratoria 26, oxígeno por naricera; sala y no intermedio, porque no hay hipotensión, confusión ni urea elevada. Infiero cobertura para neumococo y atípicos (ceftriaxona más macrólido); sin factores para Pseudomonas ni estafilococo resistente, sin indicación de anaerobios. Corticoides: no, sin criterios de gravedad, y su diabetes elevaría además el costo. Comprobaré a las 72 horas con dos predicciones: afebril y con menos oxígeno; PCR en descenso al cuarto día. Repetiré imagen sólo si persiste la fiebre o aparece matidez: el derrame es la complicación que busco. Reabrir si a las 72 horas no se cumple alguna de las dos predicciones.</w:t>
      </w:r>
    </w:p>
    <w:p>
      <w:pPr>
        <w:pStyle w:val="BodyJ"/>
      </w:pPr>
      <w:r>
        <w:t xml:space="preserve">Dos de esas líneas cargan evidencia que debe nombrarse. El «no» a los corticoides se apoya en que su beneficio en mortalidad se demostró en neumonía grave tratada en cuidados intensivos, no en sala: 6,2% con hidrocortisona frente a 11,9% con placebo a los 28 días (Dequin et al., 2023). La nota lo dice con una palabra: «sin criterios de gravedad». Y las guías no coinciden: la de la ATS y la IDSA de 2019 recomendó no usar corticoides de rutina, con fuerza en la neumonía no grave y con reservas en la grave, mientras que la actualización de 2024 de la Society of Critical Care Medicine, ya con ese ensayo sobre la mesa, los recomienda en la neumonía bacteriana grave hospitalizada (Metlay et al., 2019; Chaudhuri et al., 2024). La ficha de proceso no zanja el desacuerdo; deja escrito con qué umbral de gravedad lo resolvió. Y el «sin indicación de anaerobios» es un descarte con método, el de la anamnesis que no encontró aspiración, y por eso puede revisarse si la anamnesis cambia. La nota de proceso es apenas más larga que «Neumonía. Ceftriaxona» si se cuentan las líneas que una evolución típica dedica a repetir lo de ayer, y es otra cosa: cualquiera que la lea mañana sabe qué se pensó, qué quedó abierto y qué desmentiría el plan. El riesgo que este capítulo ya advirtió —la nota que crece sin pensar— no se corre aquí: la ficha de proceso no escribe más; escribe lo que hoy no se escribe nunca.</w:t>
      </w:r>
    </w:p>
    <w:p>
      <w:pPr>
        <w:pStyle w:val="BodyJ"/>
      </w:pPr>
      <w:r>
        <w:t xml:space="preserve">El último verbo pide párrafo propio, porque es donde la ficha de resultados falla con más silencio: comprobar. «Neumonía. Ceftriaxona» no dice cuándo ni con qué se sabrá si funcionó, y así la respuesta se juzga con lo que llegue primero, que casi siempre es la PCR de las 48 horas. Si viene más alta que al ingreso, con el paciente afebril, comiendo y sin oxígeno, la nota de resultados no tiene con qué leerla y el reflejo es escalar el antibiótico. La ficha de proceso sí tiene con qué, porque escribió la predicción con su tiempo, la cinética del marcador que el capítulo 11 describió. Y la dejó anotada antes de que llegara el resultado: «una PCR alta a las 48 horas con paciente bien no reabre el caso; una PCR que no cae al cuarto día, sí».</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TallerHead"/>
      </w:pPr>
      <w:r>
        <w:t xml:space="preserve">Taller 12. Desfosilizar una evolución</w:t>
      </w:r>
    </w:p>
    <w:p>
      <w:pPr>
        <w:pStyle w:val="BodyJ"/>
      </w:pPr>
      <w:r>
        <w:t xml:space="preserve">La siguiente nota se ha copiado casi idéntica durante cinco días seguidos: «Paciente cursando neumonía en tratamiento antibiótico, hemodinamia estable, afebril, se mantiene manejo». Al quinto día, los datos reales en la hoja de enfermería y en el sistema son otros. Sigue afebril, pero el requerimiento de oxígeno subió de 2 a 4 L/min en 48 horas, la PCR está estacionaria (180→165 mg/L) y hay un derrame pleural nuevo en la radiografía de tórax de control. Reescriba la evolución del día 5 aplicando la estructura HII-D.</w:t>
      </w:r>
    </w:p>
    <w:p>
      <w:pPr>
        <w:pStyle w:val="BodyJ"/>
      </w:pPr>
      <w:r>
        <w:rPr>
          <w:i/>
          <w:iCs/>
        </w:rPr>
        <w:t xml:space="preserve">Solución comentada.</w:t>
      </w:r>
      <w:r>
        <w:t xml:space="preserve"> La evolución desfosilizada:</w:t>
      </w:r>
    </w:p>
    <w:p>
      <w:pPr>
        <w:pStyle w:val="Quote1"/>
      </w:pPr>
      <w:r>
        <w:rPr>
          <w:i/>
          <w:iCs/>
        </w:rPr>
        <w:t xml:space="preserve">Hechos:</w:t>
      </w:r>
      <w:r>
        <w:t xml:space="preserve"> día 5 de tratamiento antibiótico por neumonía adquirida en la comunidad. Afebril desde el día 2 y normotenso, pero con deterioro del intercambio gaseoso (requerimiento de O2 por naricera en ascenso de 2 a 4 L/min en 48 h), PCR estancada (180→165 mg/L) y aparición de derrame pleural ipsilateral en la radiografía de hoy. </w:t>
      </w:r>
      <w:r>
        <w:rPr>
          <w:i/>
          <w:iCs/>
        </w:rPr>
        <w:t xml:space="preserve">Inferencia:</w:t>
      </w:r>
      <w:r>
        <w:t xml:space="preserve"> evolución clínica y radiológica discordante con una neumonía en resolución; alta probabilidad de derrame paraneumónico complicado o empiema; falla de cobertura antimicrobiana o diagnóstico alternativo pasan a ser posibles. </w:t>
      </w:r>
      <w:r>
        <w:rPr>
          <w:i/>
          <w:iCs/>
        </w:rPr>
        <w:t xml:space="preserve">Incertidumbre:</w:t>
      </w:r>
      <w:r>
        <w:t xml:space="preserve"> naturaleza fisicoquímica y microbiológica del líquido pleural desconocida hasta su punción; la ausencia de fiebre no excluye una colección supurada. </w:t>
      </w:r>
      <w:r>
        <w:rPr>
          <w:i/>
          <w:iCs/>
        </w:rPr>
        <w:t xml:space="preserve">Decisión:</w:t>
      </w:r>
      <w:r>
        <w:t xml:space="preserve"> toracocentesis diagnóstica hoy, guiada por ecografía, y ajuste del esquema según el estudio del líquido; si el procedimiento no se concreta en 24 h, interconsulta a cirugía de tórax. Criterio de reapertura inmediata: cualquier incremento adicional en el aporte de oxígeno o taquipnea progresiva obliga a adelantar el drenaje.</w:t>
      </w:r>
    </w:p>
    <w:p>
      <w:pPr>
        <w:pStyle w:val="BodyJ"/>
      </w:pPr>
      <w:r>
        <w:t xml:space="preserve">Nótese que la nota copiada durante cinco días no contenía mentiras literales —el paciente seguía afebril y normotenso—, pero operaba como un fósil narrativo: describía la fisiología del día 2 ignorando la trayectoria del día 5. Desfosilizar la evolución no exigió inventar datos sofisticados, sino dejar de omitir las tendencias que ya estaban a la vista.</w:t>
      </w:r>
    </w:p>
    <w:p>
      <w:pPr>
        <w:pStyle w:val="TallerHead"/>
      </w:pPr>
      <w:r>
        <w:t xml:space="preserve">Taller 12B. Conjugue los verbos</w:t>
      </w:r>
    </w:p>
    <w:p>
      <w:pPr>
        <w:pStyle w:val="BodyJ"/>
      </w:pPr>
      <w:r>
        <w:t xml:space="preserve">Tome su última evolución de una línea —«X en tratamiento, estable»— y escriba primero las preguntas que esconde (al menos seis). Después, reescríbala como ficha de proceso en no más de ocho líneas, con los verbos: sospecho, dudé, descarto, priorizo, infiero, realizo, comprobaré, repetiré, aprendí.</w:t>
      </w:r>
    </w:p>
    <w:p>
      <w:pPr>
        <w:pStyle w:val="BodyJ"/>
      </w:pPr>
      <w:r>
        <w:rPr>
          <w:i/>
          <w:iCs/>
        </w:rPr>
        <w:t xml:space="preserve">Error típico.</w:t>
      </w:r>
      <w:r>
        <w:t xml:space="preserve"> La ficha de proceso conjugada en pasiva y sin sujeto: «se sospechó», «se descartó», «se comprobará». Los verbos están, pero nadie los ejecuta, y «se comprobará» sin fecha ni responsable es «control según evolución» con mejor vocabulario. El segundo error es el inventario: nueve verbos usados una vez cada uno y en orden, como lista de asistencia, cuando el caso real necesitaba tres «dudé» y ningún «repetiré».</w:t>
      </w:r>
    </w:p>
    <w:p>
      <w:pPr>
        <w:pStyle w:val="BodyJ"/>
      </w:pPr>
      <w:r>
        <w:rPr>
          <w:i/>
          <w:iCs/>
        </w:rPr>
        <w:t xml:space="preserve">Solución comentada.</w:t>
      </w:r>
      <w:r>
        <w:t xml:space="preserve"> No hay solución única. El ejercicio suele mostrar tres cosas. La mitad de las preguntas escondidas nunca se formularon: nadie dudó de nada porque nadie preguntó. «Descarté» casi nunca viene con método. Y «comprobaré» es el verbo que más cuesta conjugar, porque obliga a predecir y a ponerle fecha a la predicción. Si la ficha de proceso no cabe en ocho líneas, está describiendo y no decidiendo: no es la historia clínica completa, es el esqueleto de las decisiones. Y si cabe en dos, probablemente faltan verbos: una nota sin «dudé» ni «comprobaré» es una ficha de resultados con otro formato.</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02:00 de la madrugada, Paola, la enfermera de turno, registra en su hoja: «paciente más quejumbrosa, rechaza la cena, diuresis en el límite inferior». A las 08:00, en la entrega de turno médica, el caso se resume en dos palabras: «sin novedades». Entre ambos registros no hay negligencia ni mala fe; hay una cadena de transmisión donde la señal clínica fue comprimida hasta desaparecer. Este capítulo trata del conocimiento clínico como propiedad distribuida de un equipo —médicos, enfermeras, técnicos, kinesiólogos, paciente, familia y sistemas de registro— y de cómo esa información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y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BodyJ"/>
      </w:pPr>
      <w:r>
        <w:t xml:space="preserve">Vale la pena volver al registro de enfermería de las 02:00. «Más quejumbrosa, rechaza la cena, diuresis en el límite» contiene tres hechos clínicos completos que ninguna evolución médica de esa mañana recogió. Primero, un cambio respecto del basal, detectado por quien evalúa a la paciente cada dos horas y no una vez al día. Segundo, una conducta —dejar de comer cuando venía alimentándose bien— que es signo clínico precoz y no anécdota doméstica. Tercero, una pendiente descendente que antecede por horas a la hipotensión que activará las alarmas. Es la observación profesional en su dimensión más valiosa: la serie temporal corta, un dominio sobre el cual enfermería posee un acceso epistémico privilegiado. Cuando la entrega de turno de las 08:00 tradujo todo eso como «sin novedades», no faltó a la verdad deliberadamente: aplicó a los datos de enfermería un filtro de irrelevancia que jamás aplicaría a un examen de laboratorio. La cognición distribuida comienza cuando el equipo reconoce quién tiene el mejor puesto de observación para cada fenómeno. El de enfermería es el intervalo de veinte horas entre una visita médica y la siguiente: justo donde los pacientes hospitalizados empiezan a deteriorarse.</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Ningún dato clínico viaja intacto a través de una institución. En cada entrega de turno, interconsulta telefónica o resumen de traslado, la información se selecciona, se comprime y se reinterpreta. «Paciente estable» puede esconder un requerimiento de oxígeno que se duplicó en silencio. «Urocultivo positivo» suele perder en el camino que el paciente es usuario crónico de sonda y está asintomático. «TAC sin complicaciones agudas» se traduce, sin que nadie lo decida, como «hernia no complicada», y borra el hecho de que la paciente ingresó en shock séptico. Y los artefactos tecnológicos también editorializan: la interfaz de la ficha electrónica jerarquiza ciertas casillas, esconde las notas de otros estamentos en pestañas separadas y fuerza realidades clínicas continuas dentro de menús desplegables administrativos.</w:t>
      </w:r>
    </w:p>
    <w:p>
      <w:pPr>
        <w:pStyle w:val="BodyJ"/>
      </w:pPr>
      <w:r>
        <w:t xml:space="preserve">Rajkomar y Blandford describieron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Por ejemplo: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visitas de sala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la desorientación, sino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BodyJ"/>
      </w:pPr>
      <w:r>
        <w:t xml:space="preserve">La decisión, además, no ocurre dentro de una distribución estadística sino en una biografía (Greenhalgh &amp; Hurwitz, 1998; Charon, 2006). El mismo riesgo es aceptable para una persona e inaceptable para otra según responsabilidades, experiencias previas y concepción de la calidad de vida. Y escuchar la historia corrige inferencias: «mala adherencia» puede ser imposibilidad económica, «rechazo» una experiencia anterior, «síntoma funcional» una invalidación vivida. El lenguaje del médico abre o cierra esa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las entregas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Hay una gramática para eso, y la escribió un chileno. Flores, con Winograd, describió el trabajo coordinado como una red de «conversaciones para la acción»: alguien pide, alguien promete, la promesa tiene condiciones de satisfacción y un plazo, y se cierra con una declaración de cumplimiento o de incumplimiento (Winograd &amp; Flores, 1986). Leída así, una entrega de turno no transfiere información: distribuye compromisos. «Está cubierto» es una promesa sin dueño ni condiciones. «El hemocultivo lo revisa la residente de noche a las 2:00 y avisa si crece un gramnegativo» es una promesa completa: quién, qué, cuándo y cómo se sabrá que se cumplió. Es la pregunta de Austin del capítulo 4 —qué acaba de hacer esta oración— aplicada a la frase más frecuente del hospital. La incertidumbre no desaparece al entregarla; cambia de dueño, y la gramática de Flores obliga a decir a quién.</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entrega de turno de la mañana, al discutir el caso de Carmen, el intensivista plantea: «Yo la operaría en esta hospitalización; si la mandamos a la casa, esto se va a volver a obstruir». La internista replica: «Operarla ahora me parece apresurado; acaba de salir de un shock séptico grave». Traduzca esta fricción verbal a proposiciones evaluables: ¿están discrepando en los hechos, en las inferencias, en la incertidumbre, en los valores o en el umbral de decisión?</w:t>
      </w:r>
    </w:p>
    <w:p>
      <w:pPr>
        <w:pStyle w:val="BodyJ"/>
      </w:pPr>
      <w:r>
        <w:rPr>
          <w:i/>
          <w:iCs/>
        </w:rPr>
        <w:t xml:space="preserve">Solución comentada.</w:t>
      </w:r>
      <w:r>
        <w:t xml:space="preserve"> Cuando el desacuerdo se desarma por capas, el conflicto aparente cambia de naturaleza. En los </w:t>
      </w:r>
      <w:r>
        <w:rPr>
          <w:b/>
          <w:bCs/>
        </w:rPr>
        <w:t xml:space="preserve">hechos</w:t>
      </w:r>
      <w:r>
        <w:t xml:space="preserve"> no existe disputa alguna: ambos conocen los cuatro episodios en el año, el shock reciente y la tomografía sin isquemia. En la </w:t>
      </w:r>
      <w:r>
        <w:rPr>
          <w:b/>
          <w:bCs/>
        </w:rPr>
        <w:t xml:space="preserve">inferencia</w:t>
      </w:r>
      <w:r>
        <w:t xml:space="preserve"> pronóstica coinciden mucho más de lo que su tono sugiere: ambos estiman como altamente probable una nueva recurrencia obstructiva a corto o mediano plazo. La divergencia real está en dos puntos. Primero, en una </w:t>
      </w:r>
      <w:r>
        <w:rPr>
          <w:b/>
          <w:bCs/>
        </w:rPr>
        <w:t xml:space="preserve">incertidumbre</w:t>
      </w:r>
      <w:r>
        <w:t xml:space="preserve"> epistémica reducible: cuánto eleva el riesgo perioperatorio el shock recién resuelto, una duda que no se dirime con opiniones en la entrega de turno sino con una evaluación funcional y preoperatoria formal. Segundo, en el </w:t>
      </w:r>
      <w:r>
        <w:rPr>
          <w:b/>
          <w:bCs/>
        </w:rPr>
        <w:t xml:space="preserve">umbral de decisión</w:t>
      </w:r>
      <w:r>
        <w:t xml:space="preserve">: cuánto riesgo quirúrgico programado es razonable asumir hoy para evitar el riesgo incierto de una urgencia futura. Esa ponderación exige los </w:t>
      </w:r>
      <w:r>
        <w:rPr>
          <w:b/>
          <w:bCs/>
        </w:rPr>
        <w:t xml:space="preserve">valores</w:t>
      </w:r>
      <w:r>
        <w:t xml:space="preserve"> y temores de la propia Carmen, que aún no ha sido escuchada. Traducida la discusión a esta matriz, el plan de trabajo se redacta solo: objetivar la capacidad funcional, optimizar su condición respiratoria y nutricional, y sentarse a conversar con Carmen sobre ambos escenarios de riesgo. Ninguno de los dos médicos «ganó» la discusión: el equipo utilizó el desacuerdo para diagnosticar qué información le faltaba.</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Al séptimo día de hospitalización, Carmen ya está sin sonda nasogástrica, tolerando régimen blando y caminando sin disnea por el pasillo del servicio. La evaluación preoperatoria documenta un EPOC moderado bien compensado y una capacidad funcional aceptable. Ha llegado el momento de tener la conversación para la cual el equipo se estuvo preparando toda la semana: se reúnen junto a su cama la internista, la cirujana, Carmen y su hija, cuya presencia ella misma solicitó.</w:t>
      </w:r>
    </w:p>
    <w:p>
      <w:pPr>
        <w:pStyle w:val="BodyJ"/>
      </w:pPr>
      <w:r>
        <w:t xml:space="preserve">La cirujana no abre el diálogo proponiendo el pabellón. Empieza por la arquitectura del problema, en cuatro estaciones: «Le voy a explicar con calma qué sabemos con seguridad, qué creemos que puede pasar, qué cosas no podemos asegurarle y qué caminos tenemos. Lo que sabemos: usted tiene una hernia que en los últimos doce meses se ha atascado cuatro veces. En este último episodio llegó muy grave, con una infección que pasó a la sangre y la presión tan baja que necesitó medicamentos especiales en la UCI. Lo que creemos: que la probabilidad de que la hernia vuelva a obstruirse es alta, y que un quinto episodio podría ser igual o más grave que este; nadie puede predecir en qué fecha ocurrirá. Lo que no sabemos: si la operación será técnicamente sencilla, porque su abdomen ya tiene cicatrices internas de antes, ni cómo se comportará su pulmón con la anestesia. Ese riesgo quirúrgico existe y no es menor. Las opciones son dos. Programamos la cirugía ahora que usted ya recuperó fuerzas, de día y con todo el equipo preparado. O se va de alta sin operar, asumiendo que la próxima obstrucción puede ocurrir de madrugada, de urgencia y con usted en peores condiciones».</w:t>
      </w:r>
    </w:p>
    <w:p>
      <w:pPr>
        <w:pStyle w:val="BodyJ"/>
      </w:pPr>
      <w:r>
        <w:t xml:space="preserve">Carmen hace la pregunta que casi todo paciente formula cuando la incertidumbre se pone sobre la mesa: «Doctora, ¿y usted qué haría en mi lugar?». La cirujana no rehúye la recomendación ni usurpa la decisión: «Yo le recomiendo operarse, Carmen, y le digo por qué. Prefiero un riesgo quirúrgico conocido, con usted compensada y en un pabellón programado, a un episodio de urgencia que no controlamos. Pero la que vivió la angustia del shock fue usted, y la que decide a cuál de esos dos riesgos le teme más también es usted».</w:t>
      </w:r>
    </w:p>
    <w:p>
      <w:pPr>
        <w:pStyle w:val="BodyJ"/>
      </w:pPr>
      <w:r>
        <w:t xml:space="preserve">La hija pregunta si la operación «garantiza» que el problema no se repetirá. «No», responde la cirujana sin rodeos. «Baja mucho la probabilidad, pero no la lleva a cero. Si le prometiera garantías absolutas, le estaría faltando a la verdad».</w:t>
      </w:r>
    </w:p>
    <w:p>
      <w:pPr>
        <w:pStyle w:val="BodyJ"/>
      </w:pPr>
      <w:r>
        <w:t xml:space="preserve">Carmen guarda silencio unos segundos y luego dice más de lo que el equipo le ha escuchado en toda la hospitalización: «Yo no quiero volver a pasar una noche como la que pasé al llegar. Pensé que me moría, y vi en la cara de mi hija que ella pensó lo mismo. Pero tampoco quiero que me operen por operar: en mi cirugía antigua demoré meses en poder enderezarme bien. Lo único que necesito saber, doctora, es si después de recuperarme voy a poder seguir cuidando a mi nieta en las tardes».</w:t>
      </w:r>
    </w:p>
    <w:p>
      <w:pPr>
        <w:pStyle w:val="BodyJ"/>
      </w:pPr>
      <w:r>
        <w:t xml:space="preserve">Esa pregunta no figuraba en ninguna calculadora de riesgo perioperatorio, pero era el criterio que ordenaba todas las demás variables. La cirujana la anotó en la hoja antes de responderle cómo organizarían la rehabilitación kinésica postoperatoria para proteger esa meta.</w:t>
      </w:r>
    </w:p>
    <w:p>
      <w:pPr>
        <w:pStyle w:val="BodyJ"/>
      </w:pPr>
      <w:r>
        <w:t xml:space="preserve">Carmen acepta operarse. De regreso en la estación de enfermería, la internista redacta la frase medular que condensa una semana de deliberación clínica:</w:t>
      </w:r>
    </w:p>
    <w:p>
      <w:pPr>
        <w:pStyle w:val="Quote1"/>
      </w:pPr>
      <w:r>
        <w:t xml:space="preserve">Obstrucción intestinal recurrente por hernia incisional, cuarto episodio anual y primero complicado con shock séptico y bacteriemia por gramnegativos; tomografía sin isquemia aguda. El salto cualitativo en gravedad, la aceleración de las recurrencias y la preferencia informada de la paciente —seguir cuidando a su nieta y evitar una nueva urgencia vital— justifican reparación electiva tras optimización. Se asume un riesgo perioperatorio moderado como alternativa preferible al manejo expectante. Criterio de reapertura: suspender programación y reevaluar si presenta deterioro respiratorio o nuevo evento obstructivo previo a la fecha de pabellón.</w:t>
      </w:r>
    </w:p>
    <w:p>
      <w:pPr>
        <w:pStyle w:val="BodyJ"/>
      </w:pPr>
      <w:r>
        <w:t xml:space="preserve">Ninguna palabra de esa evolución es ornamento retórico. Cada cláusula sostiene una capa completa del juicio clínico.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 la responsabilidad —y el miedo—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 Cierran el libro dos espejos: la inteligencia artificial en el proceso diagnóstico y terapéutico —qué hace, qué arriesga, cómo se la enfrenta— (capítulo 17), y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de tres palabras que me tomó años aprender a pronunciar frente a la familia de un paciente grave: «no lo sé». La primera vez que me atreví a decirla completa —«todavía no sé con certeza por qué empeoró hoy; pero sí sé qué complicaciones graves ya descartamos, sé qué variables vamos a vigilar esta noche y sé a qué hora de mañana tendremos nuevos resultados»— temía provocar desconfianza o angustia. Encontré exactamente lo contrario: alivio. Esa familia no exigía que yo fuera omnisciente; necesitaba saber que nuestra incertidumbre estaba gobernada por un plan. Este capítulo trata de la distancia moral y técnica que separa el aparentar seguridad del ejercer responsabilidad.</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Quien escribe «rechaza», «no adherente», «funcional», «terminal» o «sin indicación» no sólo describe. Distribuye credibilidad, urgencia y recursos. La ética del razonamiento comienza antes de la decisión: comienza en la forma en que se recibe un testimonio y se concede fuerza a una afirmación.</w:t>
      </w:r>
    </w:p>
    <w:p>
      <w:pPr>
        <w:pStyle w:val="BodyJ"/>
      </w:pPr>
      <w:r>
        <w:t xml:space="preserve">Hay que decirlo de entrada, porque el resto del capítulo lo presupone: pensar bien es parte de la ética primordial del médico, no un refinamiento intelectual que se agrega a ella. Es su herramienta principal, de la que parte todo lo demás — y en la que, cuando falla, termina todo lo demás. La idea tiene un antecedente filosófico exacto. Clifford sostuvo en 1877 que creer algo sin evidencia suficiente es siempre, en todo lugar y para cualquiera, un acto reprochable (Clifford, 1877, §I). Lo ilustró con un armador que, sin inspeccionar su barco, se convence de que es seguro y lo deja zarpar. Si el barco llega a puerto, el armador no es menos culpable, porque la creencia se formó sin derecho a formarse. La medicina es el oficio donde esa tesis deja de ser una exageración. El médico que escribe «se descarta» sin un método que excluya, o «cuadro habitual» sin haber mirado las rodillas moteadas, ha hecho lo del armador, y un desenlace benigno no lo absuelve. La viñeta 6 lo dice al revés: el mismo proceso con una crisis de pánico real habría sido igual de indefendible. Por eso el deber de pensar bien no se agota en la competencia. Incluye el deber de saber cuándo uno no está en condiciones de pensar bien (capítulo 8) y de organizar el trabajo para que otro instrumento revise el juicio. La ética clínica no empieza en el comité ni en el consentimiento; empieza en la calidad de la creencia que sostiene la primera frase de la ficha.</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es preciso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hay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sino uno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sino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es, visto así, un fracaso de humildad antes que un fallo de memoria: la información nueva estaba disponible; lo que faltó fue la disposición a dejarla mandar.</w:t>
      </w:r>
    </w:p>
    <w:p>
      <w:pPr>
        <w:pStyle w:val="BodyJ"/>
      </w:pPr>
      <w:r>
        <w:t xml:space="preserve">Vista así, la humildad no es una virtud separada de la phronesis que este libro viene invocando desde el capítulo 6: es su condición de funcionamiento. La prudencia práctica integra, en el caso particular, lo que ningún algoritmo integra por el clínico — conocimiento causal, emoción leída como dato, valores del paciente y oportunidad: el momento de actuar ahora o esperar. Esa integración sólo permanece honesta si alguien vigila sus límites, y la humildad es eso: la phronesis vuelta sobre sí misma, la parte de la prudencia que sabe cuánta de la propia prudencia es conjetura. Con ella queda a la vista el hilo que el libro venía tendiendo. El capítulo 2 mostró la abducción, la conjetura que crea explicaciones; el capítulo 5, la metacognición que la vigila mientras trabaja; la humildad es la disposición que la mantiene abierta cuando ya produjo una respuesta cómoda. Generar, vigilar, mantener abierto: tres nombres de una misma lealtad al caso. Y queda la corrección de Varela que el capítulo 6 aceptó: esa lealtad no es vigilancia continua —el experto responde sin deliberar, y deliberar sin motivo lo degrada—, sino la disposición a reconocer el quiebre, el momento en que el saber hacer dejó de bastar.</w:t>
      </w:r>
    </w:p>
    <w:p>
      <w:pPr>
        <w:pStyle w:val="BodyJ"/>
      </w:pPr>
      <w:r>
        <w:t xml:space="preserve">Por eso este libro necesita la humildad no como ornamento ético sino como pieza estructural. La reevaluación del método HII-D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describieron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exige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sostuvo que el testimonio es una fuente básica de conocimiento, tan constitutiva como la percepción o la memoria. Sin una confianza por defecto en lo que otros informan, ni la ciencia ni la vida cotidiana serían posibles (Coady, 1992, caps. 4 y 8).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caps. 6-7). La anamnesis es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Practicar una escucha epistémicamente justa exige preguntarse qué información privilegiada posee este paciente a la cual ningún monitor ni laboratorio tiene acceso, qué significado le atribuye a sus propios síntomas y qué biografía previa modela su aversión al riesgo. Exige, además, no confundir una discrepancia de valores con un déficit de comprensión: un enfermo puede entender perfectamente la evidencia médica y, aun así, jerarquizar los desenlaces de otro modo. Cuando Carmen advirtió en urgencias que «esta vez la hernia no se dejó acomodar y el dolor era otro», estaba entregando el indicador pronóstico más fino de todo su ingreso. Una nota clínica que hubiera borrado esa frase para traducirla como «dolor abdominal en paciente con hernia conocida» no habría cometido sólo una falta de empatía o una injusticia testimonial; habría cometido una amputación técnica de los datos. La regla general puede quedar escrita: una ficha que silencia el testimonio del enfermo es epistemológicamente más pobre, y cualquier frase medular que excluya la voz del paciente —cuando esa voz contiene el dato discriminante del cambio clínico— fracasa según su propio estándar de rigor.</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La nota que muestra qué se sabía, qué se dudaba y cuándo se planeó reevaluar demuestra, en cambio, lo que el derecho sanitario pondera: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reconstruir la trayectoria de su propio error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la recomendación, dónde están sus límites y cómo responderá el equipo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14.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Qué añade frente a los modelos existentes</w:t>
      </w:r>
    </w:p>
    <w:p>
      <w:pPr>
        <w:pStyle w:val="BodyJ"/>
      </w:pPr>
      <w:r>
        <w:t xml:space="preserve">HII-D entra a un territorio poblado, y hay que decir qué agrega. La nota SOAP y el registro orientado por problemas ordenan el documento (Weed, 1968a); la representación del problema comprime el caso (Bordage, 1994); los illness scripts organizan el conocimiento experto (Charlin et al., 2007; Custers, 2015). Las teorías de doble proceso describen los modos de procesamiento (Evans &amp; Stanovich, 2013); la reflexión deliberada estructura la comparación de hipótesis (Mamede et al., 2008); los modelos de metacognición supervisan la confianza y la estrategia (Nelson &amp; Narens, 1990; Fleming &amp; Lau, 2014); y el programa de seguridad diagnóstica vigila trayectorias y sistemas (National Academies of Sciences, Engineering, and Medicine, 2015).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Enfoque</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Qué organiza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Aporte principal</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Qué añade HII-D</w:t>
            </w:r>
          </w:p>
        </w:tc>
      </w:tr>
      <w:tr>
        <w:tc>
          <w:tcPr>
            <w:tcW w:type="dxa" w:w="1750"/>
            <w:tcMar>
              <w:top w:type="dxa" w:w="60"/>
              <w:left w:type="dxa" w:w="100"/>
              <w:bottom w:type="dxa" w:w="60"/>
              <w:right w:type="dxa" w:w="100"/>
            </w:tcMar>
            <w:vAlign w:val="top"/>
          </w:tcPr>
          <w:p>
            <w:pPr>
              <w:spacing w:after="0"/>
            </w:pPr>
            <w:r>
              <w:rPr>
                <w:sz w:val="17"/>
                <w:szCs w:val="17"/>
              </w:rPr>
              <w:t xml:space="preserve">SOAP</w:t>
            </w:r>
          </w:p>
        </w:tc>
        <w:tc>
          <w:tcPr>
            <w:tcW w:type="dxa" w:w="2150"/>
            <w:tcMar>
              <w:top w:type="dxa" w:w="60"/>
              <w:left w:type="dxa" w:w="100"/>
              <w:bottom w:type="dxa" w:w="60"/>
              <w:right w:type="dxa" w:w="100"/>
            </w:tcMar>
            <w:vAlign w:val="top"/>
          </w:tcPr>
          <w:p>
            <w:pPr>
              <w:spacing w:after="0"/>
            </w:pPr>
            <w:r>
              <w:rPr>
                <w:sz w:val="17"/>
                <w:szCs w:val="17"/>
              </w:rPr>
              <w:t xml:space="preserve">La nota clínica</w:t>
            </w:r>
          </w:p>
        </w:tc>
        <w:tc>
          <w:tcPr>
            <w:tcW w:type="dxa" w:w="2560"/>
            <w:tcMar>
              <w:top w:type="dxa" w:w="60"/>
              <w:left w:type="dxa" w:w="100"/>
              <w:bottom w:type="dxa" w:w="60"/>
              <w:right w:type="dxa" w:w="100"/>
            </w:tcMar>
            <w:vAlign w:val="top"/>
          </w:tcPr>
          <w:p>
            <w:pPr>
              <w:spacing w:after="0"/>
            </w:pPr>
            <w:r>
              <w:rPr>
                <w:sz w:val="17"/>
                <w:szCs w:val="17"/>
              </w:rPr>
              <w:t xml:space="preserve">Orden documental</w:t>
            </w:r>
          </w:p>
        </w:tc>
        <w:tc>
          <w:tcPr>
            <w:tcW w:type="dxa" w:w="2560"/>
            <w:tcMar>
              <w:top w:type="dxa" w:w="60"/>
              <w:left w:type="dxa" w:w="100"/>
              <w:bottom w:type="dxa" w:w="60"/>
              <w:right w:type="dxa" w:w="100"/>
            </w:tcMar>
            <w:vAlign w:val="top"/>
          </w:tcPr>
          <w:p>
            <w:pPr>
              <w:spacing w:after="0"/>
            </w:pPr>
            <w:r>
              <w:rPr>
                <w:sz w:val="17"/>
                <w:szCs w:val="17"/>
              </w:rPr>
              <w:t xml:space="preserve">Estatuto y fuerza de cada afirmación</w:t>
            </w:r>
          </w:p>
        </w:tc>
      </w:tr>
      <w:tr>
        <w:tc>
          <w:tcPr>
            <w:tcW w:type="dxa" w:w="1750"/>
            <w:tcMar>
              <w:top w:type="dxa" w:w="60"/>
              <w:left w:type="dxa" w:w="100"/>
              <w:bottom w:type="dxa" w:w="60"/>
              <w:right w:type="dxa" w:w="100"/>
            </w:tcMar>
            <w:vAlign w:val="top"/>
          </w:tcPr>
          <w:p>
            <w:pPr>
              <w:spacing w:after="0"/>
            </w:pPr>
            <w:r>
              <w:rPr>
                <w:sz w:val="17"/>
                <w:szCs w:val="17"/>
              </w:rPr>
              <w:t xml:space="preserve">Registro orientado por problemas</w:t>
            </w:r>
          </w:p>
        </w:tc>
        <w:tc>
          <w:tcPr>
            <w:tcW w:type="dxa" w:w="2150"/>
            <w:tcMar>
              <w:top w:type="dxa" w:w="60"/>
              <w:left w:type="dxa" w:w="100"/>
              <w:bottom w:type="dxa" w:w="60"/>
              <w:right w:type="dxa" w:w="100"/>
            </w:tcMar>
            <w:vAlign w:val="top"/>
          </w:tcPr>
          <w:p>
            <w:pPr>
              <w:spacing w:after="0"/>
            </w:pPr>
            <w:r>
              <w:rPr>
                <w:sz w:val="17"/>
                <w:szCs w:val="17"/>
              </w:rPr>
              <w:t xml:space="preserve">La continuidad longitudinal</w:t>
            </w:r>
          </w:p>
        </w:tc>
        <w:tc>
          <w:tcPr>
            <w:tcW w:type="dxa" w:w="2560"/>
            <w:tcMar>
              <w:top w:type="dxa" w:w="60"/>
              <w:left w:type="dxa" w:w="100"/>
              <w:bottom w:type="dxa" w:w="60"/>
              <w:right w:type="dxa" w:w="100"/>
            </w:tcMar>
            <w:vAlign w:val="top"/>
          </w:tcPr>
          <w:p>
            <w:pPr>
              <w:spacing w:after="0"/>
            </w:pPr>
            <w:r>
              <w:rPr>
                <w:sz w:val="17"/>
                <w:szCs w:val="17"/>
              </w:rPr>
              <w:t xml:space="preserve">Vincula problema, evaluación y plan</w:t>
            </w:r>
          </w:p>
        </w:tc>
        <w:tc>
          <w:tcPr>
            <w:tcW w:type="dxa" w:w="2560"/>
            <w:tcMar>
              <w:top w:type="dxa" w:w="60"/>
              <w:left w:type="dxa" w:w="100"/>
              <w:bottom w:type="dxa" w:w="60"/>
              <w:right w:type="dxa" w:w="100"/>
            </w:tcMar>
            <w:vAlign w:val="top"/>
          </w:tcPr>
          <w:p>
            <w:pPr>
              <w:spacing w:after="0"/>
            </w:pPr>
            <w:r>
              <w:rPr>
                <w:sz w:val="17"/>
                <w:szCs w:val="17"/>
              </w:rPr>
              <w:t xml:space="preserve">Distingue problema, hecho, hipótesis e incertidumbre</w:t>
            </w:r>
          </w:p>
        </w:tc>
      </w:tr>
      <w:tr>
        <w:tc>
          <w:tcPr>
            <w:tcW w:type="dxa" w:w="1750"/>
            <w:tcMar>
              <w:top w:type="dxa" w:w="60"/>
              <w:left w:type="dxa" w:w="100"/>
              <w:bottom w:type="dxa" w:w="60"/>
              <w:right w:type="dxa" w:w="100"/>
            </w:tcMar>
            <w:vAlign w:val="top"/>
          </w:tcPr>
          <w:p>
            <w:pPr>
              <w:spacing w:after="0"/>
            </w:pPr>
            <w:r>
              <w:rPr>
                <w:sz w:val="17"/>
                <w:szCs w:val="17"/>
              </w:rPr>
              <w:t xml:space="preserve">Representación del problema</w:t>
            </w:r>
          </w:p>
        </w:tc>
        <w:tc>
          <w:tcPr>
            <w:tcW w:type="dxa" w:w="2150"/>
            <w:tcMar>
              <w:top w:type="dxa" w:w="60"/>
              <w:left w:type="dxa" w:w="100"/>
              <w:bottom w:type="dxa" w:w="60"/>
              <w:right w:type="dxa" w:w="100"/>
            </w:tcMar>
            <w:vAlign w:val="top"/>
          </w:tcPr>
          <w:p>
            <w:pPr>
              <w:spacing w:after="0"/>
            </w:pPr>
            <w:r>
              <w:rPr>
                <w:sz w:val="17"/>
                <w:szCs w:val="17"/>
              </w:rPr>
              <w:t xml:space="preserve">El caso</w:t>
            </w:r>
          </w:p>
        </w:tc>
        <w:tc>
          <w:tcPr>
            <w:tcW w:type="dxa" w:w="2560"/>
            <w:tcMar>
              <w:top w:type="dxa" w:w="60"/>
              <w:left w:type="dxa" w:w="100"/>
              <w:bottom w:type="dxa" w:w="60"/>
              <w:right w:type="dxa" w:w="100"/>
            </w:tcMar>
            <w:vAlign w:val="top"/>
          </w:tcPr>
          <w:p>
            <w:pPr>
              <w:spacing w:after="0"/>
            </w:pPr>
            <w:r>
              <w:rPr>
                <w:sz w:val="17"/>
                <w:szCs w:val="17"/>
              </w:rPr>
              <w:t xml:space="preserve">Compresión con calificadores semánticos</w:t>
            </w:r>
          </w:p>
        </w:tc>
        <w:tc>
          <w:tcPr>
            <w:tcW w:type="dxa" w:w="2560"/>
            <w:tcMar>
              <w:top w:type="dxa" w:w="60"/>
              <w:left w:type="dxa" w:w="100"/>
              <w:bottom w:type="dxa" w:w="60"/>
              <w:right w:type="dxa" w:w="100"/>
            </w:tcMar>
            <w:vAlign w:val="top"/>
          </w:tcPr>
          <w:p>
            <w:pPr>
              <w:spacing w:after="0"/>
            </w:pPr>
            <w:r>
              <w:rPr>
                <w:sz w:val="17"/>
                <w:szCs w:val="17"/>
              </w:rPr>
              <w:t xml:space="preserve">Procedencia, límites, decisión y reapertura</w:t>
            </w:r>
          </w:p>
        </w:tc>
      </w:tr>
      <w:tr>
        <w:tc>
          <w:tcPr>
            <w:tcW w:type="dxa" w:w="1750"/>
            <w:tcMar>
              <w:top w:type="dxa" w:w="60"/>
              <w:left w:type="dxa" w:w="100"/>
              <w:bottom w:type="dxa" w:w="60"/>
              <w:right w:type="dxa" w:w="100"/>
            </w:tcMar>
            <w:vAlign w:val="top"/>
          </w:tcPr>
          <w:p>
            <w:pPr>
              <w:spacing w:after="0"/>
            </w:pPr>
            <w:r>
              <w:rPr>
                <w:sz w:val="17"/>
                <w:szCs w:val="17"/>
              </w:rPr>
              <w:t xml:space="preserve">Illness scripts</w:t>
            </w:r>
          </w:p>
        </w:tc>
        <w:tc>
          <w:tcPr>
            <w:tcW w:type="dxa" w:w="2150"/>
            <w:tcMar>
              <w:top w:type="dxa" w:w="60"/>
              <w:left w:type="dxa" w:w="100"/>
              <w:bottom w:type="dxa" w:w="60"/>
              <w:right w:type="dxa" w:w="100"/>
            </w:tcMar>
            <w:vAlign w:val="top"/>
          </w:tcPr>
          <w:p>
            <w:pPr>
              <w:spacing w:after="0"/>
            </w:pPr>
            <w:r>
              <w:rPr>
                <w:sz w:val="17"/>
                <w:szCs w:val="17"/>
              </w:rPr>
              <w:t xml:space="preserve">El conocimiento experto</w:t>
            </w:r>
          </w:p>
        </w:tc>
        <w:tc>
          <w:tcPr>
            <w:tcW w:type="dxa" w:w="2560"/>
            <w:tcMar>
              <w:top w:type="dxa" w:w="60"/>
              <w:left w:type="dxa" w:w="100"/>
              <w:bottom w:type="dxa" w:w="60"/>
              <w:right w:type="dxa" w:w="100"/>
            </w:tcMar>
            <w:vAlign w:val="top"/>
          </w:tcPr>
          <w:p>
            <w:pPr>
              <w:spacing w:after="0"/>
            </w:pPr>
            <w:r>
              <w:rPr>
                <w:sz w:val="17"/>
                <w:szCs w:val="17"/>
              </w:rPr>
              <w:t xml:space="preserve">Condiciones, mecanismo y consecuencias</w:t>
            </w:r>
          </w:p>
        </w:tc>
        <w:tc>
          <w:tcPr>
            <w:tcW w:type="dxa" w:w="2560"/>
            <w:tcMar>
              <w:top w:type="dxa" w:w="60"/>
              <w:left w:type="dxa" w:w="100"/>
              <w:bottom w:type="dxa" w:w="60"/>
              <w:right w:type="dxa" w:w="100"/>
            </w:tcMar>
            <w:vAlign w:val="top"/>
          </w:tcPr>
          <w:p>
            <w:pPr>
              <w:spacing w:after="0"/>
            </w:pPr>
            <w:r>
              <w:rPr>
                <w:sz w:val="17"/>
                <w:szCs w:val="17"/>
              </w:rPr>
              <w:t xml:space="preserve">Audita su aplicación al paciente singular</w:t>
            </w:r>
          </w:p>
        </w:tc>
      </w:tr>
      <w:tr>
        <w:tc>
          <w:tcPr>
            <w:tcW w:type="dxa" w:w="1750"/>
            <w:tcMar>
              <w:top w:type="dxa" w:w="60"/>
              <w:left w:type="dxa" w:w="100"/>
              <w:bottom w:type="dxa" w:w="60"/>
              <w:right w:type="dxa" w:w="100"/>
            </w:tcMar>
            <w:vAlign w:val="top"/>
          </w:tcPr>
          <w:p>
            <w:pPr>
              <w:spacing w:after="0"/>
            </w:pPr>
            <w:r>
              <w:rPr>
                <w:sz w:val="17"/>
                <w:szCs w:val="17"/>
              </w:rPr>
              <w:t xml:space="preserve">Doble proceso</w:t>
            </w:r>
          </w:p>
        </w:tc>
        <w:tc>
          <w:tcPr>
            <w:tcW w:type="dxa" w:w="2150"/>
            <w:tcMar>
              <w:top w:type="dxa" w:w="60"/>
              <w:left w:type="dxa" w:w="100"/>
              <w:bottom w:type="dxa" w:w="60"/>
              <w:right w:type="dxa" w:w="100"/>
            </w:tcMar>
            <w:vAlign w:val="top"/>
          </w:tcPr>
          <w:p>
            <w:pPr>
              <w:spacing w:after="0"/>
            </w:pPr>
            <w:r>
              <w:rPr>
                <w:sz w:val="17"/>
                <w:szCs w:val="17"/>
              </w:rPr>
              <w:t xml:space="preserve">Los modos de procesamiento</w:t>
            </w:r>
          </w:p>
        </w:tc>
        <w:tc>
          <w:tcPr>
            <w:tcW w:type="dxa" w:w="2560"/>
            <w:tcMar>
              <w:top w:type="dxa" w:w="60"/>
              <w:left w:type="dxa" w:w="100"/>
              <w:bottom w:type="dxa" w:w="60"/>
              <w:right w:type="dxa" w:w="100"/>
            </w:tcMar>
            <w:vAlign w:val="top"/>
          </w:tcPr>
          <w:p>
            <w:pPr>
              <w:spacing w:after="0"/>
            </w:pPr>
            <w:r>
              <w:rPr>
                <w:sz w:val="17"/>
                <w:szCs w:val="17"/>
              </w:rPr>
              <w:t xml:space="preserve">Rapidez, intuición y deliberación</w:t>
            </w:r>
          </w:p>
        </w:tc>
        <w:tc>
          <w:tcPr>
            <w:tcW w:type="dxa" w:w="2560"/>
            <w:tcMar>
              <w:top w:type="dxa" w:w="60"/>
              <w:left w:type="dxa" w:w="100"/>
              <w:bottom w:type="dxa" w:w="60"/>
              <w:right w:type="dxa" w:w="100"/>
            </w:tcMar>
            <w:vAlign w:val="top"/>
          </w:tcPr>
          <w:p>
            <w:pPr>
              <w:spacing w:after="0"/>
            </w:pPr>
            <w:r>
              <w:rPr>
                <w:sz w:val="17"/>
                <w:szCs w:val="17"/>
              </w:rPr>
              <w:t xml:space="preserve">No infiere el proceso sólo desde el producto</w:t>
            </w:r>
          </w:p>
        </w:tc>
      </w:tr>
      <w:tr>
        <w:tc>
          <w:tcPr>
            <w:tcW w:type="dxa" w:w="1750"/>
            <w:tcMar>
              <w:top w:type="dxa" w:w="60"/>
              <w:left w:type="dxa" w:w="100"/>
              <w:bottom w:type="dxa" w:w="60"/>
              <w:right w:type="dxa" w:w="100"/>
            </w:tcMar>
            <w:vAlign w:val="top"/>
          </w:tcPr>
          <w:p>
            <w:pPr>
              <w:spacing w:after="0"/>
            </w:pPr>
            <w:r>
              <w:rPr>
                <w:sz w:val="17"/>
                <w:szCs w:val="17"/>
              </w:rPr>
              <w:t xml:space="preserve">Reflexión deliberada</w:t>
            </w:r>
          </w:p>
        </w:tc>
        <w:tc>
          <w:tcPr>
            <w:tcW w:type="dxa" w:w="2150"/>
            <w:tcMar>
              <w:top w:type="dxa" w:w="60"/>
              <w:left w:type="dxa" w:w="100"/>
              <w:bottom w:type="dxa" w:w="60"/>
              <w:right w:type="dxa" w:w="100"/>
            </w:tcMar>
            <w:vAlign w:val="top"/>
          </w:tcPr>
          <w:p>
            <w:pPr>
              <w:spacing w:after="0"/>
            </w:pPr>
            <w:r>
              <w:rPr>
                <w:sz w:val="17"/>
                <w:szCs w:val="17"/>
              </w:rPr>
              <w:t xml:space="preserve">Las hipótesis rivales</w:t>
            </w:r>
          </w:p>
        </w:tc>
        <w:tc>
          <w:tcPr>
            <w:tcW w:type="dxa" w:w="2560"/>
            <w:tcMar>
              <w:top w:type="dxa" w:w="60"/>
              <w:left w:type="dxa" w:w="100"/>
              <w:bottom w:type="dxa" w:w="60"/>
              <w:right w:type="dxa" w:w="100"/>
            </w:tcMar>
            <w:vAlign w:val="top"/>
          </w:tcPr>
          <w:p>
            <w:pPr>
              <w:spacing w:after="0"/>
            </w:pPr>
            <w:r>
              <w:rPr>
                <w:sz w:val="17"/>
                <w:szCs w:val="17"/>
              </w:rPr>
              <w:t xml:space="preserve">Evidencia a favor y en contra</w:t>
            </w:r>
          </w:p>
        </w:tc>
        <w:tc>
          <w:tcPr>
            <w:tcW w:type="dxa" w:w="2560"/>
            <w:tcMar>
              <w:top w:type="dxa" w:w="60"/>
              <w:left w:type="dxa" w:w="100"/>
              <w:bottom w:type="dxa" w:w="60"/>
              <w:right w:type="dxa" w:w="100"/>
            </w:tcMar>
            <w:vAlign w:val="top"/>
          </w:tcPr>
          <w:p>
            <w:pPr>
              <w:spacing w:after="0"/>
            </w:pPr>
            <w:r>
              <w:rPr>
                <w:sz w:val="17"/>
                <w:szCs w:val="17"/>
              </w:rPr>
              <w:t xml:space="preserve">Umbral, acción, responsabilidad y reevaluación</w:t>
            </w:r>
          </w:p>
        </w:tc>
      </w:tr>
      <w:tr>
        <w:tc>
          <w:tcPr>
            <w:tcW w:type="dxa" w:w="1750"/>
            <w:tcMar>
              <w:top w:type="dxa" w:w="60"/>
              <w:left w:type="dxa" w:w="100"/>
              <w:bottom w:type="dxa" w:w="60"/>
              <w:right w:type="dxa" w:w="100"/>
            </w:tcMar>
            <w:vAlign w:val="top"/>
          </w:tcPr>
          <w:p>
            <w:pPr>
              <w:spacing w:after="0"/>
            </w:pPr>
            <w:r>
              <w:rPr>
                <w:sz w:val="17"/>
                <w:szCs w:val="17"/>
              </w:rPr>
              <w:t xml:space="preserve">Modelo metacognitivo</w:t>
            </w:r>
          </w:p>
        </w:tc>
        <w:tc>
          <w:tcPr>
            <w:tcW w:type="dxa" w:w="2150"/>
            <w:tcMar>
              <w:top w:type="dxa" w:w="60"/>
              <w:left w:type="dxa" w:w="100"/>
              <w:bottom w:type="dxa" w:w="60"/>
              <w:right w:type="dxa" w:w="100"/>
            </w:tcMar>
            <w:vAlign w:val="top"/>
          </w:tcPr>
          <w:p>
            <w:pPr>
              <w:spacing w:after="0"/>
            </w:pPr>
            <w:r>
              <w:rPr>
                <w:sz w:val="17"/>
                <w:szCs w:val="17"/>
              </w:rPr>
              <w:t xml:space="preserve">El monitoreo y la regulación</w:t>
            </w:r>
          </w:p>
        </w:tc>
        <w:tc>
          <w:tcPr>
            <w:tcW w:type="dxa" w:w="2560"/>
            <w:tcMar>
              <w:top w:type="dxa" w:w="60"/>
              <w:left w:type="dxa" w:w="100"/>
              <w:bottom w:type="dxa" w:w="60"/>
              <w:right w:type="dxa" w:w="100"/>
            </w:tcMar>
            <w:vAlign w:val="top"/>
          </w:tcPr>
          <w:p>
            <w:pPr>
              <w:spacing w:after="0"/>
            </w:pPr>
            <w:r>
              <w:rPr>
                <w:sz w:val="17"/>
                <w:szCs w:val="17"/>
              </w:rPr>
              <w:t xml:space="preserve">Supervisa confianza y estrategia</w:t>
            </w:r>
          </w:p>
        </w:tc>
        <w:tc>
          <w:tcPr>
            <w:tcW w:type="dxa" w:w="2560"/>
            <w:tcMar>
              <w:top w:type="dxa" w:w="60"/>
              <w:left w:type="dxa" w:w="100"/>
              <w:bottom w:type="dxa" w:w="60"/>
              <w:right w:type="dxa" w:w="100"/>
            </w:tcMar>
            <w:vAlign w:val="top"/>
          </w:tcPr>
          <w:p>
            <w:pPr>
              <w:spacing w:after="0"/>
            </w:pPr>
            <w:r>
              <w:rPr>
                <w:sz w:val="17"/>
                <w:szCs w:val="17"/>
              </w:rPr>
              <w:t xml:space="preserve">Examina el producto lingüístico, documental y colectivo</w:t>
            </w:r>
          </w:p>
        </w:tc>
      </w:tr>
      <w:tr>
        <w:tc>
          <w:tcPr>
            <w:tcW w:type="dxa" w:w="1750"/>
            <w:tcMar>
              <w:top w:type="dxa" w:w="60"/>
              <w:left w:type="dxa" w:w="100"/>
              <w:bottom w:type="dxa" w:w="60"/>
              <w:right w:type="dxa" w:w="100"/>
            </w:tcMar>
            <w:vAlign w:val="top"/>
          </w:tcPr>
          <w:p>
            <w:pPr>
              <w:spacing w:after="0"/>
            </w:pPr>
            <w:r>
              <w:rPr>
                <w:sz w:val="17"/>
                <w:szCs w:val="17"/>
              </w:rPr>
              <w:t xml:space="preserve">Seguridad diagnóstica</w:t>
            </w:r>
          </w:p>
        </w:tc>
        <w:tc>
          <w:tcPr>
            <w:tcW w:type="dxa" w:w="2150"/>
            <w:tcMar>
              <w:top w:type="dxa" w:w="60"/>
              <w:left w:type="dxa" w:w="100"/>
              <w:bottom w:type="dxa" w:w="60"/>
              <w:right w:type="dxa" w:w="100"/>
            </w:tcMar>
            <w:vAlign w:val="top"/>
          </w:tcPr>
          <w:p>
            <w:pPr>
              <w:spacing w:after="0"/>
            </w:pPr>
            <w:r>
              <w:rPr>
                <w:sz w:val="17"/>
                <w:szCs w:val="17"/>
              </w:rPr>
              <w:t xml:space="preserve">La trayectoria y el sistema</w:t>
            </w:r>
          </w:p>
        </w:tc>
        <w:tc>
          <w:tcPr>
            <w:tcW w:type="dxa" w:w="2560"/>
            <w:tcMar>
              <w:top w:type="dxa" w:w="60"/>
              <w:left w:type="dxa" w:w="100"/>
              <w:bottom w:type="dxa" w:w="60"/>
              <w:right w:type="dxa" w:w="100"/>
            </w:tcMar>
            <w:vAlign w:val="top"/>
          </w:tcPr>
          <w:p>
            <w:pPr>
              <w:spacing w:after="0"/>
            </w:pPr>
            <w:r>
              <w:rPr>
                <w:sz w:val="17"/>
                <w:szCs w:val="17"/>
              </w:rPr>
              <w:t xml:space="preserve">Previene pérdidas y demoras</w:t>
            </w:r>
          </w:p>
        </w:tc>
        <w:tc>
          <w:tcPr>
            <w:tcW w:type="dxa" w:w="2560"/>
            <w:tcMar>
              <w:top w:type="dxa" w:w="60"/>
              <w:left w:type="dxa" w:w="100"/>
              <w:bottom w:type="dxa" w:w="60"/>
              <w:right w:type="dxa" w:w="100"/>
            </w:tcMar>
            <w:vAlign w:val="top"/>
          </w:tcPr>
          <w:p>
            <w:pPr>
              <w:spacing w:after="0"/>
            </w:pPr>
            <w:r>
              <w:rPr>
                <w:sz w:val="17"/>
                <w:szCs w:val="17"/>
              </w:rPr>
              <w:t xml:space="preserve">Gramática microclínica de la afirmación</w:t>
            </w:r>
          </w:p>
        </w:tc>
      </w:tr>
    </w:tbl>
    <w:p>
      <w:pPr>
        <w:spacing w:after="120"/>
      </w:pPr>
    </w:p>
    <w:p>
      <w:pPr>
        <w:pStyle w:val="BodyJ"/>
      </w:pPr>
      <w:r>
        <w:t xml:space="preserve">HII-D no reemplaza a ninguno: opera como una capa de auditoría que puede usarse dentro de una nota SOAP, de una representación del problema, de una discusión diagnóstica o de una revisión de seguridad. Si un servicio ya trabaja bien con alguno de estos marcos, HII-D no le pide cambiarlo; le pide que cada afirmación importante pueda responder de dónde viene, cuánto pesa y qué la haría caer.</w:t>
      </w: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precise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daño importante podría producir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visita de sala,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registre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pide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visita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de Carmen atraviesa todo este libro; aquí se presenta en su versión condensada, tal como se sintetizaría en una entrega de turno o en una discusión clínica.</w:t>
      </w:r>
    </w:p>
    <w:p>
      <w:pPr>
        <w:pStyle w:val="BodyJ"/>
      </w:pPr>
      <w:r>
        <w:t xml:space="preserve">Mujer de 61 años con hernia incisional de la línea media y tres hospitalizaciones en el último año por suboclusión intestinal, todas resueltas con manejo médico conservador. Ingresa por un cuarto episodio obstructivo, esta vez asociado a shock séptico, hiperlactatemia (6,0 mmol/L), hipoperfusión periférica (llene capilar de 5 segundos) y bacteriemia por bacilos gramnegativos (2/2 hemocultivos). Evoluciona favorablemente con reposo digestivo, descompresión por sonda nasogástrica, noradrenalina y antibioterapia. La tomografía de abdomen no muestra perforación, isquemia mesentérica ni estrangulación actual.</w:t>
      </w:r>
    </w:p>
    <w:p>
      <w:pPr>
        <w:pStyle w:val="BodyJ"/>
      </w:pPr>
      <w:r>
        <w:rPr>
          <w:i/>
          <w:iCs/>
        </w:rPr>
        <w:t xml:space="preserve">Hechos:</w:t>
      </w:r>
      <w:r>
        <w:t xml:space="preserve"> recurrencia obstructiva documentada y con intervalos cada vez más cortos; episodio actual con compromiso hemodinámico vital y bacteriemia demostrada; respuesta clínica favorable al soporte intensivo; ausencia de complicación quirúrgica aguda en la tomografía inicial.</w:t>
      </w:r>
    </w:p>
    <w:p>
      <w:pPr>
        <w:pStyle w:val="BodyJ"/>
      </w:pPr>
      <w:r>
        <w:rPr>
          <w:i/>
          <w:iCs/>
        </w:rPr>
        <w:t xml:space="preserve">Inferencia:</w:t>
      </w:r>
      <w:r>
        <w:t xml:space="preserve"> el foco abdominal de la bacteriemia, secundario al evento obstructivo, es altamente probable por secuencia temporal y microbiología compatible, aunque el mecanismo íntimo (translocación bacteriana o microisquemia transitoria) no esté demostrado. La ausencia de estrangulación tomográfica desactiva la urgencia quirúrgica inmediata, pero no mitiga el riesgo acumulado de recurrencia.</w:t>
      </w:r>
    </w:p>
    <w:p>
      <w:pPr>
        <w:pStyle w:val="BodyJ"/>
      </w:pPr>
      <w:r>
        <w:rPr>
          <w:i/>
          <w:iCs/>
        </w:rPr>
        <w:t xml:space="preserve">Incertidumbre:</w:t>
      </w:r>
      <w:r>
        <w:t xml:space="preserve"> son inciertos el plazo hasta una quinta obstrucción, la magnitud del daño si ésta ocurre fuera del hospital y la reserva funcional efectiva de la paciente para enfrentar el estrés quirúrgico una vez recuperada.</w:t>
      </w:r>
    </w:p>
    <w:p>
      <w:pPr>
        <w:pStyle w:val="BodyJ"/>
      </w:pPr>
      <w:r>
        <w:rPr>
          <w:i/>
          <w:iCs/>
        </w:rPr>
        <w:t xml:space="preserve">Decisión:</w:t>
      </w:r>
      <w:r>
        <w:t xml:space="preserve"> solicitar evaluación quirúrgica precoz para planificar reparación electiva tras optimización médica y kinésica, documentando una decisión compartida. El fundamento para operar no es que «fracasó el manejo médico» (resolvió el cuadro agudo cuatro veces), sino que la gravedad vital alcanzada en este episodio vuelve inaceptable el riesgo de mantener una conducta expectante.</w:t>
      </w:r>
    </w:p>
    <w:p>
      <w:pPr>
        <w:pStyle w:val="BodyJ"/>
      </w:pPr>
      <w:r>
        <w:rPr>
          <w:i/>
          <w:iCs/>
        </w:rPr>
        <w:t xml:space="preserve">Frase medular:</w:t>
      </w:r>
      <w:r>
        <w:t xml:space="preserve"> «Obstrucción intestinal recurrente por hernia incisional, por primera vez complicada con shock séptico y bacteriemia, sin isquemia aguda en tomografía. El salto cualitativo de gravedad modifica el umbral terapéutico y justifica priorizar la reparación electiva tras la recuperación fisiológica.»</w:t>
      </w:r>
    </w:p>
    <w:p>
      <w:pPr>
        <w:pStyle w:val="BodyJ"/>
      </w:pPr>
      <w:r>
        <w:rPr>
          <w:i/>
          <w:iCs/>
        </w:rPr>
        <w:t xml:space="preserve">Epílogo.</w:t>
      </w:r>
      <w:r>
        <w:t xml:space="preserve"> Carmen fue operada de forma programada seis semanas después. En pabellón se encontraron adherencias firmes y un anillo herniario estrecho, reparado sin incidentes mayores. En su control ambulatorio al mes, Carmen formuló su propio balance del proceso: «Esta vez el dolor tenía una explicación clara, y saber qué estábamos haciendo lo cambió todo». Su buena evolución no demuestra, por sí sola, que la indicación haya sido acertada: un desenlace feliz nunca valida retroactivamente un proceso defectuoso. Lo que cuenta es que la decisión era defendible antes de conocer el resultado, que es todo lo que puede exigírsele al juicio médico. La anotación rápida de su primera madrugada en urgencias —«cuadro habitual, manejo habitual»— permaneció en la ficha como testimonio de lo que una semana de trabajo epistémico permitió transformar.</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Es el paciente de la cama 12 del capítulo 8, el mismo cuya ficha el capítulo 12 ordenó en la matriz HII-D; aquí, en la versión que cabe en una entrega de turno. Hombre con lesión medular completa, vejiga neurogénica, sonda Foley permanente y un cáncer renal metastásico en progresión. Tras un recambio traumático de sonda presenta orina turbia, piuria y urocultivo positivo; está afebril, estable y sin cambios respecto de su basal. Los marcadores inflamatorios están elevados, sin valores previos y con el tumor como causa concomitante, y tiene antecedente de colonización por enterobacteria productora de BLEE.</w:t>
      </w:r>
    </w:p>
    <w:p>
      <w:pPr>
        <w:pStyle w:val="BodyJ"/>
      </w:pPr>
      <w:r>
        <w:rPr>
          <w:i/>
          <w:iCs/>
        </w:rPr>
        <w:t xml:space="preserve">Hechos:</w:t>
      </w:r>
      <w:r>
        <w:t xml:space="preserve"> recambio reciente de sonda; piuria y urocultivo positivo; afebril y estable; síntomas urinarios bajos no evaluables por el nivel lesional; reactantes elevados sin basal, con cáncer renal metastásico activo; colonización documentada por BLEE.</w:t>
      </w:r>
    </w:p>
    <w:p>
      <w:pPr>
        <w:pStyle w:val="BodyJ"/>
      </w:pPr>
      <w:r>
        <w:rPr>
          <w:i/>
          <w:iCs/>
        </w:rPr>
        <w:t xml:space="preserve">Inferencia:</w:t>
      </w:r>
      <w:r>
        <w:t xml:space="preserve"> el cuadro es altamente compatible con una bacteriuria asociada a catéter por colonización crónica (favorecida por el arrastre del recambio) más que con una infección urinaria sintomática asociada a sonda. Por sí solas, ni la turbidez ni la piuria discriminan entre colonización e infección invasiva en pacientes sondados, y la elevación inflamatoria sistémica es explicable por su neoplasia de base.</w:t>
      </w:r>
    </w:p>
    <w:p>
      <w:pPr>
        <w:pStyle w:val="BodyJ"/>
      </w:pPr>
      <w:r>
        <w:rPr>
          <w:i/>
          <w:iCs/>
        </w:rPr>
        <w:t xml:space="preserve">Incertidumbre:</w:t>
      </w:r>
      <w:r>
        <w:t xml:space="preserve"> la denervación medular enmascara la disuria y el dolor lumbar, por lo que persiste la duda de una infección incipiente con expresión clínica atípica.</w:t>
      </w:r>
    </w:p>
    <w:p>
      <w:pPr>
        <w:pStyle w:val="BodyJ"/>
      </w:pPr>
      <w:r>
        <w:rPr>
          <w:i/>
          <w:iCs/>
        </w:rPr>
        <w:t xml:space="preserve">Decisión:</w:t>
      </w:r>
      <w:r>
        <w:t xml:space="preserve"> no iniciar tratamiento antibiótico empírico. Instaurar vigilancia clínica dirigida a signos equivalentes de respuesta sistémica o autonómica (fiebre nueva, inestabilidad hemodinámica, aumento súbito de espasticidad, sudoración o malestar general inexplicable). Aquí, el antecedente de germen BLEE no es un gatillo para prescribir antes, sino al revés. Como el tratamiento exigiría carbapenémicos, de alto impacto ecológico y toxicidad potencial, el umbral clínico para iniciar antibióticos debe ser más exigente.</w:t>
      </w:r>
    </w:p>
    <w:p>
      <w:pPr>
        <w:pStyle w:val="BodyJ"/>
      </w:pPr>
      <w:r>
        <w:rPr>
          <w:i/>
          <w:iCs/>
        </w:rPr>
        <w:t xml:space="preserve">Frase medular:</w:t>
      </w:r>
      <w:r>
        <w:t xml:space="preserve"> «Urocultivo positivo y piuria tras recambio de sonda Foley en paciente con lesión medular y antecedente de colonización por BLEE, sin respuesta sistémica ni signos autonómicos que configuren infección activa. Se interpreta como bacteriuria asociada a catéter; vigilancia clínica estricta con criterios explícitos de reapertura.»</w:t>
      </w:r>
    </w:p>
    <w:p>
      <w:pPr>
        <w:pStyle w:val="Heading3"/>
        <w:spacing w:after="120" w:before="280"/>
      </w:pPr>
      <w:r>
        <w:rPr>
          <w:rFonts w:ascii="Georgia" w:cs="Georgia" w:eastAsia="Georgia" w:hAnsi="Georgia"/>
          <w:b/>
          <w:bCs/>
          <w:color w:val="2B2B2B"/>
          <w:sz w:val="25"/>
          <w:szCs w:val="25"/>
        </w:rPr>
        <w:t xml:space="preserve">Viñeta 3. Tres de la mañana: decidir con el reloj en contra</w:t>
      </w:r>
    </w:p>
    <w:p>
      <w:pPr>
        <w:pStyle w:val="BodyJ"/>
      </w:pPr>
      <w:r>
        <w:t xml:space="preserve">Servicio de urgencias, 03:10. Hombre de 54 años, tabáquico activo, consulta por dolor retroesternal opresivo de 40 minutos de evolución, acompañado de diaforesis fría. El electrocardiograma de ingreso muestra alteraciones inespecíficas de la repolarización, sin supradesnivel del ST. La primera troponina está en proceso en el laboratorio. En la sala de espera hay nueve pacientes pendientes de atención y queda un solo cupo en el box de reanimación. Bajo esta presión asistencial no hay margen para redactar una plantilla extensa, pero sí hay sesenta segundos para estructurar el juicio.</w:t>
      </w:r>
    </w:p>
    <w:p>
      <w:pPr>
        <w:pStyle w:val="BodyJ"/>
      </w:pPr>
      <w:r>
        <w:rPr>
          <w:i/>
          <w:iCs/>
        </w:rPr>
        <w:t xml:space="preserve">¿Qué vi y qué me contaron? (Hechos)</w:t>
      </w:r>
      <w:r>
        <w:t xml:space="preserve"> Dolor torácico visceral opresivo con signos autonómicos objetivos (diaforesis fría presenciada en el triage) y un ECG inicial anormal aunque no diagnóstico.</w:t>
      </w:r>
    </w:p>
    <w:p>
      <w:pPr>
        <w:pStyle w:val="BodyJ"/>
      </w:pPr>
      <w:r>
        <w:rPr>
          <w:i/>
          <w:iCs/>
        </w:rPr>
        <w:t xml:space="preserve">¿Qué creo y cuánto derecho tengo a creerlo? (Inferencia)</w:t>
      </w:r>
      <w:r>
        <w:t xml:space="preserve"> Síndrome coronario agudo (SCA) probable; la semiología isquémica típica y el perfil de riesgo tienen mayor peso pretest que un primer trazado electrocardiográfico no concluyente. Diagnóstico aún no demostrado.</w:t>
      </w:r>
    </w:p>
    <w:p>
      <w:pPr>
        <w:pStyle w:val="BodyJ"/>
      </w:pPr>
      <w:r>
        <w:rPr>
          <w:i/>
          <w:iCs/>
        </w:rPr>
        <w:t xml:space="preserve">¿Qué daño importante produciría si me equivoco? (Incertidumbre crítica)</w:t>
      </w:r>
      <w:r>
        <w:t xml:space="preserve"> Rotularlo como «dolor torácico atípico con ECG sin isquemia aguda» y enviarlo a esperar la troponina en una silla de la sala común mientras cursa una oclusión coronaria dinámica. La incertidumbre peligrosa no es la etiqueta nominal; es la ventana de tiempo de miocardio salvable.</w:t>
      </w:r>
    </w:p>
    <w:p>
      <w:pPr>
        <w:pStyle w:val="BodyJ"/>
      </w:pPr>
      <w:r>
        <w:rPr>
          <w:i/>
          <w:iCs/>
        </w:rPr>
        <w:t xml:space="preserve">¿Qué hago ahora y qué me haría cambiar? (Decisión)</w:t>
      </w:r>
      <w:r>
        <w:t xml:space="preserve"> Cama monitorizada, vía venosa, antiagregación inicial según protocolo, ECG seriado cada 15–30 minutos y rescate rápido de la troponina. Activar hemodinamia de inmediato si el trazado evoluciona a supradesnivel o si el dolor se vuelve refractario. Queda escrito: «SCA en evolución, no demostrado; manejo y monitorización continua por asimetría de consecuencias ante el riesgo vital de omisión».</w:t>
      </w:r>
    </w:p>
    <w:p>
      <w:pPr>
        <w:pStyle w:val="BodyJ"/>
      </w:pPr>
      <w:r>
        <w:rPr>
          <w:i/>
          <w:iCs/>
        </w:rPr>
        <w:t xml:space="preserve">Frase medular:</w:t>
      </w:r>
      <w:r>
        <w:t xml:space="preserve"> «Dolor torácico de perfil anginoso con descarga adrenérgica y ECG inicial no concluyente: se maneja como SCA probable bajo monitorización continua, por asimetría de consecuencias, mientras la seriación electrocardiográfica y enzimática confirma o degrada la hipótesis.»</w:t>
      </w:r>
    </w:p>
    <w:p>
      <w:pPr>
        <w:pStyle w:val="BodyJ"/>
      </w:pPr>
      <w:r>
        <w:rPr>
          <w:i/>
          <w:iCs/>
        </w:rPr>
        <w:t xml:space="preserve">Lectura metacognitiva.</w:t>
      </w:r>
      <w:r>
        <w:t xml:space="preserve"> En urgencias, el fallo catastrófico rara vez es intelectual: casi todo médico piensa en el infarto. Suele ser logístico y de diseño: la hipótesis correcta («probable SCA») sin un circuito cerrado de reevaluación. ¿Quién toma y quién mira el segundo ECG a los 15 minutos si el turno colapsa? Fijar el criterio de reapertura con plazo y responsable es la mitad del tratamiento.</w:t>
      </w:r>
    </w:p>
    <w:p>
      <w:pPr>
        <w:pStyle w:val="Heading3"/>
        <w:spacing w:after="120" w:before="280"/>
      </w:pPr>
      <w:r>
        <w:rPr>
          <w:rFonts w:ascii="Georgia" w:cs="Georgia" w:eastAsia="Georgia" w:hAnsi="Georgia"/>
          <w:b/>
          <w:bCs/>
          <w:color w:val="2B2B2B"/>
          <w:sz w:val="25"/>
          <w:szCs w:val="25"/>
        </w:rPr>
        <w:t xml:space="preserve">Viñeta 4. La consulta ambulatoria y el chequeo reciente</w:t>
      </w:r>
    </w:p>
    <w:p>
      <w:pPr>
        <w:pStyle w:val="BodyJ"/>
      </w:pPr>
      <w:r>
        <w:t xml:space="preserve">Policlínico de atención primaria. Mujer de 47 años consulta por fatiga persistente de tres meses de evolución. Acude con exámenes de sangre «normales de hace poquito»: un hemograma y un perfil bioquímico tomados hace cinco meses en un chequeo preventivo, dos meses antes de que comenzara el cansancio. Al interrogatorio dirigido agrega sudoración nocturna ocasional —que ella atribuye al inicio de la menopausia— y una baja de peso involuntaria de unos tres kilos que explica «porque he tenido menos apetito». La agenda médica está copada, con bloques de doce minutos por paciente.</w:t>
      </w:r>
    </w:p>
    <w:p>
      <w:pPr>
        <w:pStyle w:val="BodyJ"/>
      </w:pPr>
      <w:r>
        <w:rPr>
          <w:i/>
          <w:iCs/>
        </w:rPr>
        <w:t xml:space="preserve">Hechos:</w:t>
      </w:r>
      <w:r>
        <w:t xml:space="preserve"> fatiga progresiva de tres meses (relato consistente); exámenes de laboratorio normales cuya fecha precede en dos meses al inicio del síntoma; sudoración nocturna y baja ponderal referidas con atribuciones benignas propuestas por la propia paciente. Examen físico segmentario de hoy sin adenopatías periféricas ni visceromegalias palpables, en una exploración acotada por el tiempo de consulta.</w:t>
      </w:r>
    </w:p>
    <w:p>
      <w:pPr>
        <w:pStyle w:val="BodyJ"/>
      </w:pPr>
      <w:r>
        <w:rPr>
          <w:i/>
          <w:iCs/>
        </w:rPr>
        <w:t xml:space="preserve">Inferencia:</w:t>
      </w:r>
      <w:r>
        <w:t xml:space="preserve"> por prevalencia, la mayoría de las fatigas en atención primaria son funcionales, carenciales o adaptativas. Pero fatiga prolongada, sudoración nocturna y baja de peso configuran un síndrome constitucional que impide el cierre diagnóstico. Los exámenes que trae la paciente no descartan patología orgánica actual por una razón temporal simple: fueron tomados cuando la enfermedad aún no se manifestaba.</w:t>
      </w:r>
    </w:p>
    <w:p>
      <w:pPr>
        <w:pStyle w:val="BodyJ"/>
      </w:pPr>
      <w:r>
        <w:rPr>
          <w:i/>
          <w:iCs/>
        </w:rPr>
        <w:t xml:space="preserve">Incertidumbre:</w:t>
      </w:r>
      <w:r>
        <w:t xml:space="preserve"> la duda relevante hoy no es determinar la etiología exacta en doce minutos, sino responder si subyace un proceso sistémico, inflamatorio o neoplásico en curso. Esa incertidumbre no se reduce alargando la entrevista de hoy, sino actualizando el laboratorio y utilizando el seguimiento longitudinal.</w:t>
      </w:r>
    </w:p>
    <w:p>
      <w:pPr>
        <w:pStyle w:val="BodyJ"/>
      </w:pPr>
      <w:r>
        <w:rPr>
          <w:i/>
          <w:iCs/>
        </w:rPr>
        <w:t xml:space="preserve">Decisión:</w:t>
      </w:r>
      <w:r>
        <w:t xml:space="preserve"> estudio actualizado dirigido (hemograma con frotis, VHS, PCR, TSH, glicemia, perfil hepático y renal, LDH) y control presencial en dos semanas con la misma médica. Red de seguridad por escrito (safety-netting): adelantar la consulta si aparece fiebre cuantificada, aumento de volumen ganglionar, dolor óseo localizado o progresión de la baja de peso.</w:t>
      </w:r>
    </w:p>
    <w:p>
      <w:pPr>
        <w:pStyle w:val="BodyJ"/>
      </w:pPr>
      <w:r>
        <w:rPr>
          <w:i/>
          <w:iCs/>
        </w:rPr>
        <w:t xml:space="preserve">Frase medular:</w:t>
      </w:r>
      <w:r>
        <w:t xml:space="preserve"> «Fatiga de tres meses asociada a sudoración nocturna y baja ponderal leve; dado que el laboratorio normal previo antecede al inicio de los síntomas y no cubre el período actual, se solicita estudio actualizado y se programa control longitudinal con pauta escrita de signos de alarma.»</w:t>
      </w:r>
    </w:p>
    <w:p>
      <w:pPr>
        <w:pStyle w:val="BodyJ"/>
      </w:pPr>
      <w:r>
        <w:rPr>
          <w:i/>
          <w:iCs/>
        </w:rPr>
        <w:t xml:space="preserve">Lectura metacognitiva.</w:t>
      </w:r>
      <w:r>
        <w:t xml:space="preserve"> Evidencia caducada: «tiene exámenes normales recientes» es un hecho cierto cuya fecha lo vuelve irrelevante para el problema nuevo. Y el tiempo longitudinal, la ventaja comparativa de la atención primaria, sólo es una herramienta diagnóstica cuando tiene fecha de reevaluación y criterios de reconsulta; sin ese diseño, dejar pasar el tiempo es apostar a que el cuadro sea benigno.</w:t>
      </w:r>
    </w:p>
    <w:p>
      <w:pPr>
        <w:pStyle w:val="Heading3"/>
        <w:spacing w:after="120" w:before="280"/>
      </w:pPr>
      <w:r>
        <w:rPr>
          <w:rFonts w:ascii="Georgia" w:cs="Georgia" w:eastAsia="Georgia" w:hAnsi="Georgia"/>
          <w:b/>
          <w:bCs/>
          <w:color w:val="2B2B2B"/>
          <w:sz w:val="25"/>
          <w:szCs w:val="25"/>
        </w:rPr>
        <w:t xml:space="preserve">Viñeta 5. Pronóstico incierto al final de la vida</w:t>
      </w:r>
    </w:p>
    <w:p>
      <w:pPr>
        <w:pStyle w:val="BodyJ"/>
      </w:pPr>
      <w:r>
        <w:t xml:space="preserve">Hombre de 78 años con adenocarcinoma de páncreas metastásico en progresión tras tres líneas de quimioterapia. Ingresa al servicio de medicina interna por un deterioro funcional acelerado en las últimas tres semanas —pasó de caminar con apoyo dentro de su casa a permanecer postrado en cama—, sumado a una neumonía aguda hipoxémica. En el pasillo, la familia pregunta angustiada cuánto tiempo de vida le queda. Una de las hijas exige «que se le haga todo lo necesario para sacarlo adelante». Oncología anota en su interconsulta que, superado el cuadro infeccioso, «eventualmente podría evaluarse una ventana para una cuarta línea paliativa». El paciente, durante sus períodos de lucidez, repite que se siente profundamente agotado.</w:t>
      </w:r>
    </w:p>
    <w:p>
      <w:pPr>
        <w:pStyle w:val="BodyJ"/>
      </w:pPr>
      <w:r>
        <w:rPr>
          <w:i/>
          <w:iCs/>
        </w:rPr>
        <w:t xml:space="preserve">Hechos:</w:t>
      </w:r>
      <w:r>
        <w:t xml:space="preserve"> neoplasia pancreática metastásica con progresión documentada bajo tercera línea oncológica; declive funcional severo y rápido en las últimas semanas (objetivable con una escala de fragilidad y de desempeño); neumonía bacteriana aguda superpuesta; manifestación reiterada de cansancio vital por parte del paciente en al menos dos entrevistas clínicas lúcidas.</w:t>
      </w:r>
    </w:p>
    <w:p>
      <w:pPr>
        <w:pStyle w:val="BodyJ"/>
      </w:pPr>
      <w:r>
        <w:rPr>
          <w:i/>
          <w:iCs/>
        </w:rPr>
        <w:t xml:space="preserve">Inferencia:</w:t>
      </w:r>
      <w:r>
        <w:t xml:space="preserve"> la neumonía es tratable en lo inmediato. La pendiente funcional previa indica, en cambio, una trayectoria irreversible de final de vida, con una sobrevida estimable en semanas a pocos meses. En ese escenario, «podría haber ventana para otra línea» no es una expectativa fundada en la evolución real, sino la mención abstracta de un fármaco disponible.</w:t>
      </w:r>
    </w:p>
    <w:p>
      <w:pPr>
        <w:pStyle w:val="BodyJ"/>
      </w:pPr>
      <w:r>
        <w:rPr>
          <w:i/>
          <w:iCs/>
        </w:rPr>
        <w:t xml:space="preserve">Incertidumbre:</w:t>
      </w:r>
      <w:r>
        <w:t xml:space="preserve"> el plazo exacto es incognoscible (incertidumbre aleatoria irreductible); lo honesto es comunicar la dirección de la pendiente y los escenarios probables. Pero la incertidumbre que domina el caso no es pronóstica sino de metas: ¿cómo quiere vivir este hombre el tiempo que le queda y qué cargas terapéuticas está dispuesto a tolerar?</w:t>
      </w:r>
    </w:p>
    <w:p>
      <w:pPr>
        <w:pStyle w:val="BodyJ"/>
      </w:pPr>
      <w:r>
        <w:rPr>
          <w:i/>
          <w:iCs/>
        </w:rPr>
        <w:t xml:space="preserve">Decisión:</w:t>
      </w:r>
      <w:r>
        <w:t xml:space="preserve"> antibióticos endovenosos y oxigenoterapia no invasiva con un objetivo explícito de alivio sintomático y eventual retorno a su casa (medidas reversibles y proporcionadas). Suspender la discusión sobre nuevas quimioterapias. Reunión familiar estructurada para alinear el plan con la voluntad del paciente. Reevaluación a las 72 horas según respuesta funcional y confort.</w:t>
      </w:r>
    </w:p>
    <w:p>
      <w:pPr>
        <w:pStyle w:val="BodyJ"/>
      </w:pPr>
      <w:r>
        <w:rPr>
          <w:i/>
          <w:iCs/>
        </w:rPr>
        <w:t xml:space="preserve">Frase medular:</w:t>
      </w:r>
      <w:r>
        <w:t xml:space="preserve"> «Neumonía aguda potencialmente reversible en paciente con cáncer de páncreas metastásico refractario y declive funcional acelerado hacia el final de la vida. Se trata la parte reversible con metas de alivio, se comunica la trayectoria sin fingir exactitud de plazos y las medidas invasivas se subordinan a las preferencias del enfermo.»</w:t>
      </w:r>
    </w:p>
    <w:p>
      <w:pPr>
        <w:pStyle w:val="BodyJ"/>
      </w:pPr>
      <w:r>
        <w:rPr>
          <w:i/>
          <w:iCs/>
        </w:rPr>
        <w:t xml:space="preserve">Lectura metacognitiva.</w:t>
      </w:r>
      <w:r>
        <w:t xml:space="preserve"> La pregunta «¿cuánto tiempo le queda?» tienta a dos respuestas simétricas y malas: una cifra inventada (certeza retórica) o un «eso sólo Dios lo sabe» que desorienta a la familia (abandono comunicacional). Y el caso expone la confusión cotidiana entre lo técnicamente factible —una cuarta línea, intubar— y lo clínicamente proporcionado: el juicio de proporcionalidad del capítulo 10 empieza por reconocer el declive basal como un hecho clínico duro.</w:t>
      </w:r>
    </w:p>
    <w:p>
      <w:pPr>
        <w:pStyle w:val="Heading3"/>
        <w:spacing w:after="120" w:before="280"/>
      </w:pPr>
      <w:r>
        <w:rPr>
          <w:rFonts w:ascii="Georgia" w:cs="Georgia" w:eastAsia="Georgia" w:hAnsi="Georgia"/>
          <w:b/>
          <w:bCs/>
          <w:color w:val="2B2B2B"/>
          <w:sz w:val="25"/>
          <w:szCs w:val="25"/>
        </w:rPr>
        <w:t xml:space="preserve">Viñeta 6. Anatomía de un error consumado</w:t>
      </w:r>
    </w:p>
    <w:p>
      <w:pPr>
        <w:pStyle w:val="BodyJ"/>
      </w:pPr>
      <w:r>
        <w:t xml:space="preserve">Esta viñeta reconstruye un error completo con la disciplina de los capítulos 7 y 8. Sin pegar la etiqueta de un sesgo, y sin dejar que el desenlace conocido distorsione lo que era exigible saber en el momento de la consulta.</w:t>
      </w:r>
    </w:p>
    <w:p>
      <w:pPr>
        <w:pStyle w:val="BodyJ"/>
      </w:pPr>
      <w:r>
        <w:rPr>
          <w:i/>
          <w:iCs/>
        </w:rPr>
        <w:t xml:space="preserve">El caso.</w:t>
      </w:r>
      <w:r>
        <w:t xml:space="preserve"> Mujer de 29 años consulta en urgencias a las 23:40 por disnea de inicio súbito hace dos horas, palpitaciones y «sensación inminente de que me voy a morir». Registra antecedente de trastorno de pánico en control; la hoja de categorización del triage anota: «paciente ansiosa, cursa crisis de pánico conocida». Sus signos vitales de ingreso muestran frecuencia cardiaca de 118 lpm, presión arterial normal, saturación de oxígeno de 94% ambiental y auscultación cardiopulmonar descrita como «sin hallazgos patológicos». La evolución médica consigna: «Crisis de pánico en paciente con antecedente conocido. Se administra lorazepam sublingual, cede angustia. Alta con indicación de control en salud mental». A las 36 horas reingresa al reanimador traída por su pareja tras sufrir un síncope en el baño: el angioTAC confirma un tromboembolismo pulmonar (TEP) bilateral masivo con disfunción ventricular derecha aguda. Sobrevive tras trombólisis sistémica.</w:t>
      </w:r>
    </w:p>
    <w:p>
      <w:pPr>
        <w:pStyle w:val="BodyJ"/>
      </w:pPr>
      <w:r>
        <w:rPr>
          <w:i/>
          <w:iCs/>
        </w:rPr>
        <w:t xml:space="preserve">Reconstrucción epistémica por capas.</w:t>
      </w:r>
    </w:p>
    <w:p>
      <w:pPr>
        <w:pStyle w:val="BodyJ"/>
      </w:pPr>
      <w:r>
        <w:rPr>
          <w:b/>
          <w:bCs/>
        </w:rPr>
        <w:t xml:space="preserve">Hechos disponibles la primera noche:</w:t>
      </w:r>
      <w:r>
        <w:t xml:space="preserve"> disnea de instalación brusca con hora de inicio precisa (relato consistente). Taquicardia sinusal de 118 lpm al ingreso, que persistía en 112 lpm en el control de enfermería previo al alta, una hora después del lorazepam y con la paciente ya tranquila. Dato medido, registrado en la hoja de signos vitales y omitido en la nota médica. Saturación de 94% a aire ambiental, que alguien en el turno minimizó como «esperable porque está hiperventilando»; la hiperventilación por ansiedad eleva la presión arterial de oxígeno y lleva la saturación hacia 99–100%, nunca la baja a 94%. Uso de anticonceptivos orales combinados y un viaje interurbano en bus de nueve horas tres días antes: dos factores protrombóticos presentes en la historia reciente, que nadie interrogó porque nunca se abrió una hipótesis vascular. Y una etiqueta heredada desde la admisión («crisis de pánico conocida»), que entró a la ficha médica con rango de diagnóstico antes de que el clínico pusiera el fonendoscopio sobre el tórax.</w:t>
      </w:r>
    </w:p>
    <w:p>
      <w:pPr>
        <w:pStyle w:val="BodyJ"/>
      </w:pPr>
      <w:r>
        <w:rPr>
          <w:b/>
          <w:bCs/>
        </w:rPr>
        <w:t xml:space="preserve">Inferencia de la primera noche:</w:t>
      </w:r>
      <w:r>
        <w:t xml:space="preserve"> «crisis de pánico» fue redactada como un hecho consumado, cuando su fuerza epistémica real era apenas la de una hipótesis posible, sustentada únicamente en el antecedente psiquiátrico y la similitud superficial del relato.</w:t>
      </w:r>
    </w:p>
    <w:p>
      <w:pPr>
        <w:pStyle w:val="BodyJ"/>
      </w:pPr>
      <w:r>
        <w:rPr>
          <w:b/>
          <w:bCs/>
        </w:rPr>
        <w:t xml:space="preserve">Incertidumbre nunca formulada:</w:t>
      </w:r>
      <w:r>
        <w:t xml:space="preserve"> ¿qué proceso fisiopatológico explica que una mujer de 29 años mantenga una frecuencia cardiaca de 112 lpm estando ya sedada y sin angustia, junto con una saturación de 94% que contradice una hiperventilación psicógena? Para este escenario exacto se diseñaron y validaron los criterios PERC (Pulmonary Embolism Rule-out Criteria): ocho variables que permiten excluir razonablemente un TEP sin dímero-D, sólo cuando un paciente de baja sospecha no cumple ninguna (Kline et al., 2004). Esta paciente incumplía tres: frecuencia cardiaca ≥100 lpm, saturación &lt;95% y uso de estrógenos. La regla no falló esa noche; nunca fue convocada, porque el cierre prematuro impidió sospechar que había algo que descartar.</w:t>
      </w:r>
    </w:p>
    <w:p>
      <w:pPr>
        <w:pStyle w:val="BodyJ"/>
      </w:pPr>
      <w:r>
        <w:rPr>
          <w:b/>
          <w:bCs/>
        </w:rPr>
        <w:t xml:space="preserve">Decisión de la primera noche:</w:t>
      </w:r>
      <w:r>
        <w:t xml:space="preserve"> la benzodiacepina era defendible como tratamiento sintomático inicial. El alta sin estudio adicional y sin una línea de signos de alarma —qué debía hacerla volver antes del «control en salud mental»— fue un cierre indefendible.</w:t>
      </w:r>
    </w:p>
    <w:p>
      <w:pPr>
        <w:pStyle w:val="BodyJ"/>
      </w:pPr>
      <w:r>
        <w:rPr>
          <w:i/>
          <w:iCs/>
        </w:rPr>
        <w:t xml:space="preserve">Dónde estuvo el punto de intercepción.</w:t>
      </w:r>
      <w:r>
        <w:t xml:space="preserve"> En la lectura de los signos vitales previos al egreso. Una taquicardia persistente de 112 lpm en una paciente que ya no luce angustiada era la gran discordancia de la madrugada. Si la hipótesis del pánico hubiese sido verdadera, el control de la ansiedad debía normalizar la descarga simpática y bajar el pulso. La pregunta de desaceleración antes de firmar el alta —«¿qué dato objetivo de esta paciente no explica una crisis de pánico?»— tenía en ese minuto su máximo rendimiento y su mínimo costo. Habrían bastado dos preguntas de anamnesis dirigida, la regla PERC al lado de la camilla y un dímero-D. Treinta y seis horas más tarde, la pregunta no formulada la respondió el síncope.</w:t>
      </w:r>
    </w:p>
    <w:p>
      <w:pPr>
        <w:pStyle w:val="BodyJ"/>
      </w:pPr>
      <w:r>
        <w:rPr>
          <w:i/>
          <w:iCs/>
        </w:rPr>
        <w:t xml:space="preserve">Lo que no debe concluirse.</w:t>
      </w:r>
      <w:r>
        <w:t xml:space="preserve"> El desenlace no demuestra que toda disnea en una paciente con trastorno de pánico sea una embolia, ni que el médico fuera incompetente: con la información de la primera noche, la crisis de pánico era la explicación más frecuente. Lo indefendible era la arquitectura: una etiqueta de triage convertida en diagnóstico antes del examen, un dato medido —la taquicardia persistente— registrado sin que nadie le pidiera explicación, dos preguntas de anamnesis que la etiqueta volvió innecesarias y un alta sin condición de reapertura. El mismo proceso con desenlace benigno —una crisis de pánico real— habría dejado la misma vulnerabilidad instalada para la siguiente paciente a la que se le cree menos por su diagnóstico.</w:t>
      </w:r>
    </w:p>
    <w:p>
      <w:pPr>
        <w:pStyle w:val="BodyJ"/>
      </w:pPr>
      <w:r>
        <w:rPr>
          <w:i/>
          <w:iCs/>
        </w:rPr>
        <w:t xml:space="preserve">Frase medular (la que faltó la primera noche):</w:t>
      </w:r>
      <w:r>
        <w:t xml:space="preserve"> «Disnea súbita y taquicardia persistente (112 tras ansiolisis) en mujer de 29 años con trastorno de pánico y anticonceptivos orales: crisis de pánico posible, pero la taquicardia y la saturación de 94% no están explicadas. PERC no cumplido (frecuencia cardiaca, saturación, estrógenos): no procede el alta sin estudiar embolia pulmonar. Dímero-D ahora; angioTAC si resulta elevado o la probabilidad clínica es intermedia. Reconsulta inmediata, por escrito, ante síncope, dolor torácico o disnea en reposo.»</w:t>
      </w:r>
    </w:p>
    <w:p>
      <w:pPr>
        <w:pStyle w:val="BodyJ"/>
      </w:pPr>
      <w:r>
        <w:rPr>
          <w:i/>
          <w:iCs/>
        </w:rPr>
        <w:t xml:space="preserve">Lectura metacognitiva.</w:t>
      </w:r>
      <w:r>
        <w:t xml:space="preserve"> La frase que faltó no requería más conocimiento del que cualquier médico de urgencias ya tiene: requería que el antecedente psiquiátrico no descontara el valor de dos signos medidos. Esta viñeta es el capítulo 14 en su forma más silenciosa: la injusticia testimonial no le dijo a la paciente que no le creía; simplemente dejó de preguntar. Y es también el capítulo 10: la regla PERC es un umbral explícito, y los umbrales explícitos sólo protegen a quien recuerda que hay una hipótesis que someterles. La disciplina de escritura habría bastado: separar el hecho (taquicardia persistente no explicada) de la etiqueta (pánico), conservar la incertidumbre y programar la reapertura.</w:t>
      </w:r>
    </w:p>
    <w:p>
      <w:pPr>
        <w:pStyle w:val="Heading3"/>
        <w:spacing w:after="120" w:before="280"/>
      </w:pPr>
      <w:r>
        <w:rPr>
          <w:rFonts w:ascii="Georgia" w:cs="Georgia" w:eastAsia="Georgia" w:hAnsi="Georgia"/>
          <w:b/>
          <w:bCs/>
          <w:color w:val="2B2B2B"/>
          <w:sz w:val="25"/>
          <w:szCs w:val="25"/>
        </w:rPr>
        <w:t xml:space="preserve">Viñeta 7.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sino una observación experta sobre el único basal disponible, y la evidencia le da rango de señal. En series de atención primaria, la intuición del clínico de que «algo anda mal», muchas veces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injusticia testimonial en versión pediátrica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8.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el caso donde el examen «poco confiable» obliga a más objetividad, no a menos: laboratorio e imagen deciden lo que la palpación no puede.</w:t>
      </w:r>
    </w:p>
    <w:p>
      <w:pPr>
        <w:pStyle w:val="BodyJ"/>
      </w:pPr>
      <w:r>
        <w:rPr>
          <w:i/>
          <w:iCs/>
        </w:rPr>
        <w:t xml:space="preserve">Decisión:</w:t>
      </w:r>
      <w:r>
        <w:t xml:space="preserve"> el mismo estándar que para cualquier paciente con dolor abdominal y taquicardia —laboratorio completo, imagen según hallazgos, reevaluación programada— y uno adicional. Documentar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Aquí la injusticia testimonial —descontar el relato por quién lo dice— tiene mortalidad: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la decisión termina con la misma cláusula: qué la haría cambiar, quién lo detectará y cuándo. De la urgencia de las 3:00 al final de la vida; del lactante que no habla a la paciente a la que no se le cree.</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visita de sala,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 Y esa infraestructura incluye los turnos: un servicio que deja las decisiones mayores para la hora veinte de una guardia está decidiendo con un instrumento degradado (capítulo 8), y el diseño de los horarios es, por eso, una decisión epistémica antes que administrativa.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 Y la evaluación debe mirar lo mismo que la enseñanza. Premiar el diagnóstico correcto obtenido por un proceso frágil, y castigar el incorrecto con incertidumbre bien calibrada, enseña a ocultar dudas y a reconstruir narrativas retrospectivas. Pedir la confianza antes de conocer la respuesta, y el plan de revisión junto con el diagnóstico, corrige ese incentivo.</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la declara.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circuitos de feedback que conviertan experiencia en calibración. Es una apuesta con compromisos observables (véase el capítulo 15):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Visitas de sala y entregas de turno</w:t>
      </w:r>
    </w:p>
    <w:p>
      <w:pPr>
        <w:pStyle w:val="BodyJ"/>
      </w:pPr>
      <w:r>
        <w:t xml:space="preserve">Una visita de sala puede incorporar una pausa breve en casos seleccionados, y no hace falta inventarle preguntas: las cuatro de la versión de sesenta segundos (capítulo 15) bastan, y el Apéndice C dice con qué disparadores instalarlas, en cuántas semanas y qué medir. Lo que este capítulo aporta es el porqué: la pausa en voz alta es el único momento en que el equipo entero mira la misma representación del problema, y quien dirige la visita la enseña modelándola, no interrogando.</w:t>
      </w:r>
    </w:p>
    <w:p>
      <w:pPr>
        <w:pStyle w:val="BodyJ"/>
      </w:pPr>
      <w:r>
        <w:t xml:space="preserve">La entrega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6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TallerHead"/>
      </w:pPr>
      <w:r>
        <w:t xml:space="preserve">Taller 16. Rediseñar la visita de sala</w:t>
      </w:r>
    </w:p>
    <w:p>
      <w:pPr>
        <w:pStyle w:val="BodyJ"/>
      </w:pPr>
      <w:r>
        <w:t xml:space="preserve">Describa por escrito la visita de sala de su servicio tal como ocurre de verdad: minutos por paciente, quién habla, qué se pregunta siempre y qué no se pregunta nunca. Luego rediséñela con tres cambios como máximo —un disparador objetivo de pausa, una pregunta obligatoria por paciente inestable o incierto, una regla de entrega de turno— y estime el costo en minutos por visita.</w:t>
      </w:r>
    </w:p>
    <w:p>
      <w:pPr>
        <w:pStyle w:val="BodyJ"/>
      </w:pPr>
      <w:r>
        <w:rPr>
          <w:i/>
          <w:iCs/>
        </w:rPr>
        <w:t xml:space="preserve">Solución comentada.</w:t>
      </w:r>
      <w:r>
        <w:t xml:space="preserve"> A modo de ejemplo, una descripción honesta puede parecerse a esto: dos a cuatro minutos por paciente, habla quien presenta y decide quien dirige, se pregunta «¿cómo está?» y «¿qué le falta?», y casi nunca «¿qué nos haría cambiar?». El rediseño más barato es esa tercera pregunta, hecha sólo a los pacientes que cumplen un disparador (reconsulta, discordancia entre gravedad y diagnóstico, 72 horas sin discusión): cuesta alrededor de un minuto por caso seleccionado y produce, de inmediato, criterios de reapertura que antes no existían. Si el rediseño necesita más de tres cambios o más de diez minutos por visita, probablemente está diseñando una reunión nueva en lugar de mejorar la que existe — y las reuniones nuevas mueren por inasistencia.</w:t>
      </w:r>
    </w:p>
    <w:p>
      <w:pPr>
        <w:pStyle w:val="EnUnaFrase"/>
      </w:pPr>
      <w:r>
        <w:rPr>
          <w:b/>
          <w:bCs/>
        </w:rPr>
        <w:t xml:space="preserve">En una frase.</w:t>
      </w:r>
      <w:r>
        <w:t xml:space="preserve"> La metacognición clínica se enseña con representaciones y feedback, y se organiza con visitas de sala,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(visita de sala,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La inteligencia artificial en el proceso clínico: roles, riesgos y defensas</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Este capítulo hace tres preguntas, en orden: qué puede hacer realmente esta tecnología en el proceso diagnóstico y terapéutico; qué riesgos trae — no en abstracto, sino con la evidencia ya disponible—; y cómo enfrentarlos sin renunciar a la herramienta ni al juicio. Y sostiene una tesis transversal: casi ninguno de estos riesgos es nuevo. Cada uno es un sesgo que este libro ya describió, ahora con amplificador.</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El rol en el proceso diagnóstico</w:t>
      </w:r>
    </w:p>
    <w:p>
      <w:pPr>
        <w:pStyle w:val="BodyJ"/>
      </w:pPr>
      <w:r>
        <w:t xml:space="preserve">Los sistemas actuales hacen bien tareas delimitadas de reconocimiento: señalar pólipos durante una colonoscopía, priorizar radiografías con probable neumotórax, graduar una retinopatía diabética. En esas tareas el patrón está en la imagen y el estándar de referencia es relativamente estable. Los modelos de lenguaje agregaron otra capa: generan diferenciales, resumen historias y responden preguntas clínicas con un conocimiento médico codificado que, en exámenes y casos seleccionados, alcanza rendimiento alto (Singhal et al., 2023; Lee et al., 2023).</w:t>
      </w:r>
    </w:p>
    <w:p>
      <w:pPr>
        <w:pStyle w:val="BodyJ"/>
      </w:pPr>
      <w:r>
        <w:t xml:space="preserve">Pero el dato más instructivo sobre el rol diagnóstico real es otro: un ensayo aleatorizado entregó a internistas un modelo de lenguaje como apoyo para resolver casos clínicos. El grupo con el modelo no diagnosticó mejor que el grupo sin él — y el modelo solo, sin médico, superó a ambos (Goh et al., 2024). La lectura fácil («la máquina ya es mejor») pasa por alto la lección metacognitiva: el eslabón débil no fue el modelo ni el médico, sino la conversación entre ambos. Los clínicos usaron la herramienta como oráculo de confirmación — pegarle el caso y mirar si coincide con lo que ya pensaban — en vez de usarla para lo que mejor hace: ampliar el espacio de hipótesis, proponer el contraejemplo, señalar el dato que no encaja. La generación de alternativas es el momento creativo del diagnóstico; usada ahí, la IA es un multiplicador. Usada como confirmadora rápida, es un espejo del anclaje.</w:t>
      </w:r>
    </w:p>
    <w:p>
      <w:pPr>
        <w:pStyle w:val="Heading3"/>
        <w:spacing w:after="120" w:before="280"/>
      </w:pPr>
      <w:r>
        <w:rPr>
          <w:rFonts w:ascii="Georgia" w:cs="Georgia" w:eastAsia="Georgia" w:hAnsi="Georgia"/>
          <w:b/>
          <w:bCs/>
          <w:color w:val="2B2B2B"/>
          <w:sz w:val="25"/>
          <w:szCs w:val="25"/>
        </w:rPr>
        <w:t xml:space="preserve">El rol en el proceso terapéutico</w:t>
      </w:r>
    </w:p>
    <w:p>
      <w:pPr>
        <w:pStyle w:val="BodyJ"/>
      </w:pPr>
      <w:r>
        <w:t xml:space="preserve">En la terapéutica la IA llega antes y por caminos menos visibles: alertas de deterioro, predictores de sepsis, sugerencias de dosis, detección de interacciones, estratificaciones de riesgo que deciden quién entra a un programa de cuidados. Aquí la evidencia ya dejó una parábola completa. Un modelo propietario de predicción de sepsis, desplegado en cientos de hospitales, fue validado externamente recién después de su adopción masiva: discriminaba mal, calibraba peor y generaba una carga de alertas capaz de fatigar a cualquier equipo (Wong et al., 2021). La falla profunda no fue estadística sino epistemológica: el sistema se adoptó sin exigirle la evidencia local que este libro pide para cualquier afirmación — ¿funciona aquí, con estos pacientes, con esta prevalencia? Una herramienta no hereda la validez de su marca, y la validación externa no es un trámite, sino la diferencia entre una alerta y un ruido.</w:t>
      </w:r>
    </w:p>
    <w:p>
      <w:pPr>
        <w:pStyle w:val="BodyJ"/>
      </w:pPr>
      <w:r>
        <w:t xml:space="preserve">Hay un segundo límite terapéutico más silencioso. Una recomendación de intervención generada por IA opera sobre lo que está escrito, y el capítulo 10 mostró que lo menos escrito de la ficha es precisamente el contexto global — funcionalidad basal, pronóstico de fondo, red de apoyo, fines del paciente. Un sistema que no ve esos hechos no puede ponderarlos: recomendará la intervención «indicada» para la enfermedad documentada, que es el error de la indicación aislada. La IA no exime del cruce con la bioética; lo vuelve más urgente, porque automatiza la mitad técnica del razonamiento y deja la otra mitad — la que juzga si la intervención es proporcionada para este enfermo — enteramente del lado humano.</w:t>
      </w:r>
    </w:p>
    <w:p>
      <w:pPr>
        <w:pStyle w:val="Heading3"/>
        <w:spacing w:after="120" w:before="280"/>
      </w:pPr>
      <w:r>
        <w:rPr>
          <w:rFonts w:ascii="Georgia" w:cs="Georgia" w:eastAsia="Georgia" w:hAnsi="Georgia"/>
          <w:b/>
          <w:bCs/>
          <w:color w:val="2B2B2B"/>
          <w:sz w:val="25"/>
          <w:szCs w:val="25"/>
        </w:rPr>
        <w:t xml:space="preserve">El catálogo de riesgos</w:t>
      </w:r>
    </w:p>
    <w:p>
      <w:pPr>
        <w:pStyle w:val="BodyJ"/>
      </w:pPr>
      <w:r>
        <w:t xml:space="preserve">Los riesgos de la IA clínica ya no son especulación: tienen literatura propia, y las advertencias sobre las consecuencias no intencionadas del aprendizaje automático —automatizar los sesgos de los datos, erosionar habilidades por deferencia— preceden a los modelos generativos (Cabitza et al., 2017). Vale tenerlos en catálogo, con su parentesco epistémico a la vista:</w:t>
      </w:r>
    </w:p>
    <w:p>
      <w:pPr>
        <w:pStyle w:val="BodyJ"/>
        <w:numPr>
          <w:ilvl w:val="0"/>
          <w:numId w:val="6"/>
        </w:numPr>
      </w:pPr>
      <w:r>
        <w:rPr>
          <w:b/>
          <w:bCs/>
        </w:rPr>
        <w:t xml:space="preserve">Confabulación.</w:t>
      </w:r>
      <w:r>
        <w:t xml:space="preserve"> Contenido no sustentado presentado con coherencia (Ji et al., 2023). Es la certeza retórica industrializada: prosa donde los hechos, las inferencias y lo inventado llegan con la misma sintaxis.</w:t>
      </w:r>
    </w:p>
    <w:p>
      <w:pPr>
        <w:pStyle w:val="BodyJ"/>
        <w:numPr>
          <w:ilvl w:val="0"/>
          <w:numId w:val="6"/>
        </w:numPr>
      </w:pPr>
      <w:r>
        <w:rPr>
          <w:b/>
          <w:bCs/>
        </w:rPr>
        <w:t xml:space="preserve">Sesgo de automatización.</w:t>
      </w:r>
      <w:r>
        <w:t xml:space="preserve"> La tendencia a aceptar la salida de un sistema por venir de un sistema, documentada en los apoyos a la decisión clínica desde mucho antes de los modelos generativos: los sistemas corrigen errores humanos e introducen errores nuevos — el usuario que habría acertado solo y se equivoca por deferencia (Goddard et al., 2012). La versión de la era de los modelos de lenguaje ya tiene ensayo aleatorizado: médicos que habían completado veinte horas de alfabetización en IA, expuestos a recomendaciones de un modelo con errores deliberados, perdieron catorce puntos de exactitud diagnóstica frente a quienes recibieron recomendaciones correctas (Qazi et al., 2026). La alfabetización general no inmuniza; la vigilancia caso a caso no se delega en un curso. Es el anclaje más la autoridad no interrogada, con interfaz.</w:t>
      </w:r>
    </w:p>
    <w:p>
      <w:pPr>
        <w:pStyle w:val="BodyJ"/>
        <w:numPr>
          <w:ilvl w:val="0"/>
          <w:numId w:val="6"/>
        </w:numPr>
      </w:pPr>
      <w:r>
        <w:rPr>
          <w:b/>
          <w:bCs/>
        </w:rPr>
        <w:t xml:space="preserve">Atrofia de la pericia.</w:t>
      </w:r>
      <w:r>
        <w:t xml:space="preserve"> La evidencia más inquietante es reciente: endoscopistas expuestos durante meses a la detección asistida de pólipos detectaron significativamente menos adenomas al volver a trabajar sin asistencia — seis puntos absolutos menos que antes de la exposición (Budzyń et al., 2025). La pericia perceptual se mantiene con práctica; si la máquina practica por el clínico, la cuenta llega en la primera guardia sin máquina.</w:t>
      </w:r>
    </w:p>
    <w:p>
      <w:pPr>
        <w:pStyle w:val="BodyJ"/>
        <w:numPr>
          <w:ilvl w:val="0"/>
          <w:numId w:val="6"/>
        </w:numPr>
      </w:pPr>
      <w:r>
        <w:rPr>
          <w:b/>
          <w:bCs/>
        </w:rPr>
        <w:t xml:space="preserve">Sesgo algorítmico.</w:t>
      </w:r>
      <w:r>
        <w:t xml:space="preserve"> Un algoritmo aplicado a millones de pacientes en Estados Unidos asignaba menos cuidados a pacientes negros igual de enfermos, porque fue entrenado para predecir gasto sanitario como sustituto de necesidad — y en poblaciones históricamente subatendidas se gasta menos (Obermeyer et al., 2019). El error no estaba en la matemática sino en la elección del sustituto. Ningún dato de entrenamiento es neutro; alguien decidió qué medir.</w:t>
      </w:r>
    </w:p>
    <w:p>
      <w:pPr>
        <w:pStyle w:val="BodyJ"/>
        <w:numPr>
          <w:ilvl w:val="0"/>
          <w:numId w:val="6"/>
        </w:numPr>
      </w:pPr>
      <w:r>
        <w:rPr>
          <w:b/>
          <w:bCs/>
        </w:rPr>
        <w:t xml:space="preserve">Sobreconfianza no calibrada.</w:t>
      </w:r>
      <w:r>
        <w:t xml:space="preserve"> La confianza verbalizada de los modelos tiende a la sobreconfianza sistemática (Kadavath et al., 2022; Xiong et al., 2024): el «estoy bastante seguro» del modelo es tono, no calibración — la sobreconfianza humana, sin siquiera un historial propio de errores que la eduque. Y cuando el modelo «critica» o «revisa» su propia respuesta, esa autocrítica puede ser otra generación entrenada para imitar la evaluación: la pregunta práctica no es si el sistema sabe que sabe, sino si sus señales de confianza están empíricamente calibradas.</w:t>
      </w:r>
    </w:p>
    <w:p>
      <w:pPr>
        <w:pStyle w:val="BodyJ"/>
        <w:numPr>
          <w:ilvl w:val="0"/>
          <w:numId w:val="6"/>
        </w:numPr>
      </w:pPr>
      <w:r>
        <w:rPr>
          <w:b/>
          <w:bCs/>
        </w:rPr>
        <w:t xml:space="preserve">Degradación silenciosa.</w:t>
      </w:r>
      <w:r>
        <w:t xml:space="preserve"> Los modelos se despliegan sobre poblaciones que cambian: prevalencias, prácticas, codificaciones. El rendimiento decae sin anunciarse, porque el software no siente que está fallando. Sin monitoreo activo, la validación de ayer es la superstición de mañana.</w:t>
      </w:r>
    </w:p>
    <w:p>
      <w:pPr>
        <w:pStyle w:val="BodyJ"/>
      </w:pPr>
      <w:r>
        <w:t xml:space="preserve">La columna vertebral del catálogo es una sola observación: la IA no introdujo errores nuevos en la medicina. Automatizó los que ya teníamos y les quitó los frenos naturales — la lentitud, la duda, el cansancio que a veces obligaba a pedir ayuda. La Figura 15 pone cada riesgo junto al sesgo que amplifica.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619750" cy="4267200"/>
                          </a:xfrm>
                          <a:prstGeom prst="rect">
                            <a:avLst/>
                          </a:prstGeom>
                        </pic:spPr>
                      </pic:pic>
                    </a:graphicData>
                  </a:graphic>
                </wp:inline>
              </w:drawing>
            </w:r>
          </w:p>
          <w:p>
            <w:pPr>
              <w:pStyle w:val="Caption"/>
            </w:pPr>
            <w:r>
              <w:t xml:space="preserve">Figura 15. Parentescos: cada riesgo de la IA clínica junto al sesgo que este libro ya había descrito y el capítulo donde vive. Ningún riesgo es nuevo; la novedad es el amplificador.</w:t>
            </w:r>
          </w:p>
        </w:tc>
      </w:tr>
    </w:tbl>
    <w:p>
      <w:pPr>
        <w:spacing w:after="60"/>
      </w:pPr>
    </w:p>
    <w:p>
      <w:pPr>
        <w:pStyle w:val="Heading3"/>
        <w:spacing w:after="120" w:before="280"/>
      </w:pPr>
      <w:r>
        <w:rPr>
          <w:rFonts w:ascii="Georgia" w:cs="Georgia" w:eastAsia="Georgia" w:hAnsi="Georgia"/>
          <w:b/>
          <w:bCs/>
          <w:color w:val="2B2B2B"/>
          <w:sz w:val="25"/>
          <w:szCs w:val="25"/>
        </w:rPr>
        <w:t xml:space="preserve">El riesgo de fondo: la formación del razonador</w:t>
      </w:r>
    </w:p>
    <w:p>
      <w:pPr>
        <w:pStyle w:val="BodyJ"/>
      </w:pPr>
      <w:r>
        <w:t xml:space="preserve">Hay un riesgo más lento que todos los del catálogo, y puede importar más: el efecto de la IA sobre quien todavía está aprendiendo a razonar. La educación médica ya le puso nombres a la tríada (Abdulnour et al., 2025). </w:t>
      </w:r>
      <w:r>
        <w:rPr>
          <w:i/>
          <w:iCs/>
        </w:rPr>
        <w:t xml:space="preserve">Deskilling</w:t>
      </w:r>
      <w:r>
        <w:t xml:space="preserve">: sé razonar, delego repetidamente, dejo de ejercitar, la capacidad se deteriora. </w:t>
      </w:r>
      <w:r>
        <w:rPr>
          <w:i/>
          <w:iCs/>
        </w:rPr>
        <w:t xml:space="preserve">Never-skilling</w:t>
      </w:r>
      <w:r>
        <w:t xml:space="preserve">: la IA estuvo disponible desde el inicio de la formación, la operación cognitiva nunca se ejecutó las veces necesarias, la competencia nunca se consolidó. </w:t>
      </w:r>
      <w:r>
        <w:rPr>
          <w:i/>
          <w:iCs/>
        </w:rPr>
        <w:t xml:space="preserve">Mis-skilling</w:t>
      </w:r>
      <w:r>
        <w:t xml:space="preserve">: se aprendió, pero patrones incorrectos, imitando salidas que nadie auditaba. El segundo es el más grave porque es invisible: la habilidad perdida deja un recuerdo y una alarma; la que nunca se construyó no deja nada que echar de menos.</w:t>
      </w:r>
    </w:p>
    <w:p>
      <w:pPr>
        <w:pStyle w:val="BodyJ"/>
      </w:pPr>
      <w:r>
        <w:t xml:space="preserve">El mecanismo es preciso. Escribir la nota clínica no es registrar un pensamiento terminado: seleccionar qué dato importa, jerarquizarlo y estructurarlo es parte del proceso mismo de pensar — la ficha como instrumento de pensamiento. Por eso la automatización completa de la escritura clínica no ahorra sólo tiempo: puede eliminar la instancia en la que el clínico construye su razonamiento, degradando el registro y al registrador a la vez (McCoy et al., 2024). La ecuación hay que escribirla entera: ahorro de trabajo cognitivo inmediato, a cambio de las operaciones mediante las cuales se construye la competencia.</w:t>
      </w:r>
    </w:p>
    <w:p>
      <w:pPr>
        <w:pStyle w:val="BodyJ"/>
      </w:pPr>
      <w:r>
        <w:t xml:space="preserve">Hay un tercer fenómeno que ni siquiera exige que la IA se equivoque: la captura cognitiva. Quien ve primero la respuesta del modelo ya no genera hipótesis desde el caso: su búsqueda de alternativas, su lectura de los datos y su ponderación posterior quedan condicionadas por lo que ya leyó. Es el anclaje de siempre, con la diferencia de que aquí el ancla puede llegar antes que el paciente. Una IA excelente que entrega demasiado pronto la hipótesis, la síntesis o la inferencia que el aprendiz debía producir no daña la respuesta de hoy; daña la arquitectura del aprendizaje. Porque el valor cognitivo de un caso no está sólo en llegar a la conclusión correcta: está en ejecutar las operaciones que permiten llegar a ella, revisarla y, cuando corresponde, abandonarla. Una herramienta que aumenta el porcentaje de respuestas correctas puede, paradójicamente, mejorar el desempeño de hoy mientras empeora al razonador de mañana.</w:t>
      </w:r>
    </w:p>
    <w:p>
      <w:pPr>
        <w:pStyle w:val="BodyJ"/>
      </w:pPr>
      <w:r>
        <w:t xml:space="preserve">La aviación conoce esta trampa con nombre propio: la paradoja de la automatización — cuanto más competente es el sistema, menos ejercita el humano las habilidades necesarias para detectar cuándo falla, que es exactamente cuando más se lo necesita (Abdulnour et al., 2026). La respuesta pedagógica propuesta frente a ella coincide, casi palabra por palabra, con la disciplina de este libro: razonar primero de forma independiente, consultar después, y usar la IA para desafiar, ampliar o refinar ese razonamiento — nunca para reemplazar su ejecución.</w:t>
      </w:r>
    </w:p>
    <w:p>
      <w:pPr>
        <w:pStyle w:val="Heading3"/>
        <w:spacing w:after="120" w:before="280"/>
      </w:pPr>
      <w:r>
        <w:rPr>
          <w:rFonts w:ascii="Georgia" w:cs="Georgia" w:eastAsia="Georgia" w:hAnsi="Georgia"/>
          <w:b/>
          <w:bCs/>
          <w:color w:val="2B2B2B"/>
          <w:sz w:val="25"/>
          <w:szCs w:val="25"/>
        </w:rPr>
        <w:t xml:space="preserve">Del copiado humano al fósil algorítmico: los escribas ambientales</w:t>
      </w:r>
    </w:p>
    <w:p>
      <w:pPr>
        <w:pStyle w:val="BodyJ"/>
      </w:pPr>
      <w:r>
        <w:t xml:space="preserve">Hay una aplicación que ya está en las consultas y que toca el nervio de este libro: los escribas ambientales. Un micrófono escucha la conversación y un modelo redacta la nota. La adopción fue rápida: en un sistema integrado de Estados Unidos, cerca de 3.400 médicos usaron la herramienta en unas 300.000 consultas durante las diez semanas posteriores a su despliegue, con menos tiempo de documentación y mayor satisfacción (Tierney et al., 2024). El atractivo es real: devuelve al médico la mirada que la pantalla le robaba. Pero una conversación clínica no viene con capas. El médico dice «esto parece una neumonía, pero no me cierra la saturación», y la nota generada a partir de esa frase puede decir «neumonía». La duda dicha en voz alta se vuelve afirmación impresa; la modalidad epistémica —el «parece», el «no me cierra»— es lo que un resumen tiende a aplanar. Los primeros estudios con encuentros simulados sugieren que el problema no es sólo teórico. Al poner a prueba dos productos comerciales sobre once consultas guionadas, 31 de las 44 notas generadas contenían al menos un error, con una media de casi tres por nota. El tipo dominante fue la omisión, lo dicho en la consulta y ausente en la nota: 83% de los errores de un producto y 54% de los del otro, seguida de contenido agregado o incorrecto (Biro et al., 2025).</w:t>
      </w:r>
    </w:p>
    <w:p>
      <w:pPr>
        <w:pStyle w:val="BodyJ"/>
      </w:pPr>
      <w:r>
        <w:t xml:space="preserve">De ahí una regla de diseño que este libro puede proponer con su propio vocabulario. Un escriba ambiental puede automatizar la capa H —qué se dijo, qué se midió, con hora y fuente— y hacerlo mejor que un humano cansado. No debería autocompletar la capa D ni la frase medular: la decisión, el criterio de reapertura y el grado de la inferencia tienen que salir de la mano del clínico, porque escribirlos es la instancia en que se piensan (McCoy et al., 2024). Donde la herramienta llene las cuatro capas, el never-skilling del apartado anterior tiene su vía de entrada más cómoda: notas impecables firmadas por médicos que ya no las construyen. La prueba de un buen escriba no es que la nota se lea bien; es que conserve el «no me cierra».</w:t>
      </w:r>
    </w:p>
    <w:p>
      <w:pPr>
        <w:pStyle w:val="Heading3"/>
        <w:spacing w:after="120" w:before="280"/>
      </w:pPr>
      <w:r>
        <w:rPr>
          <w:rFonts w:ascii="Georgia" w:cs="Georgia" w:eastAsia="Georgia" w:hAnsi="Georgia"/>
          <w:b/>
          <w:bCs/>
          <w:color w:val="2B2B2B"/>
          <w:sz w:val="25"/>
          <w:szCs w:val="25"/>
        </w:rPr>
        <w:t xml:space="preserve">Cómo enfrentarlos: las defensas del clínico</w:t>
      </w:r>
    </w:p>
    <w:p>
      <w:pPr>
        <w:pStyle w:val="BodyJ"/>
      </w:pPr>
      <w:r>
        <w:t xml:space="preserve">La primera defensa ya está en este libro. El clínico responsable puede distinguir «lo vi», «lo infiero» y «no lo sé»; un modelo suele mezclar esas capas si nadie le exige separación, y puede transformar ausencia de información en un detalle probable, porque su objetivo generativo favorece la continuidad. La matriz HII-D funciona entonces como protocolo de auditoría de cualquier salida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De esa auditoría se desprenden reglas de uso que caben en una tarjeta:</w:t>
      </w:r>
    </w:p>
    <w:p>
      <w:pPr>
        <w:pStyle w:val="BodyJ"/>
        <w:numPr>
          <w:ilvl w:val="0"/>
          <w:numId w:val="25"/>
        </w:numPr>
      </w:pPr>
      <w:r>
        <w:rPr>
          <w:b/>
          <w:bCs/>
        </w:rPr>
        <w:t xml:space="preserve">Razonar antes de consultar.</w:t>
      </w:r>
      <w:r>
        <w:t xml:space="preserve"> Formular la propia hipótesis y el propio plan antes de abrir el asistente: la respuesta vista primero captura la búsqueda posterior. La IA se usa contra un borrador propio, no en su lugar.</w:t>
      </w:r>
    </w:p>
    <w:p>
      <w:pPr>
        <w:pStyle w:val="BodyJ"/>
        <w:numPr>
          <w:ilvl w:val="0"/>
          <w:numId w:val="25"/>
        </w:numPr>
      </w:pPr>
      <w:r>
        <w:rPr>
          <w:b/>
          <w:bCs/>
        </w:rPr>
        <w:t xml:space="preserve">Verificar la afirmación decisiva contra una fuente primaria antes de actuar.</w:t>
      </w:r>
      <w:r>
        <w:t xml:space="preserve"> No todas: la decisiva — la que, de ser falsa, cambia la conducta.</w:t>
      </w:r>
    </w:p>
    <w:p>
      <w:pPr>
        <w:pStyle w:val="BodyJ"/>
        <w:numPr>
          <w:ilvl w:val="0"/>
          <w:numId w:val="25"/>
        </w:numPr>
      </w:pPr>
      <w:r>
        <w:rPr>
          <w:b/>
          <w:bCs/>
        </w:rPr>
        <w:t xml:space="preserve">Usar la herramienta para abrir, no para cerrar.</w:t>
      </w:r>
      <w:r>
        <w:t xml:space="preserve"> Pedir alternativas, contraejemplos y «qué no encaja con este diagnóstico» aprovecha lo que el ensayo de Goh mostró que los médicos desaprovechan; pedirle confirmación de la hipótesis propia industrializa el anclaje.</w:t>
      </w:r>
    </w:p>
    <w:p>
      <w:pPr>
        <w:pStyle w:val="BodyJ"/>
        <w:numPr>
          <w:ilvl w:val="0"/>
          <w:numId w:val="25"/>
        </w:numPr>
      </w:pPr>
      <w:r>
        <w:rPr>
          <w:b/>
          <w:bCs/>
        </w:rPr>
        <w:t xml:space="preserve">Tratar su confianza como tono, no como evidencia.</w:t>
      </w:r>
      <w:r>
        <w:t xml:space="preserve"> La seguridad de la prosa no informa la probabilidad de corrección — igual que la seguridad de un colega no sustituye sus razones.</w:t>
      </w:r>
    </w:p>
    <w:p>
      <w:pPr>
        <w:pStyle w:val="BodyJ"/>
        <w:numPr>
          <w:ilvl w:val="0"/>
          <w:numId w:val="25"/>
        </w:numPr>
      </w:pPr>
      <w:r>
        <w:rPr>
          <w:b/>
          <w:bCs/>
        </w:rPr>
        <w:t xml:space="preserve">Nunca pegar y firmar.</w:t>
      </w:r>
      <w:r>
        <w:t xml:space="preserve"> Lo que entra a la ficha bajo la firma propia es afirmación propia: una confabulación copiada se convierte en hecho heredado para el siguiente lector, y la síntesis delegada es, además, pensamiento que no ocurrió (McCoy et al., 2024).</w:t>
      </w:r>
    </w:p>
    <w:p>
      <w:pPr>
        <w:pStyle w:val="BodyJ"/>
        <w:numPr>
          <w:ilvl w:val="0"/>
          <w:numId w:val="25"/>
        </w:numPr>
      </w:pPr>
      <w:r>
        <w:rPr>
          <w:b/>
          <w:bCs/>
        </w:rPr>
        <w:t xml:space="preserve">Conservar práctica sin asistencia.</w:t>
      </w:r>
      <w:r>
        <w:t xml:space="preserve"> La lección de los endoscopistas: alternar deliberadamente el trabajo con y sin la herramienta, como se conserva cualquier destreza que puede necesitarse a las tres de la mañana, con el sistema caído.</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Cómo enfrentarlos: las defensas de la institución</w:t>
      </w:r>
    </w:p>
    <w:p>
      <w:pPr>
        <w:pStyle w:val="BodyJ"/>
      </w:pPr>
      <w:r>
        <w:t xml:space="preserve">Las defensas individuales no bastan, porque varios riesgos del catálogo operan a escala de sistema. Una institución que despliega IA clínica contrae obligaciones epistémicas precisas:</w:t>
      </w:r>
    </w:p>
    <w:p>
      <w:pPr>
        <w:pStyle w:val="BodyJ"/>
        <w:numPr>
          <w:ilvl w:val="0"/>
          <w:numId w:val="6"/>
        </w:numPr>
      </w:pPr>
      <w:r>
        <w:rPr>
          <w:b/>
          <w:bCs/>
        </w:rPr>
        <w:t xml:space="preserve">Validación local antes de usar.</w:t>
      </w:r>
      <w:r>
        <w:t xml:space="preserve"> El desempeño publicado —o prometido— no es el desempeño aquí; la parábola del predictor de sepsis existe porque nadie hizo esta pregunta a tiempo (Wong et al., 2021).</w:t>
      </w:r>
    </w:p>
    <w:p>
      <w:pPr>
        <w:pStyle w:val="BodyJ"/>
        <w:numPr>
          <w:ilvl w:val="0"/>
          <w:numId w:val="6"/>
        </w:numPr>
      </w:pPr>
      <w:r>
        <w:rPr>
          <w:b/>
          <w:bCs/>
        </w:rPr>
        <w:t xml:space="preserve">Monitoreo continuo con umbrales de retirada.</w:t>
      </w:r>
      <w:r>
        <w:t xml:space="preserve"> Definir antes del despliegue qué degradación obliga a recalibrar o apagar: la falsabilidad del capítulo 15, aplicada al software.</w:t>
      </w:r>
    </w:p>
    <w:p>
      <w:pPr>
        <w:pStyle w:val="BodyJ"/>
        <w:numPr>
          <w:ilvl w:val="0"/>
          <w:numId w:val="6"/>
        </w:numPr>
      </w:pPr>
      <w:r>
        <w:rPr>
          <w:b/>
          <w:bCs/>
        </w:rPr>
        <w:t xml:space="preserve">Auditoría de equidad.</w:t>
      </w:r>
      <w:r>
        <w:t xml:space="preserve"> Desagregar el rendimiento por subgrupos y examinar los sustitutos con la pregunta de Obermeyer: ¿qué mide realmente esta variable, y para quién?</w:t>
      </w:r>
    </w:p>
    <w:p>
      <w:pPr>
        <w:pStyle w:val="BodyJ"/>
        <w:numPr>
          <w:ilvl w:val="0"/>
          <w:numId w:val="6"/>
        </w:numPr>
      </w:pPr>
      <w:r>
        <w:rPr>
          <w:b/>
          <w:bCs/>
        </w:rPr>
        <w:t xml:space="preserve">Presupuesto de alertas.</w:t>
      </w:r>
      <w:r>
        <w:t xml:space="preserve"> Cada alarma nueva compite por la misma atención finita; una alerta de bajo valor predictivo no es inocua — es ruido que entrena a ignorar, y el equipo que aprendió a ignorar no distingue qué está ignorando.</w:t>
      </w:r>
    </w:p>
    <w:p>
      <w:pPr>
        <w:pStyle w:val="BodyJ"/>
        <w:numPr>
          <w:ilvl w:val="0"/>
          <w:numId w:val="6"/>
        </w:numPr>
      </w:pPr>
      <w:r>
        <w:rPr>
          <w:b/>
          <w:bCs/>
        </w:rPr>
        <w:t xml:space="preserve">Formación que supervise el uso, no sólo la respuesta.</w:t>
      </w:r>
      <w:r>
        <w:t xml:space="preserve"> En docencia, observar cómo el aprendiz usa cognitivamente la herramienta — cuándo consulta, qué acepta, qué verifica, qué habría respondido antes de mirar — y proteger espacios deliberados de práctica sin asistencia (Abdulnour et al., 2025): la competencia que nunca se construyó no se puede «recuperar».</w:t>
      </w:r>
    </w:p>
    <w:p>
      <w:pPr>
        <w:pStyle w:val="BodyJ"/>
        <w:numPr>
          <w:ilvl w:val="0"/>
          <w:numId w:val="6"/>
        </w:numPr>
      </w:pPr>
      <w:r>
        <w:rPr>
          <w:b/>
          <w:bCs/>
        </w:rPr>
        <w:t xml:space="preserve">Responsabilidad trazable.</w:t>
      </w:r>
      <w:r>
        <w:t xml:space="preserve"> Cada recomendación automatizada necesita un dueño humano identificable, con tiempo, datos y autoridad para contradecirla. La OMS ha recomendado gobernanza, evaluación, transparencia y supervisión humana para estos sistemas, atendiendo riesgos de inexactitud, sesgo, privacidad y dependencia excesiva (World Health Organization, 2024); esa supervisión no puede ser una firma ritual al final del flujo.</w:t>
      </w:r>
    </w:p>
    <w:p>
      <w:pPr>
        <w:pStyle w:val="Quote1"/>
      </w:pPr>
      <w:r>
        <w:t xml:space="preserve">La IA puede ampliar el espacio de hipótesis; no puede asumir por sí sola la responsabilidad de transformar una hipótesis en conducta clínica.</w:t>
      </w:r>
    </w:p>
    <w:p>
      <w:pPr>
        <w:pStyle w:val="TallerHead"/>
      </w:pPr>
      <w:r>
        <w:t xml:space="preserve">Taller 17. La autopsia de una respuesta</w:t>
      </w:r>
    </w:p>
    <w:p>
      <w:pPr>
        <w:pStyle w:val="BodyJ"/>
      </w:pPr>
      <w:r>
        <w:t xml:space="preserve">Tome un caso real ya resuelto de su servicio —debidamente anonimizado— y péguelo en un asistente de lenguaje pidiendo evaluación y plan. Imprima la respuesta y márquela con tres colores: (1) afirmaciones sustentadas en datos que el caso contenía; (2) contenido que el modelo agregó — detalles «típicos», causalidades, datos que nadie le dio; (3) incertidumbre declarada. Después, haga una segunda pregunta al modelo: «¿qué evidencia haría improbable tu diagnóstico principal?».</w:t>
      </w:r>
    </w:p>
    <w:p>
      <w:pPr>
        <w:pStyle w:val="BodyJ"/>
      </w:pPr>
      <w:r>
        <w:rPr>
          <w:i/>
          <w:iCs/>
        </w:rPr>
        <w:t xml:space="preserve">Solución comentada.</w:t>
      </w:r>
      <w:r>
        <w:t xml:space="preserve"> En ejercicios docentes, tres hallazgos vuelven una y otra vez. Primero, el color 2 aparece más de lo esperado: el modelo rellena huecos con verosimilitud — una evolución «esperable», un factor de riesgo «presumible» — y esa es exactamente la definición de confabulación; contarlas cura más que leer sobre ellas. Segundo, el color 3 suele ser genérico («se sugiere correlacionar con la clínica») y no específico del caso: incertidumbre de fórmula, no de contenido — compárela con la que exige el léxico de certeza. Tercero, la respuesta a la segunda pregunta suele ser mejor que la primera: el modelo enumera con soltura los datos que refutarían su propia propuesta — pero sólo si alguien se lo pide. La herramienta contiene su propio antídoto; la pregunta que lo libera sigue siendo humana.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6"/>
        </w:numPr>
      </w:pPr>
      <w:r>
        <w:t xml:space="preserve">Si uso IA en este caso, ¿qué dato de su respuesta verifiqué contra una fuente primaria antes de actuar?</w:t>
      </w:r>
    </w:p>
    <w:p>
      <w:pPr>
        <w:pStyle w:val="BodyJ"/>
        <w:numPr>
          <w:ilvl w:val="0"/>
          <w:numId w:val="26"/>
        </w:numPr>
      </w:pPr>
      <w:r>
        <w:t xml:space="preserve">¿Qué agregó el modelo que el caso no contenía?</w:t>
      </w:r>
    </w:p>
    <w:p>
      <w:pPr>
        <w:pStyle w:val="BodyJ"/>
        <w:numPr>
          <w:ilvl w:val="0"/>
          <w:numId w:val="26"/>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estado que este libro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8, también. El mecanismo ya es conocido: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 certeza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la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la prosa fluida de los modelos de lenguaje: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vuelta percepción. Pero es una belleza que sólo puede declararse retrospectivamente, y sólo si el proceso era defendible antes de conocer el desenlace.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sino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clínicas.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9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7"/>
        </w:numPr>
      </w:pPr>
      <w:r>
        <w:t xml:space="preserve">¿Qué palabra de mi última nota está «haciendo florecer» algo que nadie observó?</w:t>
      </w:r>
    </w:p>
    <w:p>
      <w:pPr>
        <w:pStyle w:val="BodyJ"/>
        <w:numPr>
          <w:ilvl w:val="0"/>
          <w:numId w:val="27"/>
        </w:numPr>
      </w:pPr>
      <w:r>
        <w:t xml:space="preserve">El diagnóstico que más me satisface hoy: ¿me convence por la evidencia o por lo bien que cierra la historia?</w:t>
      </w:r>
    </w:p>
    <w:p>
      <w:pPr>
        <w:pStyle w:val="BodyJ"/>
        <w:numPr>
          <w:ilvl w:val="0"/>
          <w:numId w:val="27"/>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sino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sino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El mapa del comienzo (Figura 1) tendió tres hilos —las capas, el arco que va de la abducción a la humildad y el lenguaje que las conserva—; tres nudos de ese tejido quedan a la vista. El primero va de la abducción a la humildad. La conjetura que crea explicaciones, la vigilancia que la acompaña mientras trabaja y la disposición que la mantiene abierta cuando ya produjo una respuesta cómoda son tres momentos de una misma lealtad al caso; la prudencia práctica —la phronesis— es su nombre antiguo. El segundo va del dato al contexto: la funcionalidad, el pronóstico de fondo y la red de apoyo son hechos clínicos, y una decisión que los omitió no es más objetiva sino más incompleta. El tercero va de la ficha al razonador: escribir la nota es parte de pensar. Por eso la inteligencia artificial, que produce la prosa fluida contra la que este libro entrena —hechos, inferencias e invenciones con la misma sintaxis—, no cambia la disciplina: la vuelve urgente, sobre todo para quien todavía está formando el juicio que la herramienta ofrece reemplazar. Ante una respuesta automática como ante la propia narrativa, la pregunta es la misma: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la propia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 Y pensar bien —con la evidencia que hay, en el estado en que uno está, con los instrumentos que suplen lo que falta— no es un lujo de la medicina: es la primera de sus obligaciones, de la que parte todo lo demás.</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 El Apéndice C los convierte en un plan de tres meses para un servicio: el lenguaje primero, la pausa en la visita después, la ficha y el circuito de aprendizaje al final.</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sino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numPr>
          <w:ilvl w:val="0"/>
          <w:numId w:val="6"/>
        </w:numPr>
      </w:pPr>
      <w:r>
        <w:t xml:space="preserve">Estado del razonador cuando pueda pesar: hora, horas de turno, sueño, ánimo, preocupación ajena al caso.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8"/>
        </w:numPr>
      </w:pPr>
      <w:r>
        <w:t xml:space="preserve">¿Qué vi y qué me contaron? (un hecho decisivo, con fuente)</w:t>
      </w:r>
    </w:p>
    <w:p>
      <w:pPr>
        <w:pStyle w:val="BodyJ"/>
        <w:numPr>
          <w:ilvl w:val="0"/>
          <w:numId w:val="28"/>
        </w:numPr>
      </w:pPr>
      <w:r>
        <w:t xml:space="preserve">¿Qué creo y cuánto derecho tengo a creerlo? (inferencia con grado)</w:t>
      </w:r>
    </w:p>
    <w:p>
      <w:pPr>
        <w:pStyle w:val="BodyJ"/>
        <w:numPr>
          <w:ilvl w:val="0"/>
          <w:numId w:val="28"/>
        </w:numPr>
      </w:pPr>
      <w:r>
        <w:t xml:space="preserve">¿Qué daño importante podría producir si estoy equivocado? (la incertidumbre peligrosa)</w:t>
      </w:r>
    </w:p>
    <w:p>
      <w:pPr>
        <w:pStyle w:val="BodyJ"/>
        <w:numPr>
          <w:ilvl w:val="0"/>
          <w:numId w:val="28"/>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«ITU asociada a catéter urinario permanente (CUP)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9"/>
        </w:numPr>
      </w:pPr>
      <w:r>
        <w:t xml:space="preserve">¿Puedo describir el caso sin usar el diagnóstico actual?</w:t>
      </w:r>
    </w:p>
    <w:p>
      <w:pPr>
        <w:pStyle w:val="BodyJ"/>
        <w:numPr>
          <w:ilvl w:val="0"/>
          <w:numId w:val="29"/>
        </w:numPr>
      </w:pPr>
      <w:r>
        <w:t xml:space="preserve">¿Qué dato sostiene más mi conclusión?</w:t>
      </w:r>
    </w:p>
    <w:p>
      <w:pPr>
        <w:pStyle w:val="BodyJ"/>
        <w:numPr>
          <w:ilvl w:val="0"/>
          <w:numId w:val="29"/>
        </w:numPr>
      </w:pPr>
      <w:r>
        <w:t xml:space="preserve">¿Ese dato es específico o sólo compatible?</w:t>
      </w:r>
    </w:p>
    <w:p>
      <w:pPr>
        <w:pStyle w:val="BodyJ"/>
        <w:numPr>
          <w:ilvl w:val="0"/>
          <w:numId w:val="29"/>
        </w:numPr>
      </w:pPr>
      <w:r>
        <w:t xml:space="preserve">¿Qué hallazgo no encaja?</w:t>
      </w:r>
    </w:p>
    <w:p>
      <w:pPr>
        <w:pStyle w:val="BodyJ"/>
        <w:numPr>
          <w:ilvl w:val="0"/>
          <w:numId w:val="29"/>
        </w:numPr>
      </w:pPr>
      <w:r>
        <w:t xml:space="preserve">¿Qué información estoy suponiendo que fue verificada?</w:t>
      </w:r>
    </w:p>
    <w:p>
      <w:pPr>
        <w:pStyle w:val="BodyJ"/>
        <w:numPr>
          <w:ilvl w:val="0"/>
          <w:numId w:val="29"/>
        </w:numPr>
      </w:pPr>
      <w:r>
        <w:t xml:space="preserve">¿Qué alternativa cambiaría la conducta inmediata?</w:t>
      </w:r>
    </w:p>
    <w:p>
      <w:pPr>
        <w:pStyle w:val="BodyJ"/>
        <w:numPr>
          <w:ilvl w:val="0"/>
          <w:numId w:val="29"/>
        </w:numPr>
      </w:pPr>
      <w:r>
        <w:t xml:space="preserve">¿Estoy usando la respuesta al tratamiento como prueba causal demasiado fuerte?</w:t>
      </w:r>
    </w:p>
    <w:p>
      <w:pPr>
        <w:pStyle w:val="BodyJ"/>
        <w:numPr>
          <w:ilvl w:val="0"/>
          <w:numId w:val="29"/>
        </w:numPr>
      </w:pPr>
      <w:r>
        <w:t xml:space="preserve">¿La gravedad es coherente con mi explicación?</w:t>
      </w:r>
    </w:p>
    <w:p>
      <w:pPr>
        <w:pStyle w:val="BodyJ"/>
        <w:numPr>
          <w:ilvl w:val="0"/>
          <w:numId w:val="29"/>
        </w:numPr>
      </w:pPr>
      <w:r>
        <w:t xml:space="preserve">¿Existe reconsulta, recurrencia o evolución inesperada?</w:t>
      </w:r>
    </w:p>
    <w:p>
      <w:pPr>
        <w:pStyle w:val="BodyJ"/>
        <w:numPr>
          <w:ilvl w:val="0"/>
          <w:numId w:val="29"/>
        </w:numPr>
      </w:pPr>
      <w:r>
        <w:t xml:space="preserve">¿Mi confianza proviene de evidencia o de familiaridad y fluidez?</w:t>
      </w:r>
    </w:p>
    <w:p>
      <w:pPr>
        <w:pStyle w:val="BodyJ"/>
        <w:numPr>
          <w:ilvl w:val="0"/>
          <w:numId w:val="29"/>
        </w:numPr>
      </w:pPr>
      <w:r>
        <w:t xml:space="preserve">¿Cuál es el costo de esperar y cuál el costo de actuar?</w:t>
      </w:r>
    </w:p>
    <w:p>
      <w:pPr>
        <w:pStyle w:val="BodyJ"/>
        <w:numPr>
          <w:ilvl w:val="0"/>
          <w:numId w:val="29"/>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visita de sala—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visita de sala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Quien dirige la visita modela; no interroga.</w:t>
      </w:r>
    </w:p>
    <w:p>
      <w:pPr>
        <w:pStyle w:val="BodyJ"/>
        <w:numPr>
          <w:ilvl w:val="0"/>
          <w:numId w:val="6"/>
        </w:numPr>
      </w:pPr>
      <w:r>
        <w:t xml:space="preserve">Entrega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6: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3"/>
        <w:spacing w:after="120" w:before="280"/>
      </w:pPr>
      <w:r>
        <w:rPr>
          <w:rFonts w:ascii="Georgia" w:cs="Georgia" w:eastAsia="Georgia" w:hAnsi="Georgia"/>
          <w:b/>
          <w:bCs/>
          <w:color w:val="2B2B2B"/>
          <w:sz w:val="25"/>
          <w:szCs w:val="25"/>
        </w:rPr>
        <w:t xml:space="preserve">Hoja de ruta para el docente</w:t>
      </w:r>
    </w:p>
    <w:p>
      <w:pPr>
        <w:pStyle w:val="BodyJ"/>
      </w:pPr>
      <w:r>
        <w:t xml:space="preserve">Qué talleres usar con quién, en el orden en que rinden más. Cada uno cabe en una reunión de treinta minutos.</w:t>
      </w:r>
    </w:p>
    <w:p>
      <w:pPr>
        <w:pStyle w:val="BodyJ"/>
        <w:numPr>
          <w:ilvl w:val="0"/>
          <w:numId w:val="6"/>
        </w:numPr>
      </w:pPr>
      <w:r>
        <w:rPr>
          <w:b/>
          <w:bCs/>
        </w:rPr>
        <w:t xml:space="preserve">Interno y residente de primer año</w:t>
      </w:r>
      <w:r>
        <w:t xml:space="preserve">: Taller 1 (qué tan hecho es este hecho), Taller 2 (la sentencia del TAC), Taller 4 (cinco frases para reescribir), Taller 10 (frecuencias naturales), Taller 11 (la observación activa, por escrito) y Taller 12B (conjugue los verbos). Enseñan el léxico y las capas antes que el juicio.</w:t>
      </w:r>
    </w:p>
    <w:p>
      <w:pPr>
        <w:pStyle w:val="BodyJ"/>
        <w:numPr>
          <w:ilvl w:val="0"/>
          <w:numId w:val="6"/>
        </w:numPr>
      </w:pPr>
      <w:r>
        <w:rPr>
          <w:b/>
          <w:bCs/>
        </w:rPr>
        <w:t xml:space="preserve">Residente de segundo año en adelante</w:t>
      </w:r>
      <w:r>
        <w:t xml:space="preserve">: Taller 3 (el mapa de lo que no sabemos), Taller 5 (calibración personal, sostenido tres meses), Taller 7 (reconstruir una trayectoria), Taller 8 (presentar sin la etiqueta), Taller 12 (desfosilizar una evolución), Taller 13 (traducir un desacuerdo) y Taller 15 (su paciente, esta semana). Trabajan sobre el propio razonamiento y sobre pacientes reales.</w:t>
      </w:r>
    </w:p>
    <w:p>
      <w:pPr>
        <w:pStyle w:val="BodyJ"/>
        <w:numPr>
          <w:ilvl w:val="0"/>
          <w:numId w:val="6"/>
        </w:numPr>
      </w:pPr>
      <w:r>
        <w:rPr>
          <w:b/>
          <w:bCs/>
        </w:rPr>
        <w:t xml:space="preserve">Jefe de servicio, docente y comité</w:t>
      </w:r>
      <w:r>
        <w:t xml:space="preserve">: Taller 10B (las cuatro casillas), Taller 16 (rediseñar la visita de sala), Taller 17 (la autopsia de una respuesta de IA) y la reunión de morbimortalidad en el formato de la viñeta 6. Cambian el sistema, no sólo al que razona.</w:t>
      </w:r>
    </w:p>
    <w:p>
      <w:pPr>
        <w:pStyle w:val="BodyJ"/>
        <w:numPr>
          <w:ilvl w:val="0"/>
          <w:numId w:val="6"/>
        </w:numPr>
      </w:pPr>
      <w:r>
        <w:rPr>
          <w:b/>
          <w:bCs/>
        </w:rPr>
        <w:t xml:space="preserve">Para todos, al cierre de un ciclo</w:t>
      </w:r>
      <w:r>
        <w:t xml:space="preserve">: Taller 2B (cinco hipótesis en tres minutos) y Taller 18 (la prueba de Parra), que entrenan la generación y el oído.</w:t>
      </w:r>
    </w:p>
    <w:p>
      <w:pPr>
        <w:pStyle w:val="BodyJ"/>
      </w:pPr>
      <w:r>
        <w:t xml:space="preserve">Secuencia mínima para un servicio que empieza, alineada con las fases de esta guía: Taller 4 en la semana 1, Taller 11 en la semana 3, Taller 8 en la visita de sala del mes 2 y Taller 12 en el mes 3; el resto, a demanda. Los «errores típicos» anotados en los Talleres 7, 8, 10 y 12B son lo que los grupos suelen responder primero; mostrarlos antes de la solución enseña por contraste.</w:t>
      </w:r>
    </w:p>
    <w:p>
      <w:pPr>
        <w:pStyle w:val="Heading1"/>
        <w:pageBreakBefore/>
        <w:spacing w:after="320" w:before="720"/>
      </w:pPr>
      <w:r>
        <w:rPr>
          <w:rFonts w:ascii="Georgia" w:cs="Georgia" w:eastAsia="Georgia" w:hAnsi="Georgia"/>
          <w:b/>
          <w:bCs/>
          <w:color w:val="2B2B2B"/>
          <w:sz w:val="34"/>
          <w:szCs w:val="34"/>
        </w:rPr>
        <w:t xml:space="preserve">Apéndice D. Las preguntas para la próxima visita</w:t>
      </w:r>
    </w:p>
    <w:p>
      <w:pPr>
        <w:pStyle w:val="BodyJ"/>
      </w:pPr>
      <w:r>
        <w:t xml:space="preserve">Las 57 preguntas con que cierran la Introducción y los dieciocho capítulos, reunidas para la visita de sala, la entrega de turno o el portafolio de calibración del Taller 5. Tres por capítulo; una por semana basta. Ninguna pide más de dos minutos y todas se responden con un paciente concreto.</w:t>
      </w:r>
    </w:p>
    <w:p>
      <w:pPr>
        <w:pStyle w:val="BodyJ"/>
      </w:pPr>
      <w:r>
        <w:rPr>
          <w:b/>
          <w:bCs/>
        </w:rPr>
        <w:t xml:space="preserve">Introducción</w:t>
      </w:r>
    </w:p>
    <w:p>
      <w:pPr>
        <w:pStyle w:val="BodyJ"/>
        <w:numPr>
          <w:ilvl w:val="0"/>
          <w:numId w:val="6"/>
        </w:numPr>
      </w:pPr>
      <w:r>
        <w:t xml:space="preserve">En la última nota que escribí, ¿qué afirmación era un dato y cuál era mi interpretación del dato?</w:t>
      </w:r>
    </w:p>
    <w:p>
      <w:pPr>
        <w:pStyle w:val="BodyJ"/>
        <w:numPr>
          <w:ilvl w:val="0"/>
          <w:numId w:val="6"/>
        </w:numPr>
      </w:pPr>
      <w:r>
        <w:t xml:space="preserve">¿Qué frase de la ficha de mi paciente actual heredé de otra nota sin verificar su origen?</w:t>
      </w:r>
    </w:p>
    <w:p>
      <w:pPr>
        <w:pStyle w:val="BodyJ"/>
        <w:numPr>
          <w:ilvl w:val="0"/>
          <w:numId w:val="6"/>
        </w:numPr>
      </w:pPr>
      <w:r>
        <w:t xml:space="preserve">¿Cuál es la decisión concreta que este caso me exige hoy, y qué me haría cambiarla?</w:t>
      </w:r>
    </w:p>
    <w:p>
      <w:pPr>
        <w:pStyle w:val="BodyJ"/>
      </w:pPr>
      <w:r>
        <w:rPr>
          <w:b/>
          <w:bCs/>
        </w:rPr>
        <w:t xml:space="preserve">Capítulo 1. El hecho clínico: observación, medición y procedencia</w:t>
      </w:r>
    </w:p>
    <w:p>
      <w:pPr>
        <w:pStyle w:val="BodyJ"/>
        <w:numPr>
          <w:ilvl w:val="0"/>
          <w:numId w:val="6"/>
        </w:numPr>
      </w:pPr>
      <w:r>
        <w:t xml:space="preserve">¿Cuál es el dato más decisivo de mi evaluación de hoy y quién lo produjo realmente?</w:t>
      </w:r>
    </w:p>
    <w:p>
      <w:pPr>
        <w:pStyle w:val="BodyJ"/>
        <w:numPr>
          <w:ilvl w:val="0"/>
          <w:numId w:val="6"/>
        </w:numPr>
      </w:pPr>
      <w:r>
        <w:t xml:space="preserve">¿Qué «hallazgo negativo» estoy tratando como evidencia de ausencia sin preguntarme por la sensibilidad de la búsqueda?</w:t>
      </w:r>
    </w:p>
    <w:p>
      <w:pPr>
        <w:pStyle w:val="BodyJ"/>
        <w:numPr>
          <w:ilvl w:val="0"/>
          <w:numId w:val="6"/>
        </w:numPr>
      </w:pPr>
      <w:r>
        <w:t xml:space="preserve">¿Qué dijo mi paciente con sus propias palabras que yo ya traduje a jerga?</w:t>
      </w:r>
    </w:p>
    <w:p>
      <w:pPr>
        <w:pStyle w:val="BodyJ"/>
      </w:pPr>
      <w:r>
        <w:rPr>
          <w:b/>
          <w:bCs/>
        </w:rPr>
        <w:t xml:space="preserve">Capítulo 2. Inferir: del signo a la explicación</w:t>
      </w:r>
    </w:p>
    <w:p>
      <w:pPr>
        <w:pStyle w:val="BodyJ"/>
        <w:numPr>
          <w:ilvl w:val="0"/>
          <w:numId w:val="6"/>
        </w:numPr>
      </w:pPr>
      <w:r>
        <w:t xml:space="preserve">¿Cuál es el dato más difícil de explicar con mi hipótesis principal?</w:t>
      </w:r>
    </w:p>
    <w:p>
      <w:pPr>
        <w:pStyle w:val="BodyJ"/>
        <w:numPr>
          <w:ilvl w:val="0"/>
          <w:numId w:val="6"/>
        </w:numPr>
      </w:pPr>
      <w:r>
        <w:t xml:space="preserve">¿Qué explicación rival cambiaría mi conducta hoy, y qué me costaría buscarla?</w:t>
      </w:r>
    </w:p>
    <w:p>
      <w:pPr>
        <w:pStyle w:val="BodyJ"/>
        <w:numPr>
          <w:ilvl w:val="0"/>
          <w:numId w:val="6"/>
        </w:numPr>
      </w:pPr>
      <w:r>
        <w:t xml:space="preserve">¿Qué predicción concreta hace mi diagnóstico para las próximas 24 horas?</w:t>
      </w:r>
    </w:p>
    <w:p>
      <w:pPr>
        <w:pStyle w:val="BodyJ"/>
      </w:pPr>
      <w:r>
        <w:rPr>
          <w:b/>
          <w:bCs/>
        </w:rPr>
        <w:t xml:space="preserve">Capítulo 3. Incertidumbre: una condición estructural</w:t>
      </w:r>
    </w:p>
    <w:p>
      <w:pPr>
        <w:pStyle w:val="BodyJ"/>
        <w:numPr>
          <w:ilvl w:val="0"/>
          <w:numId w:val="6"/>
        </w:numPr>
      </w:pPr>
      <w:r>
        <w:t xml:space="preserve">De todo lo que no sé de este paciente, ¿qué duda cambiaría mi conducta si se resolviera?</w:t>
      </w:r>
    </w:p>
    <w:p>
      <w:pPr>
        <w:pStyle w:val="BodyJ"/>
        <w:numPr>
          <w:ilvl w:val="0"/>
          <w:numId w:val="6"/>
        </w:numPr>
      </w:pPr>
      <w:r>
        <w:t xml:space="preserve">¿Cuál es la duda pequeña con consecuencia catastrófica que exige vigilancia explícita?</w:t>
      </w:r>
    </w:p>
    <w:p>
      <w:pPr>
        <w:pStyle w:val="BodyJ"/>
        <w:numPr>
          <w:ilvl w:val="0"/>
          <w:numId w:val="6"/>
        </w:numPr>
      </w:pPr>
      <w:r>
        <w:t xml:space="preserve">¿Qué parte de mi plan depende de valores del paciente que aún no he preguntado?</w:t>
      </w:r>
    </w:p>
    <w:p>
      <w:pPr>
        <w:pStyle w:val="BodyJ"/>
      </w:pPr>
      <w:r>
        <w:rPr>
          <w:b/>
          <w:bCs/>
        </w:rPr>
        <w:t xml:space="preserve">Capítulo 4. Lenguaje clínico y densidad epistémica</w:t>
      </w:r>
    </w:p>
    <w:p>
      <w:pPr>
        <w:pStyle w:val="BodyJ"/>
        <w:numPr>
          <w:ilvl w:val="0"/>
          <w:numId w:val="6"/>
        </w:numPr>
      </w:pPr>
      <w:r>
        <w:t xml:space="preserve">En mi última evolución, ¿qué verbo causal («secundario a», «por», «complicado por») no podría defender si me lo preguntaran?</w:t>
      </w:r>
    </w:p>
    <w:p>
      <w:pPr>
        <w:pStyle w:val="BodyJ"/>
        <w:numPr>
          <w:ilvl w:val="0"/>
          <w:numId w:val="6"/>
        </w:numPr>
      </w:pPr>
      <w:r>
        <w:t xml:space="preserve">¿Escribí «se descarta» donde sólo tenía «sin evidencia actual de»?</w:t>
      </w:r>
    </w:p>
    <w:p>
      <w:pPr>
        <w:pStyle w:val="BodyJ"/>
        <w:numPr>
          <w:ilvl w:val="0"/>
          <w:numId w:val="6"/>
        </w:numPr>
      </w:pPr>
      <w:r>
        <w:t xml:space="preserve">Si otro médico leyera sólo mi frase final, ¿sabría qué vigilar y qué me haría cambiar?</w:t>
      </w:r>
    </w:p>
    <w:p>
      <w:pPr>
        <w:pStyle w:val="BodyJ"/>
      </w:pPr>
      <w:r>
        <w:rPr>
          <w:b/>
          <w:bCs/>
        </w:rPr>
        <w:t xml:space="preserve">Capítulo 5. Metacognición: monitorear y regular el propio juicio</w:t>
      </w:r>
    </w:p>
    <w:p>
      <w:pPr>
        <w:pStyle w:val="BodyJ"/>
        <w:numPr>
          <w:ilvl w:val="0"/>
          <w:numId w:val="6"/>
        </w:numPr>
      </w:pPr>
      <w:r>
        <w:t xml:space="preserve">En mi diagnóstico más firme de hoy, ¿mi confianza viene de la evidencia o de la fluidez con que reconocí el patrón?</w:t>
      </w:r>
    </w:p>
    <w:p>
      <w:pPr>
        <w:pStyle w:val="BodyJ"/>
        <w:numPr>
          <w:ilvl w:val="0"/>
          <w:numId w:val="6"/>
        </w:numPr>
      </w:pPr>
      <w:r>
        <w:t xml:space="preserve">¿Qué señal afectiva (prisa, irritación, alivio) está influyendo en mi evaluación de este caso?</w:t>
      </w:r>
    </w:p>
    <w:p>
      <w:pPr>
        <w:pStyle w:val="BodyJ"/>
        <w:numPr>
          <w:ilvl w:val="0"/>
          <w:numId w:val="6"/>
        </w:numPr>
      </w:pPr>
      <w:r>
        <w:t xml:space="preserve">¿Cuál fue mi última predicción concreta —un cultivo, una imagen, una evolución— y la contrasté con el resultado cuando llegó, o sólo recuerdo las que acerté?</w:t>
      </w:r>
    </w:p>
    <w:p>
      <w:pPr>
        <w:pStyle w:val="BodyJ"/>
      </w:pPr>
      <w:r>
        <w:rPr>
          <w:b/>
          <w:bCs/>
        </w:rPr>
        <w:t xml:space="preserve">Capítulo 6. Pericia, intuición y conocimiento tácito</w:t>
      </w:r>
    </w:p>
    <w:p>
      <w:pPr>
        <w:pStyle w:val="BodyJ"/>
        <w:numPr>
          <w:ilvl w:val="0"/>
          <w:numId w:val="6"/>
        </w:numPr>
      </w:pPr>
      <w:r>
        <w:t xml:space="preserve">¿En qué dominio tengo suficiente experiencia con feedback real como para confiar en mi primera impresión?</w:t>
      </w:r>
    </w:p>
    <w:p>
      <w:pPr>
        <w:pStyle w:val="BodyJ"/>
        <w:numPr>
          <w:ilvl w:val="0"/>
          <w:numId w:val="6"/>
        </w:numPr>
      </w:pPr>
      <w:r>
        <w:t xml:space="preserve">La última vez que «vi» un diagnóstico al instante, ¿qué características lo activaron? ¿Puedo nombrarlas?</w:t>
      </w:r>
    </w:p>
    <w:p>
      <w:pPr>
        <w:pStyle w:val="BodyJ"/>
        <w:numPr>
          <w:ilvl w:val="0"/>
          <w:numId w:val="6"/>
        </w:numPr>
      </w:pPr>
      <w:r>
        <w:t xml:space="preserve">¿Qué caso reciente forcé a encajar en un patrón conocido cuando algo no calzaba?</w:t>
      </w:r>
    </w:p>
    <w:p>
      <w:pPr>
        <w:pStyle w:val="BodyJ"/>
      </w:pPr>
      <w:r>
        <w:rPr>
          <w:b/>
          <w:bCs/>
        </w:rPr>
        <w:t xml:space="preserve">Capítulo 7. Error, sesgo y ecología del diagnóstico</w:t>
      </w:r>
    </w:p>
    <w:p>
      <w:pPr>
        <w:pStyle w:val="BodyJ"/>
        <w:numPr>
          <w:ilvl w:val="0"/>
          <w:numId w:val="6"/>
        </w:numPr>
      </w:pPr>
      <w:r>
        <w:t xml:space="preserve">¿Qué frase heredada estoy tratando como hecho en mi paciente más complejo?</w:t>
      </w:r>
    </w:p>
    <w:p>
      <w:pPr>
        <w:pStyle w:val="BodyJ"/>
        <w:numPr>
          <w:ilvl w:val="0"/>
          <w:numId w:val="6"/>
        </w:numPr>
      </w:pPr>
      <w:r>
        <w:t xml:space="preserve">¿Qué dato «confirmatorio» de hoy confirmaría también la hipótesis rival?</w:t>
      </w:r>
    </w:p>
    <w:p>
      <w:pPr>
        <w:pStyle w:val="BodyJ"/>
        <w:numPr>
          <w:ilvl w:val="0"/>
          <w:numId w:val="6"/>
        </w:numPr>
      </w:pPr>
      <w:r>
        <w:t xml:space="preserve">¿Qué evolución atípica estoy reinterpretando para no reabrir el caso?</w:t>
      </w:r>
    </w:p>
    <w:p>
      <w:pPr>
        <w:pStyle w:val="BodyJ"/>
      </w:pPr>
      <w:r>
        <w:rPr>
          <w:b/>
          <w:bCs/>
        </w:rPr>
        <w:t xml:space="preserve">Capítulo 8. Desacelerar: cuándo, en qué estado y con qué mente</w:t>
      </w:r>
    </w:p>
    <w:p>
      <w:pPr>
        <w:pStyle w:val="BodyJ"/>
        <w:numPr>
          <w:ilvl w:val="0"/>
          <w:numId w:val="6"/>
        </w:numPr>
      </w:pPr>
      <w:r>
        <w:t xml:space="preserve">¿Cuál de mis pacientes actuales cumple un disparador de desaceleración (evolución inesperada, discordancia gravedad-diagnóstico, reconsulta), y en qué condiciones estaba yo cuando lo evalué?</w:t>
      </w:r>
    </w:p>
    <w:p>
      <w:pPr>
        <w:pStyle w:val="BodyJ"/>
        <w:numPr>
          <w:ilvl w:val="0"/>
          <w:numId w:val="6"/>
        </w:numPr>
      </w:pPr>
      <w:r>
        <w:t xml:space="preserve">¿Puedo presentar mi caso más complejo sin usar su etiqueta diagnóstica?</w:t>
      </w:r>
    </w:p>
    <w:p>
      <w:pPr>
        <w:pStyle w:val="BodyJ"/>
        <w:numPr>
          <w:ilvl w:val="0"/>
          <w:numId w:val="6"/>
        </w:numPr>
      </w:pPr>
      <w:r>
        <w:t xml:space="preserve">En mi última alta con diagnóstico incierto, ¿dejé escrito qué debería motivar reconsulta?</w:t>
      </w:r>
    </w:p>
    <w:p>
      <w:pPr>
        <w:pStyle w:val="BodyJ"/>
      </w:pPr>
      <w:r>
        <w:rPr>
          <w:b/>
          <w:bCs/>
        </w:rPr>
        <w:t xml:space="preserve">Capítulo 9. La evidencia y el caso singular</w:t>
      </w:r>
    </w:p>
    <w:p>
      <w:pPr>
        <w:pStyle w:val="BodyJ"/>
        <w:numPr>
          <w:ilvl w:val="0"/>
          <w:numId w:val="6"/>
        </w:numPr>
      </w:pPr>
      <w:r>
        <w:t xml:space="preserve">Para mi indicación más importante de hoy: ¿qué demostró exactamente el estudio que la respalda, y en qué se parece mi paciente a esa población?</w:t>
      </w:r>
    </w:p>
    <w:p>
      <w:pPr>
        <w:pStyle w:val="BodyJ"/>
        <w:numPr>
          <w:ilvl w:val="0"/>
          <w:numId w:val="6"/>
        </w:numPr>
      </w:pPr>
      <w:r>
        <w:t xml:space="preserve">El último ensayo «negativo» que cité: ¿mostró ausencia de efecto o ausencia de significación — y traté esa diferencia como si no existiera?</w:t>
      </w:r>
    </w:p>
    <w:p>
      <w:pPr>
        <w:pStyle w:val="BodyJ"/>
        <w:numPr>
          <w:ilvl w:val="0"/>
          <w:numId w:val="6"/>
        </w:numPr>
      </w:pPr>
      <w:r>
        <w:t xml:space="preserve">¿Qué conocimiento local (resistencias, tiempos, capacidad de seguimiento) está modificando mi decisión sin estar declarado en ninguna parte?</w:t>
      </w:r>
    </w:p>
    <w:p>
      <w:pPr>
        <w:pStyle w:val="BodyJ"/>
      </w:pPr>
      <w:r>
        <w:rPr>
          <w:b/>
          <w:bCs/>
        </w:rPr>
        <w:t xml:space="preserve">Capítulo 10. Decidir sin certeza: umbrales, valores y bioética</w:t>
      </w:r>
    </w:p>
    <w:p>
      <w:pPr>
        <w:pStyle w:val="BodyJ"/>
        <w:numPr>
          <w:ilvl w:val="0"/>
          <w:numId w:val="6"/>
        </w:numPr>
      </w:pPr>
      <w:r>
        <w:t xml:space="preserve">¿Cuál es el umbral implícito de mi decisión: qué probabilidad de estar equivocado la haría cambiar?</w:t>
      </w:r>
    </w:p>
    <w:p>
      <w:pPr>
        <w:pStyle w:val="BodyJ"/>
        <w:numPr>
          <w:ilvl w:val="0"/>
          <w:numId w:val="6"/>
        </w:numPr>
      </w:pPr>
      <w:r>
        <w:t xml:space="preserve">¿Estoy exigiendo certeza diagnóstica donde bastaría compromiso práctico, o actuando para no tolerar una duda?</w:t>
      </w:r>
    </w:p>
    <w:p>
      <w:pPr>
        <w:pStyle w:val="BodyJ"/>
        <w:numPr>
          <w:ilvl w:val="0"/>
          <w:numId w:val="6"/>
        </w:numPr>
      </w:pPr>
      <w:r>
        <w:t xml:space="preserve">De mi paciente más grave de hoy: ¿sé cómo funcionaba antes de enfermar, con quién vive y qué espera del tratamiento — y está escrito en alguna parte?</w:t>
      </w:r>
    </w:p>
    <w:p>
      <w:pPr>
        <w:pStyle w:val="BodyJ"/>
      </w:pPr>
      <w:r>
        <w:rPr>
          <w:b/>
          <w:bCs/>
        </w:rPr>
        <w:t xml:space="preserve">Capítulo 11. Temporalidad, trayectoria y razonamiento contrafactual</w:t>
      </w:r>
    </w:p>
    <w:p>
      <w:pPr>
        <w:pStyle w:val="BodyJ"/>
        <w:numPr>
          <w:ilvl w:val="0"/>
          <w:numId w:val="6"/>
        </w:numPr>
      </w:pPr>
      <w:r>
        <w:t xml:space="preserve">«Está mejor»: ¿mejor que cuándo, en qué variable y a qué velocidad?</w:t>
      </w:r>
    </w:p>
    <w:p>
      <w:pPr>
        <w:pStyle w:val="BodyJ"/>
        <w:numPr>
          <w:ilvl w:val="0"/>
          <w:numId w:val="6"/>
        </w:numPr>
      </w:pPr>
      <w:r>
        <w:t xml:space="preserve">¿Qué predijo mi diagnóstico hace 48 horas, y la evolución lo confirmó o lo desmintió?</w:t>
      </w:r>
    </w:p>
    <w:p>
      <w:pPr>
        <w:pStyle w:val="BodyJ"/>
        <w:numPr>
          <w:ilvl w:val="0"/>
          <w:numId w:val="6"/>
        </w:numPr>
      </w:pPr>
      <w:r>
        <w:t xml:space="preserve">Mi «observación» de hoy, ¿tiene plazo, variables y criterio de salida, o es una espera sin diseño?</w:t>
      </w:r>
    </w:p>
    <w:p>
      <w:pPr>
        <w:pStyle w:val="BodyJ"/>
      </w:pPr>
      <w:r>
        <w:rPr>
          <w:b/>
          <w:bCs/>
        </w:rPr>
        <w:t xml:space="preserve">Capítulo 12. La ficha clínica como instrumento de pensamiento</w:t>
      </w:r>
    </w:p>
    <w:p>
      <w:pPr>
        <w:pStyle w:val="BodyJ"/>
        <w:numPr>
          <w:ilvl w:val="0"/>
          <w:numId w:val="6"/>
        </w:numPr>
      </w:pPr>
      <w:r>
        <w:t xml:space="preserve">¿Qué párrafo de mi evolución de hoy es copia de ayer, y sigue siendo verdad?</w:t>
      </w:r>
    </w:p>
    <w:p>
      <w:pPr>
        <w:pStyle w:val="BodyJ"/>
        <w:numPr>
          <w:ilvl w:val="0"/>
          <w:numId w:val="6"/>
        </w:numPr>
      </w:pPr>
      <w:r>
        <w:t xml:space="preserve">Si yo no estuviera mañana, ¿el médico que me reemplace sabría por mi nota qué vigilar y qué reabriría el caso?</w:t>
      </w:r>
    </w:p>
    <w:p>
      <w:pPr>
        <w:pStyle w:val="BodyJ"/>
        <w:numPr>
          <w:ilvl w:val="0"/>
          <w:numId w:val="6"/>
        </w:numPr>
      </w:pPr>
      <w:r>
        <w:t xml:space="preserve">¿Mi lista de problemas distingue hechos, hipótesis, acciones pendientes e incertidumbres, o todo tiene el mismo estatus?</w:t>
      </w:r>
    </w:p>
    <w:p>
      <w:pPr>
        <w:pStyle w:val="BodyJ"/>
      </w:pPr>
      <w:r>
        <w:rPr>
          <w:b/>
          <w:bCs/>
        </w:rPr>
        <w:t xml:space="preserve">Capítulo 13. Pensar con otros: equipos, desacuerdo y comunicación de la incertidumbre</w:t>
      </w:r>
    </w:p>
    <w:p>
      <w:pPr>
        <w:pStyle w:val="BodyJ"/>
        <w:numPr>
          <w:ilvl w:val="0"/>
          <w:numId w:val="6"/>
        </w:numPr>
      </w:pPr>
      <w:r>
        <w:t xml:space="preserve">¿Qué observó enfermería en las últimas 24 horas que no pasó por mi evaluación?</w:t>
      </w:r>
    </w:p>
    <w:p>
      <w:pPr>
        <w:pStyle w:val="BodyJ"/>
        <w:numPr>
          <w:ilvl w:val="0"/>
          <w:numId w:val="6"/>
        </w:numPr>
      </w:pPr>
      <w:r>
        <w:t xml:space="preserve">En mi último desacuerdo clínico, ¿discrepábamos en hechos, inferencias, incertidumbre, valores o umbral?</w:t>
      </w:r>
    </w:p>
    <w:p>
      <w:pPr>
        <w:pStyle w:val="BodyJ"/>
        <w:numPr>
          <w:ilvl w:val="0"/>
          <w:numId w:val="6"/>
        </w:numPr>
      </w:pPr>
      <w:r>
        <w:t xml:space="preserve">¿Mi paciente sabe qué sabemos, qué creemos, qué no sabemos aún y qué haremos —o sólo recibió una etiqueta?</w:t>
      </w:r>
    </w:p>
    <w:p>
      <w:pPr>
        <w:pStyle w:val="BodyJ"/>
      </w:pPr>
      <w:r>
        <w:rPr>
          <w:b/>
          <w:bCs/>
        </w:rPr>
        <w:t xml:space="preserve">Capítulo 14. Humildad epistémica y responsabilidad clínica</w:t>
      </w:r>
    </w:p>
    <w:p>
      <w:pPr>
        <w:pStyle w:val="BodyJ"/>
        <w:numPr>
          <w:ilvl w:val="0"/>
          <w:numId w:val="6"/>
        </w:numPr>
      </w:pPr>
      <w:r>
        <w:t xml:space="preserve">¿A qué paciente le estoy creyendo menos de lo que su testimonio merece, y por qué?</w:t>
      </w:r>
    </w:p>
    <w:p>
      <w:pPr>
        <w:pStyle w:val="BodyJ"/>
        <w:numPr>
          <w:ilvl w:val="0"/>
          <w:numId w:val="6"/>
        </w:numPr>
      </w:pPr>
      <w:r>
        <w:t xml:space="preserve">Mi última recomendación firme: ¿podría explicar qué hechos la sostienen, qué incertidumbres la modificarían y qué valores del paciente pesan?</w:t>
      </w:r>
    </w:p>
    <w:p>
      <w:pPr>
        <w:pStyle w:val="BodyJ"/>
        <w:numPr>
          <w:ilvl w:val="0"/>
          <w:numId w:val="6"/>
        </w:numPr>
      </w:pPr>
      <w:r>
        <w:t xml:space="preserve">¿Hay en mis fichas una etiqueta («funcional», «no adherente», «poco colaborador») que esté distribuyendo credibilidad en lugar de información?</w:t>
      </w:r>
    </w:p>
    <w:p>
      <w:pPr>
        <w:pStyle w:val="BodyJ"/>
      </w:pPr>
      <w:r>
        <w:rPr>
          <w:b/>
          <w:bCs/>
        </w:rPr>
        <w:t xml:space="preserve">Capítulo 15. El método HII-D: una epistemología operativa</w:t>
      </w:r>
    </w:p>
    <w:p>
      <w:pPr>
        <w:pStyle w:val="BodyJ"/>
        <w:numPr>
          <w:ilvl w:val="0"/>
          <w:numId w:val="6"/>
        </w:numPr>
      </w:pPr>
      <w:r>
        <w:t xml:space="preserve">¿Cuál es la pregunta operativa de mi caso más difícil —la decisión real en juego, no «el diagnóstico»?</w:t>
      </w:r>
    </w:p>
    <w:p>
      <w:pPr>
        <w:pStyle w:val="BodyJ"/>
        <w:numPr>
          <w:ilvl w:val="0"/>
          <w:numId w:val="6"/>
        </w:numPr>
      </w:pPr>
      <w:r>
        <w:t xml:space="preserve">¿Mi nota de hoy permite a otro médico reconstruir mis cuatro capas, o sólo mi conclusión?</w:t>
      </w:r>
    </w:p>
    <w:p>
      <w:pPr>
        <w:pStyle w:val="BodyJ"/>
        <w:numPr>
          <w:ilvl w:val="0"/>
          <w:numId w:val="6"/>
        </w:numPr>
      </w:pPr>
      <w:r>
        <w:t xml:space="preserve">¿Qué decisión de esta semana tomé sin criterio de reapertura, y todavía estoy a tiempo de escribirlo?</w:t>
      </w:r>
    </w:p>
    <w:p>
      <w:pPr>
        <w:pStyle w:val="BodyJ"/>
      </w:pPr>
      <w:r>
        <w:rPr>
          <w:b/>
          <w:bCs/>
        </w:rPr>
        <w:t xml:space="preserve">Capítulo 16. Enseñar y organizar la metacognición clínica</w:t>
      </w:r>
    </w:p>
    <w:p>
      <w:pPr>
        <w:pStyle w:val="BodyJ"/>
        <w:numPr>
          <w:ilvl w:val="0"/>
          <w:numId w:val="6"/>
        </w:numPr>
      </w:pPr>
      <w:r>
        <w:t xml:space="preserve">La última vez que enseñé un caso, ¿pedí el diagnóstico o pedí primero la representación del problema?</w:t>
      </w:r>
    </w:p>
    <w:p>
      <w:pPr>
        <w:pStyle w:val="BodyJ"/>
        <w:numPr>
          <w:ilvl w:val="0"/>
          <w:numId w:val="6"/>
        </w:numPr>
      </w:pPr>
      <w:r>
        <w:t xml:space="preserve">¿Qué pasó con el último paciente que derivé o di de alta con diagnóstico incierto — y cómo podría enterarme sistemáticamente?</w:t>
      </w:r>
    </w:p>
    <w:p>
      <w:pPr>
        <w:pStyle w:val="BodyJ"/>
        <w:numPr>
          <w:ilvl w:val="0"/>
          <w:numId w:val="6"/>
        </w:numPr>
      </w:pPr>
      <w:r>
        <w:t xml:space="preserve">Si mañana dirigiera mi servicio, ¿cuál de las tres palancas (visita de sala, ficha, revisión de errores) cambiaría primero, y qué costaría?</w:t>
      </w:r>
    </w:p>
    <w:p>
      <w:pPr>
        <w:pStyle w:val="BodyJ"/>
      </w:pPr>
      <w:r>
        <w:rPr>
          <w:b/>
          <w:bCs/>
        </w:rPr>
        <w:t xml:space="preserve">Capítulo 17. La inteligencia artificial en el proceso clínico: roles, riesgos y defensas</w:t>
      </w:r>
    </w:p>
    <w:p>
      <w:pPr>
        <w:pStyle w:val="BodyJ"/>
        <w:numPr>
          <w:ilvl w:val="0"/>
          <w:numId w:val="6"/>
        </w:numPr>
      </w:pPr>
      <w:r>
        <w:t xml:space="preserve">Si uso IA en este caso, ¿qué dato de su respuesta verifiqué contra una fuente primaria antes de actuar?</w:t>
      </w:r>
    </w:p>
    <w:p>
      <w:pPr>
        <w:pStyle w:val="BodyJ"/>
        <w:numPr>
          <w:ilvl w:val="0"/>
          <w:numId w:val="6"/>
        </w:numPr>
      </w:pPr>
      <w:r>
        <w:t xml:space="preserve">¿Qué agregó el modelo que el caso no contenía?</w:t>
      </w:r>
    </w:p>
    <w:p>
      <w:pPr>
        <w:pStyle w:val="BodyJ"/>
        <w:numPr>
          <w:ilvl w:val="0"/>
          <w:numId w:val="6"/>
        </w:numPr>
      </w:pPr>
      <w:r>
        <w:t xml:space="preserve">¿Estoy usando la herramienta para ampliar hipótesis o para confirmar rápido la que ya tenía?</w:t>
      </w:r>
    </w:p>
    <w:p>
      <w:pPr>
        <w:pStyle w:val="BodyJ"/>
      </w:pPr>
      <w:r>
        <w:rPr>
          <w:b/>
          <w:bCs/>
        </w:rPr>
        <w:t xml:space="preserve">Capítulo 18. La palabra exacta: lo que la poesía sabe del juicio clínico</w:t>
      </w:r>
    </w:p>
    <w:p>
      <w:pPr>
        <w:pStyle w:val="BodyJ"/>
        <w:numPr>
          <w:ilvl w:val="0"/>
          <w:numId w:val="6"/>
        </w:numPr>
      </w:pPr>
      <w:r>
        <w:t xml:space="preserve">¿Qué palabra de mi última nota está «haciendo florecer» algo que nadie observó?</w:t>
      </w:r>
    </w:p>
    <w:p>
      <w:pPr>
        <w:pStyle w:val="BodyJ"/>
        <w:numPr>
          <w:ilvl w:val="0"/>
          <w:numId w:val="6"/>
        </w:numPr>
      </w:pPr>
      <w:r>
        <w:t xml:space="preserve">El diagnóstico que más me satisface hoy: ¿me convence por la evidencia o por lo bien que cierra la historia?</w:t>
      </w:r>
    </w:p>
    <w:p>
      <w:pPr>
        <w:pStyle w:val="BodyJ"/>
        <w:numPr>
          <w:ilvl w:val="0"/>
          <w:numId w:val="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t xml:space="preserve">Los términos marcados con ∗ son propuestas de este libro; los demás se toman de la literatura, con su autor entre paréntesis cuando corresponde.</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Captura cognitiva∗.</w:t>
      </w:r>
      <w:r>
        <w:t xml:space="preserve"> Condicionamiento de la búsqueda de hipótesis, la lectura de los datos y la ponderación por una respuesta vista antes de razonar — típicamente la de un asistente de IA. No exige que la respuesta sea errónea: una hipótesis correcta entregada demasiado pronto también sustituye las operaciones que forman el juicio.</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Conversaciones para la acción.</w:t>
      </w:r>
      <w:r>
        <w:t xml:space="preserve"> Gramática del trabajo coordinado descrita por Flores y Winograd: pedido, promesa con condiciones de satisfacción y plazo, y declaración de cumplimiento. Leída así, una entrega de turno distribuye compromisos, no sólo información; «está cubierto» es una promesa sin dueño.</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Deskilling / never-skilling / mis-skilling.</w:t>
      </w:r>
      <w:r>
        <w:t xml:space="preserve"> Tríada de riesgos formativos de la IA clínica: perder por desuso una competencia ya adquirida; no consolidarla nunca porque la herramienta ejecutó la tarea desde el inicio de la formación; o adquirirla mal, imitando salidas no auditadas (Abdulnour et al.). El segundo es el más difícil de detectar: no deja recuerdo de lo perdido.</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Escriba ambiental.</w:t>
      </w:r>
      <w:r>
        <w:t xml:space="preserve"> Sistema de IA que escucha la consulta y redacta la nota clínica. Puede automatizar la capa de hechos; no debería autocompletar la decisión ni la frase medular, porque escribirlas es parte de pensarlas, y tiende a aplanar la modalidad epistémica de lo dicho en voz alta.</w:t>
      </w:r>
    </w:p>
    <w:p>
      <w:pPr>
        <w:pStyle w:val="BodyJ"/>
      </w:pPr>
      <w:r>
        <w:rPr>
          <w:b/>
          <w:bCs/>
        </w:rPr>
        <w:t xml:space="preserve">Ética de la creencia.</w:t>
      </w:r>
      <w:r>
        <w:t xml:space="preserve"> Tesis de Clifford (1877) según la cual creer sin evidencia suficiente es en sí mismo reprochable, con independencia del desenlace; en clínica, fundamento del deber de pensar bien como parte de la ética primordial del médico y de la regla de que un buen desenlace no valida un proceso defectuoso.</w:t>
      </w:r>
    </w:p>
    <w:p>
      <w:pPr>
        <w:pStyle w:val="BodyJ"/>
      </w:pPr>
      <w:r>
        <w:rPr>
          <w:b/>
          <w:bCs/>
        </w:rPr>
        <w:t xml:space="preserve">Estado del razonador∗.</w:t>
      </w:r>
      <w:r>
        <w:t xml:space="preserve"> Condiciones en que se produce un juicio clínico —sueño, horas de turno, hora del día, ánimo, preocupaciones ajenas al caso—, tratadas como un hecho de la capa H sobre la confiabilidad del instrumento que infiere y como disparador de pausa o de segundo lector. Pensar cuesta, y el costo no es constante.</w:t>
      </w:r>
    </w:p>
    <w:p>
      <w:pPr>
        <w:pStyle w:val="BodyJ"/>
      </w:pPr>
      <w:r>
        <w:rPr>
          <w:b/>
          <w:bCs/>
        </w:rPr>
        <w:t xml:space="preserve">Ficha de proceso∗.</w:t>
      </w:r>
      <w:r>
        <w:t xml:space="preserve"> Registro que, además de conclusiones y acciones (ficha de resultados), conjuga los verbos del razonamiento: sospechado, dudado, descartado, priorizado, inferido, realizado, repetido, comprobado, aprendido. Cada verbo cae en una capa de HII-D; «Neumonía. Ceftriaxona» no conjuga ninguno.</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Mente del principiante (shoshin).</w:t>
      </w:r>
      <w:r>
        <w:t xml:space="preserve"> Disposición, tomada del Zen, a mirar lo conocido como si fuera la primera vez, sin que el nombre decida por adelantado. Presentar el caso sin la etiqueta es su versión clínica; no reemplaza al illness script, suspende la prisa con que cierra el caso.</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Objetividad entre paréntesis.</w:t>
      </w:r>
      <w:r>
        <w:t xml:space="preserve"> Distinción de Maturana entre el que cree hablar de la realidad sin mediación y usa esa creencia para obligar (objetividad sin paréntesis) y el que admite que toda afirmación válida lo es dentro de condiciones que el observador puede declarar. En este libro, el fundamento de la trazabilidad: declarar al observador no vuelve relativa la observación, la vuelve auditable.</w:t>
      </w:r>
    </w:p>
    <w:p>
      <w:pPr>
        <w:pStyle w:val="BodyJ"/>
      </w:pPr>
      <w:r>
        <w:rPr>
          <w:b/>
          <w:bCs/>
        </w:rPr>
        <w:t xml:space="preserve">Observación activa.</w:t>
      </w:r>
      <w:r>
        <w:t xml:space="preserve"> Espera diseñada como intervención diagnóstica: con objetivo, plazo, variables vigiladas, responsable y criterios de salida en ambas direcciones; lo contrario de «control según evolución».</w:t>
      </w:r>
    </w:p>
    <w:p>
      <w:pPr>
        <w:pStyle w:val="BodyJ"/>
      </w:pPr>
      <w:r>
        <w:rPr>
          <w:b/>
          <w:bCs/>
        </w:rPr>
        <w:t xml:space="preserve">Paradoja de la automatización.</w:t>
      </w:r>
      <w:r>
        <w:t xml:space="preserve"> Cuanto más competente es un sistema automatizado, menos ejercita el humano las habilidades necesarias para detectar sus fallas — que es cuando más se las necesita (Abdulnour et al.).</w:t>
      </w:r>
    </w:p>
    <w:p>
      <w:pPr>
        <w:pStyle w:val="BodyJ"/>
      </w:pPr>
      <w:r>
        <w:rPr>
          <w:b/>
          <w:bCs/>
        </w:rPr>
        <w:t xml:space="preserve">Pausa diagnóstica.</w:t>
      </w:r>
      <w:r>
        <w:t xml:space="preserve"> Interrupción breve y selectiva del flujo clínico, activada por disparadores definidos (reconsulta, evolución discordante, transferencia), para reformular el caso sin su etiqueta y localizar la incertidumbre peligrosa.</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Quiebre.</w:t>
      </w:r>
      <w:r>
        <w:t xml:space="preserve"> Momento en que la respuesta inmediata del experto falla o la situación no calza con lo aprendido, y la deliberación explícita entra en escena (Varela). Las pausas selectivas de este libro son quiebres puestos por diseño.</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Sesgo de automatización.</w:t>
      </w:r>
      <w:r>
        <w:t xml:space="preserve"> Tendencia a aceptar la recomendación de un sistema automatizado por encima de la propia evidencia o el propio juicio; los apoyos a la decisión corrigen errores humanos e introducen errores nuevos por deferencia (Goddard et al.). Pariente del anclaje, con interfaz.</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del entorno.</w:t>
      </w:r>
      <w:r>
        <w:t xml:space="preserve"> Grado en que un ambiente de práctica ofrece regularidades estables entre señales y desenlaces, junto a oportunidad de aprenderlas con feedback oportuno; condición para que la intuición experta sea confiable (Kahneman y Klein).</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 vigilada por la metacognición — 5; mantenida abierta por la humildad — 14</w:t>
      </w:r>
    </w:p>
    <w:p>
      <w:pPr>
        <w:pStyle w:val="BodyJ"/>
        <w:numPr>
          <w:ilvl w:val="0"/>
          <w:numId w:val="6"/>
        </w:numPr>
      </w:pPr>
      <w:r>
        <w:t xml:space="preserve">Actos de habla en la ficha (Austin) — 4</w:t>
      </w:r>
    </w:p>
    <w:p>
      <w:pPr>
        <w:pStyle w:val="BodyJ"/>
        <w:numPr>
          <w:ilvl w:val="0"/>
          <w:numId w:val="6"/>
        </w:numPr>
      </w:pPr>
      <w:r>
        <w:t xml:space="preserve">Anclaje — 7, 11, CC (viñeta 6)</w:t>
      </w:r>
    </w:p>
    <w:p>
      <w:pPr>
        <w:pStyle w:val="BodyJ"/>
        <w:numPr>
          <w:ilvl w:val="0"/>
          <w:numId w:val="6"/>
        </w:numPr>
      </w:pPr>
      <w:r>
        <w:t xml:space="preserve">Antipoesía como léxico de certeza (Parra) — 18</w:t>
      </w:r>
    </w:p>
    <w:p>
      <w:pPr>
        <w:pStyle w:val="BodyJ"/>
        <w:numPr>
          <w:ilvl w:val="0"/>
          <w:numId w:val="6"/>
        </w:numPr>
      </w:pPr>
      <w:r>
        <w:t xml:space="preserve">Atrofia de la pericia por asistencia de IA (deskilling) — 17</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14</w:t>
      </w:r>
    </w:p>
    <w:p>
      <w:pPr>
        <w:pStyle w:val="BodyJ"/>
        <w:numPr>
          <w:ilvl w:val="0"/>
          <w:numId w:val="6"/>
        </w:numPr>
      </w:pPr>
      <w:r>
        <w:t xml:space="preserve">Bioética y razonamiento clínico (cuatro tópicos, proporcionalidad, deliberación) — 10, 15, CC (viñeta 5), Ap A</w:t>
      </w:r>
    </w:p>
    <w:p>
      <w:pPr>
        <w:pStyle w:val="BodyJ"/>
        <w:numPr>
          <w:ilvl w:val="0"/>
          <w:numId w:val="6"/>
        </w:numPr>
      </w:pPr>
      <w:r>
        <w:t xml:space="preserve">Calibración — 5, 15, 16, Ap C</w:t>
      </w:r>
    </w:p>
    <w:p>
      <w:pPr>
        <w:pStyle w:val="BodyJ"/>
        <w:numPr>
          <w:ilvl w:val="0"/>
          <w:numId w:val="6"/>
        </w:numPr>
      </w:pPr>
      <w:r>
        <w:t xml:space="preserve">Captura cognitiva por IA (la respuesta antes que el caso) — 17</w:t>
      </w:r>
    </w:p>
    <w:p>
      <w:pPr>
        <w:pStyle w:val="BodyJ"/>
        <w:numPr>
          <w:ilvl w:val="0"/>
          <w:numId w:val="6"/>
        </w:numPr>
      </w:pPr>
      <w:r>
        <w:t xml:space="preserve">Carga teórica de la observación — 1</w:t>
      </w:r>
    </w:p>
    <w:p>
      <w:pPr>
        <w:pStyle w:val="BodyJ"/>
        <w:numPr>
          <w:ilvl w:val="0"/>
          <w:numId w:val="6"/>
        </w:numPr>
      </w:pPr>
      <w:r>
        <w:t xml:space="preserve">Cierre prematuro — 2, 7, CC (viñeta 6)</w:t>
      </w:r>
    </w:p>
    <w:p>
      <w:pPr>
        <w:pStyle w:val="BodyJ"/>
        <w:numPr>
          <w:ilvl w:val="0"/>
          <w:numId w:val="6"/>
        </w:numPr>
      </w:pPr>
      <w:r>
        <w:t xml:space="preserve">Cognición distribuida — 13</w:t>
      </w:r>
    </w:p>
    <w:p>
      <w:pPr>
        <w:pStyle w:val="BodyJ"/>
        <w:numPr>
          <w:ilvl w:val="0"/>
          <w:numId w:val="6"/>
        </w:numPr>
      </w:pPr>
      <w:r>
        <w:t xml:space="preserve">Comparación de HII-D con otros modelos (SOAP, scripts, reflexión deliberada) — 15</w:t>
      </w:r>
    </w:p>
    <w:p>
      <w:pPr>
        <w:pStyle w:val="BodyJ"/>
        <w:numPr>
          <w:ilvl w:val="0"/>
          <w:numId w:val="6"/>
        </w:numPr>
      </w:pPr>
      <w:r>
        <w:t xml:space="preserve">Comunicación de incertidumbre — 13, 14, CC (viñeta 5)</w:t>
      </w:r>
    </w:p>
    <w:p>
      <w:pPr>
        <w:pStyle w:val="BodyJ"/>
        <w:numPr>
          <w:ilvl w:val="0"/>
          <w:numId w:val="6"/>
        </w:numPr>
      </w:pPr>
      <w:r>
        <w:t xml:space="preserve">Conocimiento tácito — 6; saber hacer y quiebre (Varela) — 6</w:t>
      </w:r>
    </w:p>
    <w:p>
      <w:pPr>
        <w:pStyle w:val="BodyJ"/>
        <w:numPr>
          <w:ilvl w:val="0"/>
          <w:numId w:val="6"/>
        </w:numPr>
      </w:pPr>
      <w:r>
        <w:t xml:space="preserve">Contexto global del paciente (funcionalidad, pronóstico de fondo, red de apoyo) — 10, 15, Ap A</w:t>
      </w:r>
    </w:p>
    <w:p>
      <w:pPr>
        <w:pStyle w:val="BodyJ"/>
        <w:numPr>
          <w:ilvl w:val="0"/>
          <w:numId w:val="6"/>
        </w:numPr>
      </w:pPr>
      <w:r>
        <w:t xml:space="preserve">Contrafactuales — 11</w:t>
      </w:r>
    </w:p>
    <w:p>
      <w:pPr>
        <w:pStyle w:val="BodyJ"/>
        <w:numPr>
          <w:ilvl w:val="0"/>
          <w:numId w:val="6"/>
        </w:numPr>
      </w:pPr>
      <w:r>
        <w:t xml:space="preserve">Conversaciones para la acción (Flores y Winograd) — 13</w:t>
      </w:r>
    </w:p>
    <w:p>
      <w:pPr>
        <w:pStyle w:val="BodyJ"/>
        <w:numPr>
          <w:ilvl w:val="0"/>
          <w:numId w:val="6"/>
        </w:numPr>
      </w:pPr>
      <w:r>
        <w:t xml:space="preserve">Copiado de notas (fósil narrativo; magnitud medida)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16</w:t>
      </w:r>
    </w:p>
    <w:p>
      <w:pPr>
        <w:pStyle w:val="BodyJ"/>
        <w:numPr>
          <w:ilvl w:val="0"/>
          <w:numId w:val="6"/>
        </w:numPr>
      </w:pPr>
      <w:r>
        <w:t xml:space="preserve">Decisión compartida — 14, Interludio III</w:t>
      </w:r>
    </w:p>
    <w:p>
      <w:pPr>
        <w:pStyle w:val="BodyJ"/>
        <w:numPr>
          <w:ilvl w:val="0"/>
          <w:numId w:val="6"/>
        </w:numPr>
      </w:pPr>
      <w:r>
        <w:t xml:space="preserve">Deliberación moral (Gracia) — 10</w:t>
      </w:r>
    </w:p>
    <w:p>
      <w:pPr>
        <w:pStyle w:val="BodyJ"/>
        <w:numPr>
          <w:ilvl w:val="0"/>
          <w:numId w:val="6"/>
        </w:numPr>
      </w:pPr>
      <w:r>
        <w:t xml:space="preserve">Densidad epistémica — 4; seis dimensiones de auditoría — 4, Ap B</w:t>
      </w:r>
    </w:p>
    <w:p>
      <w:pPr>
        <w:pStyle w:val="BodyJ"/>
        <w:numPr>
          <w:ilvl w:val="0"/>
          <w:numId w:val="6"/>
        </w:numPr>
      </w:pPr>
      <w:r>
        <w:t xml:space="preserve">Desaceleración selectiva — 8, Interludio II; disparadores, incluido el estado del razonador — 8</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14</w:t>
      </w:r>
    </w:p>
    <w:p>
      <w:pPr>
        <w:pStyle w:val="BodyJ"/>
        <w:numPr>
          <w:ilvl w:val="0"/>
          <w:numId w:val="6"/>
        </w:numPr>
      </w:pPr>
      <w:r>
        <w:t xml:space="preserve">Ensombrecimiento diagnóstico — CC (viñeta 8)</w:t>
      </w:r>
    </w:p>
    <w:p>
      <w:pPr>
        <w:pStyle w:val="BodyJ"/>
        <w:numPr>
          <w:ilvl w:val="0"/>
          <w:numId w:val="6"/>
        </w:numPr>
      </w:pPr>
      <w:r>
        <w:t xml:space="preserve">Errores asimétricos — 10, CC (viñeta 3)</w:t>
      </w:r>
    </w:p>
    <w:p>
      <w:pPr>
        <w:pStyle w:val="BodyJ"/>
        <w:numPr>
          <w:ilvl w:val="0"/>
          <w:numId w:val="6"/>
        </w:numPr>
      </w:pPr>
      <w:r>
        <w:t xml:space="preserve">Errores típicos en los talleres — 7, 8, 10, 12</w:t>
      </w:r>
    </w:p>
    <w:p>
      <w:pPr>
        <w:pStyle w:val="BodyJ"/>
        <w:numPr>
          <w:ilvl w:val="0"/>
          <w:numId w:val="6"/>
        </w:numPr>
      </w:pPr>
      <w:r>
        <w:t xml:space="preserve">Escribas ambientales (regla «la capa H sí, la capa D no») — 17</w:t>
      </w:r>
    </w:p>
    <w:p>
      <w:pPr>
        <w:pStyle w:val="BodyJ"/>
        <w:numPr>
          <w:ilvl w:val="0"/>
          <w:numId w:val="6"/>
        </w:numPr>
      </w:pPr>
      <w:r>
        <w:t xml:space="preserve">Estado de verificación de un diagnóstico en la ficha electrónica — 12</w:t>
      </w:r>
    </w:p>
    <w:p>
      <w:pPr>
        <w:pStyle w:val="BodyJ"/>
        <w:numPr>
          <w:ilvl w:val="0"/>
          <w:numId w:val="6"/>
        </w:numPr>
      </w:pPr>
      <w:r>
        <w:t xml:space="preserve">Estado del razonador (esfuerzo, sueño, ánimo; turnos como condición epistémica) — 8, 16, Ap A</w:t>
      </w:r>
    </w:p>
    <w:p>
      <w:pPr>
        <w:pStyle w:val="BodyJ"/>
        <w:numPr>
          <w:ilvl w:val="0"/>
          <w:numId w:val="6"/>
        </w:numPr>
      </w:pPr>
      <w:r>
        <w:t xml:space="preserve">Ética de la creencia (Clifford); pensar bien como deber primordial — 14, C</w:t>
      </w:r>
    </w:p>
    <w:p>
      <w:pPr>
        <w:pStyle w:val="BodyJ"/>
        <w:numPr>
          <w:ilvl w:val="0"/>
          <w:numId w:val="6"/>
        </w:numPr>
      </w:pPr>
      <w:r>
        <w:t xml:space="preserve">Evidencia poblacional y particularización — 9</w:t>
      </w:r>
    </w:p>
    <w:p>
      <w:pPr>
        <w:pStyle w:val="BodyJ"/>
        <w:numPr>
          <w:ilvl w:val="0"/>
          <w:numId w:val="6"/>
        </w:numPr>
      </w:pPr>
      <w:r>
        <w:t xml:space="preserve">Falsabilidad del método HII-D — 15</w:t>
      </w:r>
    </w:p>
    <w:p>
      <w:pPr>
        <w:pStyle w:val="BodyJ"/>
        <w:numPr>
          <w:ilvl w:val="0"/>
          <w:numId w:val="6"/>
        </w:numPr>
      </w:pPr>
      <w:r>
        <w:t xml:space="preserve">Feedback diagnóstico — 5, 16, Ap C</w:t>
      </w:r>
    </w:p>
    <w:p>
      <w:pPr>
        <w:pStyle w:val="BodyJ"/>
        <w:numPr>
          <w:ilvl w:val="0"/>
          <w:numId w:val="6"/>
        </w:numPr>
      </w:pPr>
      <w:r>
        <w:t xml:space="preserve">Ficha como dispositivo que produce lo visible (Foucault) — 12</w:t>
      </w:r>
    </w:p>
    <w:p>
      <w:pPr>
        <w:pStyle w:val="BodyJ"/>
        <w:numPr>
          <w:ilvl w:val="0"/>
          <w:numId w:val="6"/>
        </w:numPr>
      </w:pPr>
      <w:r>
        <w:t xml:space="preserve">Ficha de proceso vs. ficha de resultados (los verbos del razonamiento) — 12; Taller 12B</w:t>
      </w:r>
    </w:p>
    <w:p>
      <w:pPr>
        <w:pStyle w:val="BodyJ"/>
        <w:numPr>
          <w:ilvl w:val="0"/>
          <w:numId w:val="6"/>
        </w:numPr>
      </w:pPr>
      <w:r>
        <w:t xml:space="preserve">Fichas clínicas y plantillas — 12, 16, Ap C; ficha electrónica pensada desde HII-D — 12</w:t>
      </w:r>
    </w:p>
    <w:p>
      <w:pPr>
        <w:pStyle w:val="BodyJ"/>
        <w:numPr>
          <w:ilvl w:val="0"/>
          <w:numId w:val="6"/>
        </w:numPr>
      </w:pPr>
      <w:r>
        <w:t xml:space="preserve">Formación clínica en la era de la IA (deskilling, never-skilling, mis-skilling) — 17</w:t>
      </w:r>
    </w:p>
    <w:p>
      <w:pPr>
        <w:pStyle w:val="BodyJ"/>
        <w:numPr>
          <w:ilvl w:val="0"/>
          <w:numId w:val="6"/>
        </w:numPr>
      </w:pPr>
      <w:r>
        <w:t xml:space="preserve">Fragilidad y funcionalidad como hechos clínicos — 10, 15, Ap A</w:t>
      </w:r>
    </w:p>
    <w:p>
      <w:pPr>
        <w:pStyle w:val="BodyJ"/>
        <w:numPr>
          <w:ilvl w:val="0"/>
          <w:numId w:val="6"/>
        </w:numPr>
      </w:pPr>
      <w:r>
        <w:t xml:space="preserve">Frase medular — 4, 12, C, CC (todas las viñetas); como argumento de Toulmin — 4</w:t>
      </w:r>
    </w:p>
    <w:p>
      <w:pPr>
        <w:pStyle w:val="BodyJ"/>
        <w:numPr>
          <w:ilvl w:val="0"/>
          <w:numId w:val="6"/>
        </w:numPr>
      </w:pPr>
      <w:r>
        <w:t xml:space="preserve">Frecuencias naturales — 2, 10</w:t>
      </w:r>
    </w:p>
    <w:p>
      <w:pPr>
        <w:pStyle w:val="BodyJ"/>
        <w:numPr>
          <w:ilvl w:val="0"/>
          <w:numId w:val="6"/>
        </w:numPr>
      </w:pPr>
      <w:r>
        <w:t xml:space="preserve">Fuentes del hecho clínico (matriz de procedencia) — 1</w:t>
      </w:r>
    </w:p>
    <w:p>
      <w:pPr>
        <w:pStyle w:val="BodyJ"/>
        <w:numPr>
          <w:ilvl w:val="0"/>
          <w:numId w:val="6"/>
        </w:numPr>
      </w:pPr>
      <w:r>
        <w:t xml:space="preserve">Grados de facticidad — 1</w:t>
      </w:r>
    </w:p>
    <w:p>
      <w:pPr>
        <w:pStyle w:val="BodyJ"/>
        <w:numPr>
          <w:ilvl w:val="0"/>
          <w:numId w:val="6"/>
        </w:numPr>
      </w:pPr>
      <w:r>
        <w:t xml:space="preserve">Hecho como estatus provisional (frontera hecho/inferencia) — 1</w:t>
      </w:r>
    </w:p>
    <w:p>
      <w:pPr>
        <w:pStyle w:val="BodyJ"/>
        <w:numPr>
          <w:ilvl w:val="0"/>
          <w:numId w:val="6"/>
        </w:numPr>
      </w:pPr>
      <w:r>
        <w:t xml:space="preserve">HII-D (método) — 12, 15, Ap A; auditoría de IA con — 17</w:t>
      </w:r>
    </w:p>
    <w:p>
      <w:pPr>
        <w:pStyle w:val="BodyJ"/>
        <w:numPr>
          <w:ilvl w:val="0"/>
          <w:numId w:val="6"/>
        </w:numPr>
      </w:pPr>
      <w:r>
        <w:t xml:space="preserve">Hindsight bias — 8, 11, 16, CC (viñeta 6)</w:t>
      </w:r>
    </w:p>
    <w:p>
      <w:pPr>
        <w:pStyle w:val="BodyJ"/>
        <w:numPr>
          <w:ilvl w:val="0"/>
          <w:numId w:val="6"/>
        </w:numPr>
      </w:pPr>
      <w:r>
        <w:t xml:space="preserve">Hoja de ruta para el docente (talleres por nivel) — Ap C</w:t>
      </w:r>
    </w:p>
    <w:p>
      <w:pPr>
        <w:pStyle w:val="BodyJ"/>
        <w:numPr>
          <w:ilvl w:val="0"/>
          <w:numId w:val="6"/>
        </w:numPr>
      </w:pPr>
      <w:r>
        <w:t xml:space="preserve">Humildad epistémica como motor (explorar, aprender, reenfocar) — 14</w:t>
      </w:r>
    </w:p>
    <w:p>
      <w:pPr>
        <w:pStyle w:val="BodyJ"/>
        <w:numPr>
          <w:ilvl w:val="0"/>
          <w:numId w:val="6"/>
        </w:numPr>
      </w:pPr>
      <w:r>
        <w:t xml:space="preserve">Illness scripts — 2, 6, 16</w:t>
      </w:r>
    </w:p>
    <w:p>
      <w:pPr>
        <w:pStyle w:val="BodyJ"/>
        <w:numPr>
          <w:ilvl w:val="0"/>
          <w:numId w:val="6"/>
        </w:numPr>
      </w:pPr>
      <w:r>
        <w:t xml:space="preserve">Improvisación y saber hacer (jazz; Limb y Braun) — 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 CC (viñetas 6 y 8)</w:t>
      </w:r>
    </w:p>
    <w:p>
      <w:pPr>
        <w:pStyle w:val="BodyJ"/>
        <w:numPr>
          <w:ilvl w:val="0"/>
          <w:numId w:val="6"/>
        </w:numPr>
      </w:pPr>
      <w:r>
        <w:t xml:space="preserve">Inteligencia artificial: rol diagnóstico y terapéutico, catálogo de riesgos, defensas — 17</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9</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9</w:t>
      </w:r>
    </w:p>
    <w:p>
      <w:pPr>
        <w:pStyle w:val="BodyJ"/>
        <w:numPr>
          <w:ilvl w:val="0"/>
          <w:numId w:val="6"/>
        </w:numPr>
      </w:pPr>
      <w:r>
        <w:t xml:space="preserve">Medicina basada en evidencia — 9</w:t>
      </w:r>
    </w:p>
    <w:p>
      <w:pPr>
        <w:pStyle w:val="BodyJ"/>
        <w:numPr>
          <w:ilvl w:val="0"/>
          <w:numId w:val="6"/>
        </w:numPr>
      </w:pPr>
      <w:r>
        <w:t xml:space="preserve">Mente del principiante (Zen, shoshin) — 8</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monitoreo y control — 5; social (señales del equipo y del paciente) — 5, 13; sensibilidad vs. sesgo — Int, 5; auditoría de salidas de IA — 17</w:t>
      </w:r>
    </w:p>
    <w:p>
      <w:pPr>
        <w:pStyle w:val="BodyJ"/>
        <w:numPr>
          <w:ilvl w:val="0"/>
          <w:numId w:val="6"/>
        </w:numPr>
      </w:pPr>
      <w:r>
        <w:t xml:space="preserve">Miedo y decisión (documentación defensiva, sobreestudio) — 3, 14</w:t>
      </w:r>
    </w:p>
    <w:p>
      <w:pPr>
        <w:pStyle w:val="BodyJ"/>
        <w:numPr>
          <w:ilvl w:val="0"/>
          <w:numId w:val="6"/>
        </w:numPr>
      </w:pPr>
      <w:r>
        <w:t xml:space="preserve">Modelo de Toulmin (dato, garantía, calificador, refutación) — 4</w:t>
      </w:r>
    </w:p>
    <w:p>
      <w:pPr>
        <w:pStyle w:val="BodyJ"/>
        <w:numPr>
          <w:ilvl w:val="0"/>
          <w:numId w:val="6"/>
        </w:numPr>
      </w:pPr>
      <w:r>
        <w:t xml:space="preserve">Nota clínica generada por IA (degradación del registro) — 17</w:t>
      </w:r>
    </w:p>
    <w:p>
      <w:pPr>
        <w:pStyle w:val="BodyJ"/>
        <w:numPr>
          <w:ilvl w:val="0"/>
          <w:numId w:val="6"/>
        </w:numPr>
      </w:pPr>
      <w:r>
        <w:t xml:space="preserve">Nota de enfermería como hecho clínico — 13</w:t>
      </w:r>
    </w:p>
    <w:p>
      <w:pPr>
        <w:pStyle w:val="BodyJ"/>
        <w:numPr>
          <w:ilvl w:val="0"/>
          <w:numId w:val="6"/>
        </w:numPr>
      </w:pPr>
      <w:r>
        <w:t xml:space="preserve">Objetividad entre paréntesis y observador (Maturana) — 1; emociones como dominio de acción — 8</w:t>
      </w:r>
    </w:p>
    <w:p>
      <w:pPr>
        <w:pStyle w:val="BodyJ"/>
        <w:numPr>
          <w:ilvl w:val="0"/>
          <w:numId w:val="6"/>
        </w:numPr>
      </w:pPr>
      <w:r>
        <w:t xml:space="preserve">Observación activa — 11</w:t>
      </w:r>
    </w:p>
    <w:p>
      <w:pPr>
        <w:pStyle w:val="BodyJ"/>
        <w:numPr>
          <w:ilvl w:val="0"/>
          <w:numId w:val="6"/>
        </w:numPr>
      </w:pPr>
      <w:r>
        <w:t xml:space="preserve">Paradoja de la automatización — 17</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Poesía y juicio clínico (Huidobro, Parra; belleza como señal y trampa) — 18</w:t>
      </w:r>
    </w:p>
    <w:p>
      <w:pPr>
        <w:pStyle w:val="BodyJ"/>
        <w:numPr>
          <w:ilvl w:val="0"/>
          <w:numId w:val="6"/>
        </w:numPr>
      </w:pPr>
      <w:r>
        <w:t xml:space="preserve">Preguntas para la próxima visita (reunidas) — Ap D</w:t>
      </w:r>
    </w:p>
    <w:p>
      <w:pPr>
        <w:pStyle w:val="BodyJ"/>
        <w:numPr>
          <w:ilvl w:val="0"/>
          <w:numId w:val="6"/>
        </w:numPr>
      </w:pPr>
      <w:r>
        <w:t xml:space="preserve">Pronóstico e incertidumbre de plazo — CC (viñeta 5)</w:t>
      </w:r>
    </w:p>
    <w:p>
      <w:pPr>
        <w:pStyle w:val="BodyJ"/>
        <w:numPr>
          <w:ilvl w:val="0"/>
          <w:numId w:val="6"/>
        </w:numPr>
      </w:pPr>
      <w:r>
        <w:t xml:space="preserve">Proporcionalidad terapéutica (Taboada) — 10, 15, CC (viñeta 5)</w:t>
      </w:r>
    </w:p>
    <w:p>
      <w:pPr>
        <w:pStyle w:val="BodyJ"/>
        <w:numPr>
          <w:ilvl w:val="0"/>
          <w:numId w:val="6"/>
        </w:numPr>
      </w:pPr>
      <w:r>
        <w:t xml:space="preserve">Proteína C reactiva: cinética y lectura temporal — 11, 12</w:t>
      </w:r>
    </w:p>
    <w:p>
      <w:pPr>
        <w:pStyle w:val="BodyJ"/>
        <w:numPr>
          <w:ilvl w:val="0"/>
          <w:numId w:val="6"/>
        </w:numPr>
      </w:pPr>
      <w:r>
        <w:t xml:space="preserve">Prueba de Parra (Taller 18) — 18</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Reglas de decisión clínica (PERC) y umbral — CC (viñeta 6)</w:t>
      </w:r>
    </w:p>
    <w:p>
      <w:pPr>
        <w:pStyle w:val="BodyJ"/>
        <w:numPr>
          <w:ilvl w:val="0"/>
          <w:numId w:val="6"/>
        </w:numPr>
      </w:pPr>
      <w:r>
        <w:t xml:space="preserve">Representación del problema — Int, 2, 8, 16</w:t>
      </w:r>
    </w:p>
    <w:p>
      <w:pPr>
        <w:pStyle w:val="BodyJ"/>
        <w:numPr>
          <w:ilvl w:val="0"/>
          <w:numId w:val="6"/>
        </w:numPr>
      </w:pPr>
      <w:r>
        <w:t xml:space="preserve">Riesgo inductivo (Rudner, Douglas) — 10</w:t>
      </w:r>
    </w:p>
    <w:p>
      <w:pPr>
        <w:pStyle w:val="BodyJ"/>
        <w:numPr>
          <w:ilvl w:val="0"/>
          <w:numId w:val="6"/>
        </w:numPr>
      </w:pPr>
      <w:r>
        <w:t xml:space="preserve">Safety-netting — 11, CC (viñetas 3, 4 y 7)</w:t>
      </w:r>
    </w:p>
    <w:p>
      <w:pPr>
        <w:pStyle w:val="BodyJ"/>
        <w:numPr>
          <w:ilvl w:val="0"/>
          <w:numId w:val="6"/>
        </w:numPr>
      </w:pPr>
      <w:r>
        <w:t xml:space="preserve">Segunda víctima — 14</w:t>
      </w:r>
    </w:p>
    <w:p>
      <w:pPr>
        <w:pStyle w:val="BodyJ"/>
        <w:numPr>
          <w:ilvl w:val="0"/>
          <w:numId w:val="6"/>
        </w:numPr>
      </w:pPr>
      <w:r>
        <w:t xml:space="preserve">Sesgo algorítmico (Obermeyer) — 17</w:t>
      </w:r>
    </w:p>
    <w:p>
      <w:pPr>
        <w:pStyle w:val="BodyJ"/>
        <w:numPr>
          <w:ilvl w:val="0"/>
          <w:numId w:val="6"/>
        </w:numPr>
      </w:pPr>
      <w:r>
        <w:t xml:space="preserve">Sesgo de automatización (Goddard) — 17</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Tarjeta HII-D en sesenta segundos — última página</w:t>
      </w:r>
    </w:p>
    <w:p>
      <w:pPr>
        <w:pStyle w:val="BodyJ"/>
        <w:numPr>
          <w:ilvl w:val="0"/>
          <w:numId w:val="6"/>
        </w:numPr>
      </w:pPr>
      <w:r>
        <w:t xml:space="preserve">Testimonio del paciente — 1, 14; epistemología del testimonio (Coady, Lackey) — 14; testimonio de terceros y cuidadores — CC (viñeta 7)</w:t>
      </w:r>
    </w:p>
    <w:p>
      <w:pPr>
        <w:pStyle w:val="BodyJ"/>
        <w:numPr>
          <w:ilvl w:val="0"/>
          <w:numId w:val="6"/>
        </w:numPr>
      </w:pPr>
      <w:r>
        <w:t xml:space="preserve">Trayectoria del error (estaciones y barreras) — 7</w:t>
      </w:r>
    </w:p>
    <w:p>
      <w:pPr>
        <w:pStyle w:val="BodyJ"/>
        <w:numPr>
          <w:ilvl w:val="0"/>
          <w:numId w:val="6"/>
        </w:numPr>
      </w:pPr>
      <w:r>
        <w:t xml:space="preserve">Trayectoria y temporalidad — 11, Interludio I</w:t>
      </w:r>
    </w:p>
    <w:p>
      <w:pPr>
        <w:pStyle w:val="BodyJ"/>
        <w:numPr>
          <w:ilvl w:val="0"/>
          <w:numId w:val="6"/>
        </w:numPr>
      </w:pPr>
      <w:r>
        <w:t xml:space="preserve">Umbral y geografía (hospital insular, evacuación aeromédica) — 11</w:t>
      </w:r>
    </w:p>
    <w:p>
      <w:pPr>
        <w:pStyle w:val="BodyJ"/>
        <w:numPr>
          <w:ilvl w:val="0"/>
          <w:numId w:val="6"/>
        </w:numPr>
      </w:pPr>
      <w:r>
        <w:t xml:space="preserve">Umbrales de decisión — 10, Interludio III, CC (viñeta 3)</w:t>
      </w:r>
    </w:p>
    <w:p>
      <w:pPr>
        <w:pStyle w:val="BodyJ"/>
        <w:numPr>
          <w:ilvl w:val="0"/>
          <w:numId w:val="6"/>
        </w:numPr>
      </w:pPr>
      <w:r>
        <w:t xml:space="preserve">Validación local y monitoreo de herramientas de IA — 17</w:t>
      </w:r>
    </w:p>
    <w:p>
      <w:pPr>
        <w:pStyle w:val="BodyJ"/>
        <w:numPr>
          <w:ilvl w:val="0"/>
          <w:numId w:val="6"/>
        </w:numPr>
      </w:pPr>
      <w:r>
        <w:t xml:space="preserve">Validez del entorno e intuición (Kahneman y Klein) — 6</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Lista de figuras</w:t>
      </w:r>
    </w:p>
    <w:p>
      <w:pPr>
        <w:pStyle w:val="BodyJ"/>
        <w:numPr>
          <w:ilvl w:val="0"/>
          <w:numId w:val="6"/>
        </w:numPr>
      </w:pPr>
      <w:r>
        <w:t xml:space="preserve">Figura 1. Mapa del libro (Cómo leer este libro).</w:t>
      </w:r>
    </w:p>
    <w:p>
      <w:pPr>
        <w:pStyle w:val="BodyJ"/>
        <w:numPr>
          <w:ilvl w:val="0"/>
          <w:numId w:val="6"/>
        </w:numPr>
      </w:pPr>
      <w:r>
        <w:t xml:space="preserve">Figura 2. Las cuatro capas del conocimiento clínico, la franja de incertidumbre que las atraviesa y el circuito de reevaluación que vuelve a la pregunta y a los hechos (Introducción).</w:t>
      </w:r>
    </w:p>
    <w:p>
      <w:pPr>
        <w:pStyle w:val="BodyJ"/>
        <w:numPr>
          <w:ilvl w:val="0"/>
          <w:numId w:val="6"/>
        </w:numPr>
      </w:pPr>
      <w:r>
        <w:t xml:space="preserve">Figura 3. Fuentes del hecho clínico (Capítulo 1).</w:t>
      </w:r>
    </w:p>
    <w:p>
      <w:pPr>
        <w:pStyle w:val="BodyJ"/>
        <w:numPr>
          <w:ilvl w:val="0"/>
          <w:numId w:val="6"/>
        </w:numPr>
      </w:pPr>
      <w:r>
        <w:t xml:space="preserve">Figura 4. Un mapa de la incertidumbre clínica (adaptado de la taxonomía de Han et al.) (Capítulo 3).</w:t>
      </w:r>
    </w:p>
    <w:p>
      <w:pPr>
        <w:pStyle w:val="BodyJ"/>
        <w:numPr>
          <w:ilvl w:val="0"/>
          <w:numId w:val="6"/>
        </w:numPr>
      </w:pPr>
      <w:r>
        <w:t xml:space="preserve">Figura 5. La frase medular como argumento de Toulmin (Capítulo 4).</w:t>
      </w:r>
    </w:p>
    <w:p>
      <w:pPr>
        <w:pStyle w:val="BodyJ"/>
        <w:numPr>
          <w:ilvl w:val="0"/>
          <w:numId w:val="6"/>
        </w:numPr>
      </w:pPr>
      <w:r>
        <w:t xml:space="preserve">Figura 6. El modelo de dos niveles de Nelson y Narens (Capítulo 5).</w:t>
      </w:r>
    </w:p>
    <w:p>
      <w:pPr>
        <w:pStyle w:val="BodyJ"/>
        <w:numPr>
          <w:ilvl w:val="0"/>
          <w:numId w:val="6"/>
        </w:numPr>
      </w:pPr>
      <w:r>
        <w:t xml:space="preserve">Figura 7. Curva de calibración (Capítulo 5).</w:t>
      </w:r>
    </w:p>
    <w:p>
      <w:pPr>
        <w:pStyle w:val="BodyJ"/>
        <w:numPr>
          <w:ilvl w:val="0"/>
          <w:numId w:val="6"/>
        </w:numPr>
      </w:pPr>
      <w:r>
        <w:t xml:space="preserve">Figura 8. El error como trayectoria (Capítulo 7).</w:t>
      </w:r>
    </w:p>
    <w:p>
      <w:pPr>
        <w:pStyle w:val="BodyJ"/>
        <w:numPr>
          <w:ilvl w:val="0"/>
          <w:numId w:val="6"/>
        </w:numPr>
      </w:pPr>
      <w:r>
        <w:t xml:space="preserve">Figura 9. Una década sobre un mismo dato (Capítulo 9).</w:t>
      </w:r>
    </w:p>
    <w:p>
      <w:pPr>
        <w:pStyle w:val="BodyJ"/>
        <w:numPr>
          <w:ilvl w:val="0"/>
          <w:numId w:val="6"/>
        </w:numPr>
      </w:pPr>
      <w:r>
        <w:t xml:space="preserve">Figura 10. El enfoque de umbrales de Pauker y Kassirer (Capítulo 10).</w:t>
      </w:r>
    </w:p>
    <w:p>
      <w:pPr>
        <w:pStyle w:val="BodyJ"/>
        <w:numPr>
          <w:ilvl w:val="0"/>
          <w:numId w:val="6"/>
        </w:numPr>
      </w:pPr>
      <w:r>
        <w:t xml:space="preserve">Figura 11. La línea de tiempo de Carmen y el umbral que se mueve (Capítulo 10).</w:t>
      </w:r>
    </w:p>
    <w:p>
      <w:pPr>
        <w:pStyle w:val="BodyJ"/>
        <w:numPr>
          <w:ilvl w:val="0"/>
          <w:numId w:val="6"/>
        </w:numPr>
      </w:pPr>
      <w:r>
        <w:t xml:space="preserve">Figura 12. El cálculo del Taller 10 en frecuencias naturales (Capítulo 10).</w:t>
      </w:r>
    </w:p>
    <w:p>
      <w:pPr>
        <w:pStyle w:val="BodyJ"/>
        <w:numPr>
          <w:ilvl w:val="0"/>
          <w:numId w:val="6"/>
        </w:numPr>
      </w:pPr>
      <w:r>
        <w:t xml:space="preserve">Figura 13. El viaje de una frase (Capítulo 12).</w:t>
      </w:r>
    </w:p>
    <w:p>
      <w:pPr>
        <w:pStyle w:val="BodyJ"/>
        <w:numPr>
          <w:ilvl w:val="0"/>
          <w:numId w:val="6"/>
        </w:numPr>
      </w:pPr>
      <w:r>
        <w:t xml:space="preserve">Figura 14. El método HII-D en una página (Capítulo 15).</w:t>
      </w:r>
    </w:p>
    <w:p>
      <w:pPr>
        <w:pStyle w:val="BodyJ"/>
        <w:numPr>
          <w:ilvl w:val="0"/>
          <w:numId w:val="6"/>
        </w:numPr>
      </w:pPr>
      <w:r>
        <w:t xml:space="preserve">Figura 15. Parentescos: cada riesgo de la IA clínica junto al sesgo que este libro ya había descrito (Capítulo 17).</w:t>
      </w:r>
    </w:p>
    <w:p>
      <w:pPr>
        <w:pStyle w:val="Heading1"/>
        <w:pageBreakBefore/>
        <w:spacing w:after="320" w:before="720"/>
      </w:pPr>
      <w:r>
        <w:rPr>
          <w:rFonts w:ascii="Georgia" w:cs="Georgia" w:eastAsia="Georgia" w:hAnsi="Georgia"/>
          <w:b/>
          <w:bCs/>
          <w:color w:val="2B2B2B"/>
          <w:sz w:val="34"/>
          <w:szCs w:val="34"/>
        </w:rPr>
        <w:t xml:space="preserve">Nota metodológica y estatuto de las afirmaciones</w:t>
      </w:r>
    </w:p>
    <w:p>
      <w:pPr>
        <w:pStyle w:val="BodyJ"/>
      </w:pPr>
      <w:r>
        <w:rPr>
          <w:b/>
          <w:bCs/>
        </w:rPr>
        <w:t xml:space="preserve">Naturaleza de la obra.</w:t>
      </w:r>
      <w:r>
        <w:t xml:space="preserve"> Este libro es un ensayo académico de integración científico-filosófica dirigido a profesionales clínicos. No es una revisión sistemática, ni una guía clínica, ni contiene instrumentos validados.</w:t>
      </w:r>
    </w:p>
    <w:p>
      <w:pPr>
        <w:pStyle w:val="BodyJ"/>
      </w:pPr>
      <w:r>
        <w:rPr>
          <w:b/>
          <w:bCs/>
        </w:rPr>
        <w:t xml:space="preserve">Estrategia bibliográfica.</w:t>
      </w:r>
      <w:r>
        <w:t xml:space="preserve"> Las fuentes provienen de tres cuerpos: investigación biomédica y de razonamiento clínico, filosofía de la ciencia y epistemología, y educación médica. Se privilegiaron fuentes primarias y revisiones reconocidas; el período cubierto llega hasta el cierre bibliográfico, en octubre de 2026. Durante la redacción se aplicó una regla fija: ninguna referencia entró al manuscrito sin verificación previa contra su fuente — autoría, año, revista y resultado. No se pretende exhaustividad sistemática: la selección sirve al argumento y se declara como tal.</w:t>
      </w:r>
    </w:p>
    <w:p>
      <w:pPr>
        <w:pStyle w:val="BodyJ"/>
      </w:pPr>
      <w:r>
        <w:rPr>
          <w:b/>
          <w:bCs/>
        </w:rPr>
        <w:t xml:space="preserve">Estatuto de las afirmaciones.</w:t>
      </w:r>
      <w:r>
        <w:t xml:space="preserve"> El lector encontrará seis clases de enunciados, y el texto procura que cada uno se presente como lo que es: resultados verificados de fuentes primarias, citados con autor y año; conclusiones de revisiones o consensos; argumentos filosóficos, atribuidos a sus autores; experiencia autoral, narrada en primera persona; ejemplos docentes construidos, señalados como tales («en ejercicios docentes suele observarse…»); y propuestas originales del libro — la densidad epistémica, la frase medular y el método HII-D —, que no deben leerse como hallazgos sino como hipótesis de trabajo.</w:t>
      </w:r>
    </w:p>
    <w:p>
      <w:pPr>
        <w:pStyle w:val="BodyJ"/>
      </w:pPr>
      <w:r>
        <w:rPr>
          <w:b/>
          <w:bCs/>
        </w:rPr>
        <w:t xml:space="preserve">Los casos.</w:t>
      </w:r>
      <w:r>
        <w:t xml:space="preserve"> Las escenas clínicas de este libro — Carmen, los interludios, las viñetas y los pasajes en primera persona — son composiciones docentes en el sentido declarado en la página legal: condensan experiencias reales y situaciones compuestas, sin reproducir episodios literales ni permitir identificación de personas o instituciones.</w:t>
      </w:r>
    </w:p>
    <w:p>
      <w:pPr>
        <w:pStyle w:val="BodyJ"/>
      </w:pPr>
      <w:r>
        <w:rPr>
          <w:b/>
          <w:bCs/>
        </w:rPr>
        <w:t xml:space="preserve">Uso de inteligencia artificial.</w:t>
      </w:r>
      <w:r>
        <w:t xml:space="preserve"> Este manuscrito se desarrolló a partir de ideas y formulaciones del autor, con asistencia de inteligencia artificial en búsqueda inicial, organización, comparación bibliográfica, apoyo en redacción y edición. La IA no sustituyó la verificación de fuentes, el juicio clínico, la autoría ni la responsabilidad: las tesis, las decisiones de contenido y los errores pertenecen al autor. El libro intenta aplicar a su propia escritura la disciplina que su capítulo 17 recomienda.</w:t>
      </w:r>
    </w:p>
    <w:p>
      <w:pPr>
        <w:pStyle w:val="BodyJ"/>
      </w:pPr>
      <w:r>
        <w:rPr>
          <w:b/>
          <w:bCs/>
        </w:rPr>
        <w:t xml:space="preserve">Verificación de las referencias.</w:t>
      </w:r>
      <w:r>
        <w:t xml:space="preserve"> Cada referencia se cotejó contra su fuente primaria antes de citarse, y el registro de ese cotejo —cifra por cifra— acompaña a las fuentes del libro. Cuatro se verificaron sólo por metadatos o por fuentes secundarias, y el lector debe saberlo: Estrada, Isen y Young (1997), cuyo texto completo no estuvo accesible, por lo que el hallazgo se enuncia tal como lo formula el título y sin cifras; la frase de Maturana (1970), tomada de su reimpresión y de </w:t>
      </w:r>
      <w:r>
        <w:rPr>
          <w:i/>
          <w:iCs/>
        </w:rPr>
        <w:t xml:space="preserve">El árbol del conocimiento</w:t>
      </w:r>
      <w:r>
        <w:t xml:space="preserve">; la cita de Suzuki (1970), confirmada contra la edición y no contra una copia del prólogo; y la localización de la tesis de Clifford (1877), tomada de la </w:t>
      </w:r>
      <w:r>
        <w:rPr>
          <w:i/>
          <w:iCs/>
        </w:rPr>
        <w:t xml:space="preserve">Stanford Encyclopedia of Philosophy</w:t>
      </w:r>
      <w:r>
        <w:t xml:space="preserve"> y no del volumen original de la </w:t>
      </w:r>
      <w:r>
        <w:rPr>
          <w:i/>
          <w:iCs/>
        </w:rPr>
        <w:t xml:space="preserve">Contemporary Review</w:t>
      </w:r>
      <w:r>
        <w:t xml:space="preserve">. Ninguna de ellas sostiene por sí sola una cifra ni una conducta. La distribución de citas es plana: de las 210 citas del cuerpo, ningún autor supera el 4%, y Croskerry, Norman y Kahneman —las voces dominantes de la literatura sobre razonamiento clínico— suman el 8%. Las referencias con siete o más autores listan los seis primeros seguidos de «et al.»; los ensayos firmados por un grupo conservan el nombre del grupo.</w:t>
      </w:r>
    </w:p>
    <w:p>
      <w:pPr>
        <w:pStyle w:val="BodyJ"/>
      </w:pPr>
      <w:r>
        <w:rPr>
          <w:b/>
          <w:bCs/>
        </w:rPr>
        <w:t xml:space="preserve">HII-D.</w:t>
      </w:r>
      <w:r>
        <w:t xml:space="preserve"> Es una heurística conceptual no validada. Sus compromisos de falsabilidad están en el capítulo 15 («Qué evidencia me haría abandonar este método»); su evaluación empírica — concordancia entre lectores, efecto sobre la reconstrucción del razonamiento y sobre conductas medibles, y costo en tiempo — es un programa pendiente, no un resultado.</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Abdulnour, R.-E. E., Gin, B., &amp; Boscardin, C. K. (2025). Educational strategies for clinical supervision of artificial intelligence use. </w:t>
      </w:r>
      <w:r>
        <w:rPr>
          <w:i/>
          <w:iCs/>
        </w:rPr>
        <w:t xml:space="preserve">New England Journal of Medicine, 393</w:t>
      </w:r>
      <w:r>
        <w:t xml:space="preserve">(8), 786–797.</w:t>
      </w:r>
    </w:p>
    <w:p>
      <w:pPr>
        <w:pStyle w:val="BodyJ"/>
      </w:pPr>
      <w:r>
        <w:t xml:space="preserve">Abdulnour, R.-E. E., Akbarialiabad, H., Haghighi, A., &amp; Leachman, S. A. (2026). Crew resource management — Navigating AI's automation paradox. </w:t>
      </w:r>
      <w:r>
        <w:rPr>
          <w:i/>
          <w:iCs/>
        </w:rPr>
        <w:t xml:space="preserve">New England Journal of Medicine, 395</w:t>
      </w:r>
      <w:r>
        <w:t xml:space="preserve">(8), 731–734.</w:t>
      </w:r>
    </w:p>
    <w:p>
      <w:pPr>
        <w:pStyle w:val="BodyJ"/>
      </w:pPr>
      <w:r>
        <w:t xml:space="preserve">Akram, A. R., Chalmers, J. D., Taylor, J. K., Rutherford, J., Singanayagam, A., &amp; Hill, A. T. (2013). An evaluation of clinical stability criteria to predict hospital course in community-acquired pneumonia. </w:t>
      </w:r>
      <w:r>
        <w:rPr>
          <w:i/>
          <w:iCs/>
        </w:rPr>
        <w:t xml:space="preserve">Clinical Microbiology and Infection, 19</w:t>
      </w:r>
      <w:r>
        <w:t xml:space="preserve">(12), 1174–1180.</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Aristóteles. (1985). </w:t>
      </w:r>
      <w:r>
        <w:rPr>
          <w:i/>
          <w:iCs/>
        </w:rPr>
        <w:t xml:space="preserve">Ética nicomáquea; Ética eudemia</w:t>
      </w:r>
      <w:r>
        <w:t xml:space="preserve"> (J. Pallí Bonet, Trad.; introd. E. Lledó). Gredos.</w:t>
      </w:r>
    </w:p>
    <w:p>
      <w:pPr>
        <w:pStyle w:val="BodyJ"/>
      </w:pPr>
      <w:r>
        <w:t xml:space="preserve">Austin, J. L. (1962). </w:t>
      </w:r>
      <w:r>
        <w:rPr>
          <w:i/>
          <w:iCs/>
        </w:rPr>
        <w:t xml:space="preserve">How to Do Things with Words</w:t>
      </w:r>
      <w:r>
        <w:t xml:space="preserve">. Clarendon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Biro, J., Handley, J. L., Cobb, N. K., Kottamasu, V., Collins, J., Krevat, S., et al. (2025). Accuracy and safety of AI-enabled scribe technology: Instrument validation study. </w:t>
      </w:r>
      <w:r>
        <w:rPr>
          <w:i/>
          <w:iCs/>
        </w:rPr>
        <w:t xml:space="preserve">Journal of Medical Internet Research, 27</w:t>
      </w:r>
      <w:r>
        <w:t xml:space="preserve">, e64993.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Budzyń, K., Romańczyk, M., Kitala, D., Kołodziej, P., Bugajski, M., Adami, H. O., et al. (2025). Endoscopist deskilling risk after exposure to artificial intelligence in colonoscopy: A multicentre, observational study. </w:t>
      </w:r>
      <w:r>
        <w:rPr>
          <w:i/>
          <w:iCs/>
        </w:rPr>
        <w:t xml:space="preserve">The Lancet Gastroenterology &amp; Hepatology, 10</w:t>
      </w:r>
      <w:r>
        <w:t xml:space="preserve">(10), 896–903.</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(1971). </w:t>
      </w:r>
      <w:r>
        <w:rPr>
          <w:i/>
          <w:iCs/>
        </w:rPr>
        <w:t xml:space="preserve">Lo normal y lo patológico</w:t>
      </w:r>
      <w:r>
        <w:t xml:space="preserve"> (R. Potschart, Trad.). Siglo XXI. (Obra original publicada en 1966).</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Casscells, W., Schoenberger, A., &amp; Graboys, T. B. (1978). Interpretation by physicians of clinical laboratory results. </w:t>
      </w:r>
      <w:r>
        <w:rPr>
          <w:i/>
          <w:iCs/>
        </w:rPr>
        <w:t xml:space="preserve">New England Journal of Medicine, 299</w:t>
      </w:r>
      <w:r>
        <w:t xml:space="preserve">(18), 999–1001.</w:t>
      </w:r>
    </w:p>
    <w:p>
      <w:pPr>
        <w:pStyle w:val="BodyJ"/>
      </w:pPr>
      <w:r>
        <w:t xml:space="preserve">Chalmers, J. D., Singanayagam, A., &amp; Hill, A. T. (2008). C-reactive protein is an independent predictor of severity in community-acquired pneumonia. </w:t>
      </w:r>
      <w:r>
        <w:rPr>
          <w:i/>
          <w:iCs/>
        </w:rPr>
        <w:t xml:space="preserve">American Journal of Medicine, 121</w:t>
      </w:r>
      <w:r>
        <w:t xml:space="preserve">(3), 219–225.</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Chaudhuri, D., Nei, A. M., Rochwerg, B., Balk, R. A., Asehnoune, K., Cadena, R., et al. (2024). 2024 focused update: Guidelines on use of corticosteroids in sepsis, acute respiratory distress syndrome, and community-acquired pneumonia. </w:t>
      </w:r>
      <w:r>
        <w:rPr>
          <w:i/>
          <w:iCs/>
        </w:rPr>
        <w:t xml:space="preserve">Critical Care Medicine, 52</w:t>
      </w:r>
      <w:r>
        <w:t xml:space="preserve">(5), e219–e233.</w:t>
      </w:r>
    </w:p>
    <w:p>
      <w:pPr>
        <w:pStyle w:val="BodyJ"/>
      </w:pPr>
      <w:r>
        <w:t xml:space="preserve">Clifford, W. K. (1877). The ethics of belief. </w:t>
      </w:r>
      <w:r>
        <w:rPr>
          <w:i/>
          <w:iCs/>
        </w:rPr>
        <w:t xml:space="preserve">Contemporary Review, 29</w:t>
      </w:r>
      <w:r>
        <w:t xml:space="preserve">, 289–309.</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Dequin, P.-F., Meziani, F., Quenot, J.-P., Kamel, T., Ricard, J.-D., Badie, J., et al. (2023). Hydrocortisone in severe community-acquired pneumonia. </w:t>
      </w:r>
      <w:r>
        <w:rPr>
          <w:i/>
          <w:iCs/>
        </w:rPr>
        <w:t xml:space="preserve">New England Journal of Medicine, 388</w:t>
      </w:r>
      <w:r>
        <w:t xml:space="preserve">(21), 1931–1941.</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Estrada, C. A., Isen, A. M., &amp; Young, M. J. (1997). Positive affect facilitates integration of information and decreases anchoring in reasoning among physicians. </w:t>
      </w:r>
      <w:r>
        <w:rPr>
          <w:i/>
          <w:iCs/>
        </w:rPr>
        <w:t xml:space="preserve">Organizational Behavior and Human Decision Processes, 72</w:t>
      </w:r>
      <w:r>
        <w:t xml:space="preserve">(1), 117–135.</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(1966). </w:t>
      </w:r>
      <w:r>
        <w:rPr>
          <w:i/>
          <w:iCs/>
        </w:rPr>
        <w:t xml:space="preserve">El nacimiento de la clínica: Una arqueología de la mirada médica</w:t>
      </w:r>
      <w:r>
        <w:t xml:space="preserve"> (F. Perujo, Trad.). Siglo XXI. (Obra original publicada en 1963).</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El estado oculto de la salud</w:t>
      </w:r>
      <w:r>
        <w:t xml:space="preserve"> (N. Machaín, Trad.). Gedisa.</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Goddard, K., Roudsari, A., &amp; Wyatt, J. C. (2012). Automation bias: A systematic review of frequency, effect mediators, and mitigators. </w:t>
      </w:r>
      <w:r>
        <w:rPr>
          <w:i/>
          <w:iCs/>
        </w:rPr>
        <w:t xml:space="preserve">Journal of the American Medical Informatics Association, 19</w:t>
      </w:r>
      <w:r>
        <w:t xml:space="preserve">(1), 121–127.</w:t>
      </w:r>
    </w:p>
    <w:p>
      <w:pPr>
        <w:pStyle w:val="BodyJ"/>
      </w:pPr>
      <w:r>
        <w:t xml:space="preserve">Goh, E., Gallo, R., Hom, J., Strong, E., Weng, Y., Kerman, H., et al. (2024). Large language model influence on diagnostic reasoning: A randomized clinical trial. </w:t>
      </w:r>
      <w:r>
        <w:rPr>
          <w:i/>
          <w:iCs/>
        </w:rPr>
        <w:t xml:space="preserve">JAMA Network Open, 7</w:t>
      </w:r>
      <w:r>
        <w:t xml:space="preserve">(10), e2440969.</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Groopman, J. (2007). </w:t>
      </w:r>
      <w:r>
        <w:rPr>
          <w:i/>
          <w:iCs/>
        </w:rPr>
        <w:t xml:space="preserve">How Doctors Think</w:t>
      </w:r>
      <w:r>
        <w:t xml:space="preserve">. Houghton Mifflin.</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Jonsen, A. R., &amp; Toulmin, S. (1988). </w:t>
      </w:r>
      <w:r>
        <w:rPr>
          <w:i/>
          <w:iCs/>
        </w:rPr>
        <w:t xml:space="preserve">The Abuse of Casuistry: A History of Moral Reasoning</w:t>
      </w:r>
      <w:r>
        <w:t xml:space="preserve">. University of California Press.</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Kahneman, D., &amp; Klein, G. (2009). Conditions for intuitive expertise: A failure to disagree. </w:t>
      </w:r>
      <w:r>
        <w:rPr>
          <w:i/>
          <w:iCs/>
        </w:rPr>
        <w:t xml:space="preserve">American Psychologist, 64</w:t>
      </w:r>
      <w:r>
        <w:t xml:space="preserve">(6), 515–526.</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Kline, J. A., Mitchell, A. M., Kabrhel, C., Richman, P. B., &amp; Courtney, D. M. (2004). Clinical criteria to prevent unnecessary diagnostic testing in emergency department patients with suspected pulmonary embolism. </w:t>
      </w:r>
      <w:r>
        <w:rPr>
          <w:i/>
          <w:iCs/>
        </w:rPr>
        <w:t xml:space="preserve">Journal of Thrombosis and Haemostasis, 2</w:t>
      </w:r>
      <w:r>
        <w:t xml:space="preserve">(8), 1247–1255.</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Krasner, M. S., Epstein, R. M., Beckman, H., Suchman, A. L., Chapman, B., Mooney, C. J., et al. (2009). Association of an educational program in mindful communication with burnout, empathy, and attitudes among primary care physicians. </w:t>
      </w:r>
      <w:r>
        <w:rPr>
          <w:i/>
          <w:iCs/>
        </w:rPr>
        <w:t xml:space="preserve">JAMA, 302</w:t>
      </w:r>
      <w:r>
        <w:t xml:space="preserve">(12), 1284–1293.</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Landrigan, C. P., Rothschild, J. M., Cronin, J. W., Kaushal, R., Burdick, E., Katz, J. T., et al. (2004). Effect of reducing interns' work hours on serious medical errors in intensive care units. </w:t>
      </w:r>
      <w:r>
        <w:rPr>
          <w:i/>
          <w:iCs/>
        </w:rPr>
        <w:t xml:space="preserve">New England Journal of Medicine, 351</w:t>
      </w:r>
      <w:r>
        <w:t xml:space="preserve">(18), 1838–1848.</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Limb, C. J., &amp; Braun, A. R. (2008). Neural substrates of spontaneous musical performance: An fMRI study of jazz improvisation. </w:t>
      </w:r>
      <w:r>
        <w:rPr>
          <w:i/>
          <w:iCs/>
        </w:rPr>
        <w:t xml:space="preserve">PLoS ONE, 3</w:t>
      </w:r>
      <w:r>
        <w:t xml:space="preserve">(2), e1679.</w:t>
      </w:r>
    </w:p>
    <w:p>
      <w:pPr>
        <w:pStyle w:val="BodyJ"/>
      </w:pPr>
      <w:r>
        <w:t xml:space="preserve">Linder, J. A., Doctor, J. N., Friedberg, M. W., Reyes Nieva, H., Birks, C., Meeker, D., et al. (2014). Time of day and the decision to prescribe antibiotics. </w:t>
      </w:r>
      <w:r>
        <w:rPr>
          <w:i/>
          <w:iCs/>
        </w:rPr>
        <w:t xml:space="preserve">JAMA Internal Medicine, 174</w:t>
      </w:r>
      <w:r>
        <w:t xml:space="preserve">(12), 2029–2031.</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et al.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Maturana, H. (1990). </w:t>
      </w:r>
      <w:r>
        <w:rPr>
          <w:i/>
          <w:iCs/>
        </w:rPr>
        <w:t xml:space="preserve">Emociones y lenguaje en educación y política</w:t>
      </w:r>
      <w:r>
        <w:t xml:space="preserve">. Hachette / CED.</w:t>
      </w:r>
    </w:p>
    <w:p>
      <w:pPr>
        <w:pStyle w:val="BodyJ"/>
      </w:pPr>
      <w:r>
        <w:t xml:space="preserve">Maturana, H. R. (1970). </w:t>
      </w:r>
      <w:r>
        <w:rPr>
          <w:i/>
          <w:iCs/>
        </w:rPr>
        <w:t xml:space="preserve">Biology of cognition</w:t>
      </w:r>
      <w:r>
        <w:t xml:space="preserve"> (BCL Report 9.0). Biological Computer Laboratory, University of Illinois. Reimpreso en H. R. Maturana &amp; F. J. Varela (1980), </w:t>
      </w:r>
      <w:r>
        <w:rPr>
          <w:i/>
          <w:iCs/>
        </w:rPr>
        <w:t xml:space="preserve">Autopoiesis and Cognition: The Realization of the Living</w:t>
      </w:r>
      <w:r>
        <w:t xml:space="preserve"> (pp. 5–58). Reidel.</w:t>
      </w:r>
    </w:p>
    <w:p>
      <w:pPr>
        <w:pStyle w:val="BodyJ"/>
      </w:pPr>
      <w:r>
        <w:t xml:space="preserve">Maturana, H., &amp; Varela, F. (1984). </w:t>
      </w:r>
      <w:r>
        <w:rPr>
          <w:i/>
          <w:iCs/>
        </w:rPr>
        <w:t xml:space="preserve">El árbol del conocimiento: Las bases biológicas del entendimiento humano</w:t>
      </w:r>
      <w:r>
        <w:t xml:space="preserve">. Editorial Universitaria.</w:t>
      </w:r>
    </w:p>
    <w:p>
      <w:pPr>
        <w:pStyle w:val="BodyJ"/>
      </w:pPr>
      <w:r>
        <w:t xml:space="preserve">McCoy, L. G., Manrai, A. K., &amp; Rodman, A. (2024). Large language models and the degradation of the medical record. </w:t>
      </w:r>
      <w:r>
        <w:rPr>
          <w:i/>
          <w:iCs/>
        </w:rPr>
        <w:t xml:space="preserve">New England Journal of Medicine, 391</w:t>
      </w:r>
      <w:r>
        <w:t xml:space="preserve">(17), 1561–1564.</w:t>
      </w:r>
    </w:p>
    <w:p>
      <w:pPr>
        <w:pStyle w:val="BodyJ"/>
      </w:pPr>
      <w:r>
        <w:t xml:space="preserve">Metlay, J. P., Waterer, G. W., Long, A. C., Anzueto, A., Brozek, J., Crothers, K., et al. (2019). Diagnosis and treatment of adults with community-acquired pneumonia: An official clinical practice guideline of the American Thoracic Society and Infectious Diseases Society of America. </w:t>
      </w:r>
      <w:r>
        <w:rPr>
          <w:i/>
          <w:iCs/>
        </w:rPr>
        <w:t xml:space="preserve">American Journal of Respiratory and Critical Care Medicine, 200</w:t>
      </w:r>
      <w:r>
        <w:t xml:space="preserve">(7), e45–e67.</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Nicolle, L. E., Gupta, K., Bradley, S. F., Colgan, R., DeMuri, G. P., Drekonja, D., et al. (2019). Clinical practice guideline for the management of asymptomatic bacteriuria: 2019 update by the Infectious Diseases Society of America. </w:t>
      </w:r>
      <w:r>
        <w:rPr>
          <w:i/>
          <w:iCs/>
        </w:rPr>
        <w:t xml:space="preserve">Clinical Infectious Diseases, 68</w:t>
      </w:r>
      <w:r>
        <w:t xml:space="preserve">(10), e83–e110.</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Obermeyer, Z., Powers, B., Vogeli, C., &amp; Mullainathan, S. (2019). Dissecting racial bias in an algorithm used to manage the health of populations. </w:t>
      </w:r>
      <w:r>
        <w:rPr>
          <w:i/>
          <w:iCs/>
        </w:rPr>
        <w:t xml:space="preserve">Science, 366</w:t>
      </w:r>
      <w:r>
        <w:t xml:space="preserve">(6464), 447–453.</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Pepys, M. B., &amp; Hirschfield, G. M. (2003). C-reactive protein: A critical update. </w:t>
      </w:r>
      <w:r>
        <w:rPr>
          <w:i/>
          <w:iCs/>
        </w:rPr>
        <w:t xml:space="preserve">Journal of Clinical Investigation, 111</w:t>
      </w:r>
      <w:r>
        <w:t xml:space="preserve">(12), 1805–1812.</w:t>
      </w:r>
    </w:p>
    <w:p>
      <w:pPr>
        <w:pStyle w:val="BodyJ"/>
      </w:pPr>
      <w:r>
        <w:t xml:space="preserve">Philibert, I. (2005). Sleep loss and performance in residents and nonphysicians: A meta-analytic examination. </w:t>
      </w:r>
      <w:r>
        <w:rPr>
          <w:i/>
          <w:iCs/>
        </w:rPr>
        <w:t xml:space="preserve">Sleep, 28</w:t>
      </w:r>
      <w:r>
        <w:t xml:space="preserve">(11), 1392–1402.</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Qazi, I. A., Ali, A., Khawaja, A. U., Akhtar, M. J., Sheikh, A. Z., &amp; Alizai, M. H. (2026). Automation bias in large language model–assisted diagnostic reasoning among physicians trained in AI literacy: A randomized clinical trial. </w:t>
      </w:r>
      <w:r>
        <w:rPr>
          <w:i/>
          <w:iCs/>
        </w:rPr>
        <w:t xml:space="preserve">NEJM AI, 3</w:t>
      </w:r>
      <w:r>
        <w:t xml:space="preserve">(5), AIoa2501001.</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et al.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et al.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Suzuki, S. (1970). </w:t>
      </w:r>
      <w:r>
        <w:rPr>
          <w:i/>
          <w:iCs/>
        </w:rPr>
        <w:t xml:space="preserve">Zen Mind, Beginner's Mind</w:t>
      </w:r>
      <w:r>
        <w:t xml:space="preserve">. Weatherhill. [Trad. esp.: </w:t>
      </w:r>
      <w:r>
        <w:rPr>
          <w:i/>
          <w:iCs/>
        </w:rPr>
        <w:t xml:space="preserve">Mente zen, mente de principiante</w:t>
      </w:r>
      <w:r>
        <w:t xml:space="preserve">.]</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Tierney, A. A., Gayre, G., Hoberman, B., Mattern, B., Ballesca, M., Kipnis, P., et al. (2024). Ambient artificial intelligence scribes to alleviate the burden of clinical documentation. </w:t>
      </w:r>
      <w:r>
        <w:rPr>
          <w:i/>
          <w:iCs/>
        </w:rPr>
        <w:t xml:space="preserve">NEJM Catalyst Innovations in Care Delivery, 5</w:t>
      </w:r>
      <w:r>
        <w:t xml:space="preserve">(3), CAT.23.0404.</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Toulmin, S. (1958). </w:t>
      </w:r>
      <w:r>
        <w:rPr>
          <w:i/>
          <w:iCs/>
        </w:rPr>
        <w:t xml:space="preserve">The Uses of Argument</w:t>
      </w:r>
      <w:r>
        <w:t xml:space="preserve">. Cambridge University Press.</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Varela, F. J. (1996). </w:t>
      </w:r>
      <w:r>
        <w:rPr>
          <w:i/>
          <w:iCs/>
        </w:rPr>
        <w:t xml:space="preserve">Ética y acción</w:t>
      </w:r>
      <w:r>
        <w:t xml:space="preserve">. Dolmen.</w:t>
      </w:r>
    </w:p>
    <w:p>
      <w:pPr>
        <w:pStyle w:val="BodyJ"/>
      </w:pPr>
      <w:r>
        <w:t xml:space="preserve">Wang, M. D., Khanna, R., &amp; Najafi, N. (2017). Characterizing the source of text in electronic health record progress notes. </w:t>
      </w:r>
      <w:r>
        <w:rPr>
          <w:i/>
          <w:iCs/>
        </w:rPr>
        <w:t xml:space="preserve">JAMA Internal Medicine, 177</w:t>
      </w:r>
      <w:r>
        <w:t xml:space="preserve">(8), 1212–1213.</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Winograd, T., &amp; Flores, F. (1986). </w:t>
      </w:r>
      <w:r>
        <w:rPr>
          <w:i/>
          <w:iCs/>
        </w:rPr>
        <w:t xml:space="preserve">Understanding Computers and Cognition: A New Foundation for Design</w:t>
      </w:r>
      <w:r>
        <w:t xml:space="preserve">. Ablex.</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Wong, A., Otles, E., Donnelly, J. P., Krumm, A., McCullough, J., DeTroyer-Cooley, O., et al. (2021). External validation of a widely implemented proprietary sepsis prediction model in hospitalized patients. </w:t>
      </w:r>
      <w:r>
        <w:rPr>
          <w:i/>
          <w:iCs/>
        </w:rPr>
        <w:t xml:space="preserve">JAMA Internal Medicine, 181</w:t>
      </w:r>
      <w:r>
        <w:t xml:space="preserve">(8), 1065–1070.</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et al.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et al.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p>
      <w:pPr>
        <w:pStyle w:val="Heading1"/>
        <w:pageBreakBefore/>
        <w:spacing w:after="320" w:before="720"/>
      </w:pPr>
      <w:r>
        <w:rPr>
          <w:rFonts w:ascii="Georgia" w:cs="Georgia" w:eastAsia="Georgia" w:hAnsi="Georgia"/>
          <w:b/>
          <w:bCs/>
          <w:color w:val="2B2B2B"/>
          <w:sz w:val="34"/>
          <w:szCs w:val="34"/>
        </w:rPr>
        <w:t xml:space="preserve">Tarjeta: HII-D en sesenta segundos</w:t>
      </w:r>
    </w:p>
    <w:p>
      <w:pPr>
        <w:pStyle w:val="BodyJ"/>
      </w:pPr>
      <w:r>
        <w:t xml:space="preserve">Para recortar y llevar en el bolsillo del delantal. Cuatro preguntas y una cláusula; en voz alta en la visita de sala o por escrito antes de firmar un alta. La versión completa está en el capítulo 15 y en el Apéndice 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HII-D en sesenta segundos</w:t>
            </w:r>
          </w:p>
        </w:tc>
      </w:tr>
      <w:tr>
        <w:tc>
          <w:tcPr>
            <w:tcW w:type="dxa" w:w="1750"/>
            <w:tcMar>
              <w:top w:type="dxa" w:w="60"/>
              <w:left w:type="dxa" w:w="100"/>
              <w:bottom w:type="dxa" w:w="60"/>
              <w:right w:type="dxa" w:w="100"/>
            </w:tcMar>
            <w:vAlign w:val="top"/>
          </w:tcPr>
          <w:p>
            <w:pPr>
              <w:spacing w:after="0"/>
            </w:pPr>
            <w:r>
              <w:rPr>
                <w:sz w:val="17"/>
                <w:szCs w:val="17"/>
              </w:rPr>
              <w:t xml:space="preserve">1. ¿Qué vi y qué me contaron?</w:t>
            </w:r>
            <w:r>
              <w:rPr>
                <w:sz w:val="17"/>
                <w:szCs w:val="17"/>
              </w:rPr>
              <w:t xml:space="preserve"> Un hecho decisivo, con fuente, hora y método.</w:t>
            </w:r>
          </w:p>
        </w:tc>
      </w:tr>
      <w:tr>
        <w:tc>
          <w:tcPr>
            <w:tcW w:type="dxa" w:w="1750"/>
            <w:tcMar>
              <w:top w:type="dxa" w:w="60"/>
              <w:left w:type="dxa" w:w="100"/>
              <w:bottom w:type="dxa" w:w="60"/>
              <w:right w:type="dxa" w:w="100"/>
            </w:tcMar>
            <w:vAlign w:val="top"/>
          </w:tcPr>
          <w:p>
            <w:pPr>
              <w:spacing w:after="0"/>
            </w:pPr>
            <w:r>
              <w:rPr>
                <w:sz w:val="17"/>
                <w:szCs w:val="17"/>
              </w:rPr>
              <w:t xml:space="preserve">2. ¿Qué creo y cuánto derecho tengo a creerlo?</w:t>
            </w:r>
            <w:r>
              <w:rPr>
                <w:sz w:val="17"/>
                <w:szCs w:val="17"/>
              </w:rPr>
              <w:t xml:space="preserve"> La inferencia con su grado: demostrado, altamente probable, probable, posible, no sustentado.</w:t>
            </w:r>
          </w:p>
        </w:tc>
      </w:tr>
      <w:tr>
        <w:tc>
          <w:tcPr>
            <w:tcW w:type="dxa" w:w="1750"/>
            <w:tcMar>
              <w:top w:type="dxa" w:w="60"/>
              <w:left w:type="dxa" w:w="100"/>
              <w:bottom w:type="dxa" w:w="60"/>
              <w:right w:type="dxa" w:w="100"/>
            </w:tcMar>
            <w:vAlign w:val="top"/>
          </w:tcPr>
          <w:p>
            <w:pPr>
              <w:spacing w:after="0"/>
            </w:pPr>
            <w:r>
              <w:rPr>
                <w:sz w:val="17"/>
                <w:szCs w:val="17"/>
              </w:rPr>
              <w:t xml:space="preserve">3. ¿Qué daño importante podría producir si estoy equivocado?</w:t>
            </w:r>
            <w:r>
              <w:rPr>
                <w:sz w:val="17"/>
                <w:szCs w:val="17"/>
              </w:rPr>
              <w:t xml:space="preserve"> La incertidumbre peligrosa, no la lista completa de dudas.</w:t>
            </w:r>
          </w:p>
        </w:tc>
      </w:tr>
      <w:tr>
        <w:tc>
          <w:tcPr>
            <w:tcW w:type="dxa" w:w="1750"/>
            <w:tcMar>
              <w:top w:type="dxa" w:w="60"/>
              <w:left w:type="dxa" w:w="100"/>
              <w:bottom w:type="dxa" w:w="60"/>
              <w:right w:type="dxa" w:w="100"/>
            </w:tcMar>
            <w:vAlign w:val="top"/>
          </w:tcPr>
          <w:p>
            <w:pPr>
              <w:spacing w:after="0"/>
            </w:pPr>
            <w:r>
              <w:rPr>
                <w:sz w:val="17"/>
                <w:szCs w:val="17"/>
              </w:rPr>
              <w:t xml:space="preserve">4. ¿Qué hago y qué me haría cambiar antes del próximo control?</w:t>
            </w:r>
            <w:r>
              <w:rPr>
                <w:sz w:val="17"/>
                <w:szCs w:val="17"/>
              </w:rPr>
              <w:t xml:space="preserve"> La decisión con su criterio de reapertura: qué cambio, quién lo detectará y cuándo.</w:t>
            </w:r>
          </w:p>
        </w:tc>
      </w:tr>
      <w:tr>
        <w:tc>
          <w:tcPr>
            <w:tcW w:type="dxa" w:w="1750"/>
            <w:tcMar>
              <w:top w:type="dxa" w:w="60"/>
              <w:left w:type="dxa" w:w="100"/>
              <w:bottom w:type="dxa" w:w="60"/>
              <w:right w:type="dxa" w:w="100"/>
            </w:tcMar>
            <w:vAlign w:val="top"/>
          </w:tcPr>
          <w:p>
            <w:pPr>
              <w:spacing w:after="0"/>
            </w:pPr>
            <w:r>
              <w:rPr>
                <w:sz w:val="17"/>
                <w:szCs w:val="17"/>
              </w:rPr>
              <w:t xml:space="preserve">Cláusula de cierre:</w:t>
            </w:r>
            <w:r>
              <w:rPr>
                <w:sz w:val="17"/>
                <w:szCs w:val="17"/>
              </w:rPr>
              <w:t xml:space="preserve"> «Reevaluar si …; responsable: …; plazo: …». Y una pregunta sobre el instrumento: ¿en qué condiciones estoy pensando esto?</w:t>
            </w:r>
          </w:p>
        </w:tc>
      </w:tr>
    </w:tbl>
    <w:p>
      <w:pPr>
        <w:spacing w:after="120"/>
      </w:pPr>
    </w:p>
    <w:p>
      <w:pPr>
        <w:pStyle w:val="BodyJ"/>
      </w:pPr>
      <w:r>
        <w:t xml:space="preserve">Léxico mínimo: demostrado · altamente probable · probable · posible · no sustentado · sin evidencia actual de · descartado, sólo con un método que excluya.</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abstractNum w:abstractNumId="29"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ce9c6a15614716687579eb9db52c2d481d4cd8c.png"/><Relationship Id="rId10" Type="http://schemas.openxmlformats.org/officeDocument/2006/relationships/image" Target="media/704413ef35eda850ea69e2ef1e71317b65997b97.png"/><Relationship Id="rId11" Type="http://schemas.openxmlformats.org/officeDocument/2006/relationships/image" Target="media/a53e3b8facc7477d003b5aa4ab87dbf2f76fb1a5.png"/><Relationship Id="rId12" Type="http://schemas.openxmlformats.org/officeDocument/2006/relationships/image" Target="media/1cba8dc84ceb4b9f7df47ad9f5782c196e7d2f84.png"/><Relationship Id="rId13" Type="http://schemas.openxmlformats.org/officeDocument/2006/relationships/image" Target="media/1775b34dd96753ca5cd57961ecce5f5404de2903.png"/><Relationship Id="rId14" Type="http://schemas.openxmlformats.org/officeDocument/2006/relationships/image" Target="media/2bab50b1883abc9ee11b062abc8c09ee708d068a.png"/><Relationship Id="rId15" Type="http://schemas.openxmlformats.org/officeDocument/2006/relationships/image" Target="media/54193483d050d12101c74d09c18ffbcea9e2f76b.png"/><Relationship Id="rId16" Type="http://schemas.openxmlformats.org/officeDocument/2006/relationships/image" Target="media/17a9ed2fda4921f76faf8097edd6aae5f8795c4e.png"/><Relationship Id="rId17" Type="http://schemas.openxmlformats.org/officeDocument/2006/relationships/image" Target="media/6053aed5214e5817ca2bc7077bedd0d598f4e04b.png"/><Relationship Id="rId18" Type="http://schemas.openxmlformats.org/officeDocument/2006/relationships/image" Target="media/1970e22e163347f285599984ecb26af3f84ccbbb.png"/><Relationship Id="rId19" Type="http://schemas.openxmlformats.org/officeDocument/2006/relationships/image" Target="media/db6a8b0a96eb70fd2d1fff7501f5acaaae3a300e.png"/><Relationship Id="rId20" Type="http://schemas.openxmlformats.org/officeDocument/2006/relationships/image" Target="media/147914b6ed22858813c6914a5f828116ebfd39b0.png"/><Relationship Id="rId21" Type="http://schemas.openxmlformats.org/officeDocument/2006/relationships/image" Target="media/8fcc67cfcb45f0b31c60e24afdc6b86c2e8dd384.png"/><Relationship Id="rId22" Type="http://schemas.openxmlformats.org/officeDocument/2006/relationships/image" Target="media/4040ee3bac2dc1ccc36a8793c1f87e53f1ba14e3.png"/><Relationship Id="rId23" Type="http://schemas.openxmlformats.org/officeDocument/2006/relationships/image" Target="media/7e4817341cb61efe50da50135ded2304f7f1e12a.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2026-10-14T07:31:18.894Z</dcterms:created>
  <dcterms:modified xsi:type="dcterms:W3CDTF">2026-10-14T07:31:18.894Z</dcterms:modified>
</cp:coreProperties>
</file>

<file path=docProps/custom.xml><?xml version="1.0" encoding="utf-8"?>
<Properties xmlns="http://schemas.openxmlformats.org/officeDocument/2006/custom-properties" xmlns:vt="http://schemas.openxmlformats.org/officeDocument/2006/docPropsVTypes"/>
</file>