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echos-inferencias-e-incertidumbre"/>
    <w:p>
      <w:pPr>
        <w:pStyle w:val="Heading1"/>
      </w:pPr>
      <w:r>
        <w:t xml:space="preserve">Hechos, inferencias e incertidumbre</w:t>
      </w:r>
    </w:p>
    <w:bookmarkStart w:id="24" w:name="X55d5b13f3a3465231d50f0407d09e294b9c62f3"/>
    <w:p>
      <w:pPr>
        <w:pStyle w:val="Heading2"/>
      </w:pPr>
      <w:r>
        <w:t xml:space="preserve">Metacognición, lenguaje y decisión clínica — dossier para prólogo</w:t>
      </w:r>
    </w:p>
    <w:p>
      <w:pPr>
        <w:pStyle w:val="FirstParagraph"/>
      </w:pPr>
      <w:r>
        <w:rPr>
          <w:bCs/>
          <w:b/>
        </w:rPr>
        <w:t xml:space="preserve">Autor:</w:t>
      </w:r>
      <w:r>
        <w:t xml:space="preserve"> </w:t>
      </w:r>
      <w:r>
        <w:t xml:space="preserve">Daniel Opazo ·</w:t>
      </w:r>
      <w:r>
        <w:t xml:space="preserve"> </w:t>
      </w:r>
      <w:r>
        <w:rPr>
          <w:bCs/>
          <w:b/>
        </w:rPr>
        <w:t xml:space="preserve">Género:</w:t>
      </w:r>
      <w:r>
        <w:t xml:space="preserve"> </w:t>
      </w:r>
      <w:r>
        <w:t xml:space="preserve">ensayo médico-epistemológico con herramientas aplicadas ·</w:t>
      </w:r>
      <w:r>
        <w:t xml:space="preserve"> </w:t>
      </w:r>
      <w:r>
        <w:rPr>
          <w:bCs/>
          <w:b/>
        </w:rPr>
        <w:t xml:space="preserve">Extensión:</w:t>
      </w:r>
      <w:r>
        <w:t xml:space="preserve"> </w:t>
      </w:r>
      <w:r>
        <w:t xml:space="preserve">~53.600 palabras (158 páginas A4 en manuscrito; 18 capítulos, 16 figuras) ·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edición de trabajo revisada, 2026 ·</w:t>
      </w:r>
      <w:r>
        <w:t xml:space="preserve"> </w:t>
      </w:r>
      <w:r>
        <w:rPr>
          <w:bCs/>
          <w:b/>
        </w:rPr>
        <w:t xml:space="preserve">Público:</w:t>
      </w:r>
      <w:r>
        <w:t xml:space="preserve"> </w:t>
      </w:r>
      <w:r>
        <w:t xml:space="preserve">médicos clínicos y residentes; legible por todo profesional de la salud.</w:t>
      </w:r>
    </w:p>
    <w:bookmarkStart w:id="20" w:name="la-tesis-en-tres-frases"/>
    <w:p>
      <w:pPr>
        <w:pStyle w:val="Heading3"/>
      </w:pPr>
      <w:r>
        <w:t xml:space="preserve">La tesis en tres frases</w:t>
      </w:r>
    </w:p>
    <w:p>
      <w:pPr>
        <w:pStyle w:val="FirstParagraph"/>
      </w:pPr>
      <w:r>
        <w:t xml:space="preserve">El conocimiento clínico está compuesto por hechos incompletos, inferencias graduadas e incertidumbre irreductible. La inteligencia médica consiste en distinguirlos, integrarlos y decidir sin convertir la probabilidad en certeza. El lenguaje clínico —la frase de la ficha, la presentación en el pase de visita— es el instrumento donde esa distinción se conserva o se destruye.</w:t>
      </w:r>
    </w:p>
    <w:bookmarkEnd w:id="20"/>
    <w:bookmarkStart w:id="21" w:name="qué-lo-diferencia"/>
    <w:p>
      <w:pPr>
        <w:pStyle w:val="Heading3"/>
      </w:pPr>
      <w:r>
        <w:t xml:space="preserve">Qué lo diferencia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 operativo, no contemplativo.</w:t>
      </w:r>
      <w:r>
        <w:t xml:space="preserve"> </w:t>
      </w:r>
      <w:r>
        <w:t xml:space="preserve">Cada capítulo termina en herramienta: un léxico de certeza con usos correctos e incorrectos, el método HII-D (hechos–inferencias–incertidumbre–decisión, con versión de 60 segundos), 18 talleres que reescriben notas clínicas reales, una guía de implementación para servicios.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Está centrado en la escritura clínica</w:t>
      </w:r>
      <w:r>
        <w:t xml:space="preserve">, un ángulo que Groopman, Croskerry y la literatura de sesgos no cubren: la evolución, la epicrisis y el pase de turno como tecnología del pensamiento colectivo.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Toma posición en los debates vivos</w:t>
      </w:r>
      <w:r>
        <w:t xml:space="preserve"> </w:t>
      </w:r>
      <w:r>
        <w:t xml:space="preserve">— declara explícitamente su lugar en la controversia Croskerry vs. Norman/Monteiro sobre si puede enseñarse a</w:t>
      </w:r>
      <w:r>
        <w:t xml:space="preserve"> </w:t>
      </w:r>
      <w:r>
        <w:t xml:space="preserve">“</w:t>
      </w:r>
      <w:r>
        <w:t xml:space="preserve">pensar mejor</w:t>
      </w:r>
      <w:r>
        <w:t xml:space="preserve">”</w:t>
      </w:r>
      <w:r>
        <w:t xml:space="preserve">, y fundamenta los umbrales de decisión en el riesgo inductivo (Rudner, Douglas).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Modela lo que predica:</w:t>
      </w:r>
      <w:r>
        <w:t xml:space="preserve"> </w:t>
      </w:r>
      <w:r>
        <w:t xml:space="preserve">presenta HII-D como heurística no validada, formula qué evidencia obligaría a abandonarlo, y declara el uso de asistencia de IA en su elaboración.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 caso longitudinal</w:t>
      </w:r>
      <w:r>
        <w:t xml:space="preserve"> </w:t>
      </w:r>
      <w:r>
        <w:t xml:space="preserve">(una paciente con obstrucciones intestinales recurrentes) atraviesa el libro completo, del ingreso a la decisión compartida, y un cuaderno de ocho viñetas —de la urgencia a las 3 AM al final de la vida— aplica el método.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Escrito en español desde la práctica hispanoamericana</w:t>
      </w:r>
      <w:r>
        <w:t xml:space="preserve">, no traducido.</w:t>
      </w:r>
    </w:p>
    <w:bookmarkEnd w:id="21"/>
    <w:bookmarkStart w:id="22" w:name="índice-condensado"/>
    <w:p>
      <w:pPr>
        <w:pStyle w:val="Heading3"/>
      </w:pPr>
      <w:r>
        <w:t xml:space="preserve">Índice condensado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Parte I. Las capas del conocimiento clínico</w:t>
      </w:r>
      <w:r>
        <w:t xml:space="preserve"> </w:t>
      </w:r>
      <w:r>
        <w:t xml:space="preserve">— el hecho y su procedencia; la inferencia abductiva; la taxonomía de la incertidumbre; lenguaje y densidad epistémica.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Parte II. La mente que se observa</w:t>
      </w:r>
      <w:r>
        <w:t xml:space="preserve"> </w:t>
      </w:r>
      <w:r>
        <w:t xml:space="preserve">— metacognición y calibración; pericia e intuición (con el saber hacer de Varela); error como trayectoria (con un error del autor analizado); cuándo desacelerar, en qué estado y con qué mente.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Parte III. Decidir en el tiempo y con otros</w:t>
      </w:r>
      <w:r>
        <w:t xml:space="preserve"> </w:t>
      </w:r>
      <w:r>
        <w:t xml:space="preserve">— la evidencia leída y traducida al caso singular; umbrales, valores y bioética; temporalidad y contrafactuales; la ficha como instrumento de pensamiento (de resultados y de proceso); equipos, desacuerdo y comunicación de incertidumbre.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Parte IV. Una epistemología operativa</w:t>
      </w:r>
      <w:r>
        <w:t xml:space="preserve"> </w:t>
      </w:r>
      <w:r>
        <w:t xml:space="preserve">— humildad epistémica y responsabilidad (pensar bien como ética primordial); el método HII-D y su falsabilidad; cuaderno de ocho casos; enseñar y organizar la metacognición clínica; la inteligencia artificial en el proceso clínico (roles, riesgos y defensas); y un cierre desde la poesía chilena: Huidobro y Parra como los dos polos de la palabra clínica.</w:t>
      </w:r>
    </w:p>
    <w:p>
      <w:pPr>
        <w:numPr>
          <w:ilvl w:val="0"/>
          <w:numId w:val="1002"/>
        </w:numPr>
        <w:pStyle w:val="Compact"/>
      </w:pPr>
      <w:r>
        <w:t xml:space="preserve">Apéndices: hoja HII-D · léxico de certeza · guía de implementación en servicio · glosario · índice analítico · ~158 referencias (de Peirce, Polanyi y Maturana a Fleming, Mamede y los ensayos sobre IA clínica).</w:t>
      </w:r>
    </w:p>
    <w:bookmarkEnd w:id="22"/>
    <w:bookmarkStart w:id="23" w:name="qué-se-solicita"/>
    <w:p>
      <w:pPr>
        <w:pStyle w:val="Heading3"/>
      </w:pPr>
      <w:r>
        <w:t xml:space="preserve">Qué se solicita</w:t>
      </w:r>
    </w:p>
    <w:p>
      <w:pPr>
        <w:pStyle w:val="FirstParagraph"/>
      </w:pPr>
      <w:r>
        <w:t xml:space="preserve">Un prólogo de</w:t>
      </w:r>
      <w:r>
        <w:t xml:space="preserve"> </w:t>
      </w:r>
      <w:r>
        <w:rPr>
          <w:bCs/>
          <w:b/>
        </w:rPr>
        <w:t xml:space="preserve">800 a 1.200 palabras</w:t>
      </w:r>
      <w:r>
        <w:t xml:space="preserve">, con</w:t>
      </w:r>
      <w:r>
        <w:t xml:space="preserve"> </w:t>
      </w:r>
      <w:r>
        <w:rPr>
          <w:bCs/>
          <w:b/>
        </w:rPr>
        <w:t xml:space="preserve">plazo flexible dentro de seis semanas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libertad total de contenido</w:t>
      </w:r>
      <w:r>
        <w:t xml:space="preserve">, crítica incluida. El manuscrito completo se envía de inmediato a quien acepte considerar la invitación. Nombre del prologuista en portada e interiores.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Daniel Opazo — [correo] — [teléfono]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2026-10-14T07:00:14Z</dcterms:created>
  <dcterms:modified xsi:type="dcterms:W3CDTF">2026-10-14T07:00:14Z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