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18</w:t>
      </w:r>
    </w:p>
    <w:p>
      <w:pPr>
        <w:pStyle w:val="TocEntry"/>
        <w:tabs>
          <w:tab w:val="right" w:pos="9026" w:leader="dot"/>
        </w:tabs>
      </w:pPr>
      <w:r>
        <w:t xml:space="preserve">Capítulo 4. Lenguaje clínico y densidad epistémica</w:t>
      </w:r>
      <w:r>
        <w:tab/>
      </w:r>
      <w:r>
        <w:rPr>
          <w:color w:val="8A8A8A"/>
        </w:rPr>
        <w:t xml:space="preserve">22</w:t>
      </w:r>
    </w:p>
    <w:p>
      <w:pPr>
        <w:pStyle w:val="TocEntry"/>
        <w:tabs>
          <w:tab w:val="right" w:pos="9026" w:leader="dot"/>
        </w:tabs>
      </w:pPr>
      <w:r>
        <w:t xml:space="preserve">Interludio I. La ficha de Carmen</w:t>
      </w:r>
      <w:r>
        <w:tab/>
      </w:r>
      <w:r>
        <w:rPr>
          <w:color w:val="8A8A8A"/>
        </w:rPr>
        <w:t xml:space="preserve">26</w:t>
      </w:r>
    </w:p>
    <w:p>
      <w:pPr>
        <w:pStyle w:val="TocPart"/>
        <w:tabs>
          <w:tab w:val="right" w:pos="9026" w:leader="dot"/>
        </w:tabs>
      </w:pPr>
      <w:r>
        <w:t xml:space="preserve">PARTE II. La mente que se observa</w:t>
      </w:r>
      <w:r>
        <w:tab/>
      </w:r>
      <w:r>
        <w:rPr>
          <w:color w:val="8A8A8A"/>
        </w:rPr>
        <w:t xml:space="preserve">27</w:t>
      </w:r>
    </w:p>
    <w:p>
      <w:pPr>
        <w:pStyle w:val="TocEntry"/>
        <w:tabs>
          <w:tab w:val="right" w:pos="9026" w:leader="dot"/>
        </w:tabs>
      </w:pPr>
      <w:r>
        <w:t xml:space="preserve">Capítulo 5. Metacognición: monitorear y regular el propio juicio</w:t>
      </w:r>
      <w:r>
        <w:tab/>
      </w:r>
      <w:r>
        <w:rPr>
          <w:color w:val="8A8A8A"/>
        </w:rPr>
        <w:t xml:space="preserve">28</w:t>
      </w:r>
    </w:p>
    <w:p>
      <w:pPr>
        <w:pStyle w:val="TocEntry"/>
        <w:tabs>
          <w:tab w:val="right" w:pos="9026" w:leader="dot"/>
        </w:tabs>
      </w:pPr>
      <w:r>
        <w:t xml:space="preserve">Capítulo 6. Pericia, intuición y conocimiento tácito</w:t>
      </w:r>
      <w:r>
        <w:tab/>
      </w:r>
      <w:r>
        <w:rPr>
          <w:color w:val="8A8A8A"/>
        </w:rPr>
        <w:t xml:space="preserve">33</w:t>
      </w:r>
    </w:p>
    <w:p>
      <w:pPr>
        <w:pStyle w:val="TocEntry"/>
        <w:tabs>
          <w:tab w:val="right" w:pos="9026" w:leader="dot"/>
        </w:tabs>
      </w:pPr>
      <w:r>
        <w:t xml:space="preserve">Capítulo 7. Error, sesgo y ecología del diagnóstico</w:t>
      </w:r>
      <w:r>
        <w:tab/>
      </w:r>
      <w:r>
        <w:rPr>
          <w:color w:val="8A8A8A"/>
        </w:rPr>
        <w:t xml:space="preserve">36</w:t>
      </w:r>
    </w:p>
    <w:p>
      <w:pPr>
        <w:pStyle w:val="TocEntry"/>
        <w:tabs>
          <w:tab w:val="right" w:pos="9026" w:leader="dot"/>
        </w:tabs>
      </w:pPr>
      <w:r>
        <w:t xml:space="preserve">Capítulo 8. Reflexión y desaceleración selectiva</w:t>
      </w:r>
      <w:r>
        <w:tab/>
      </w:r>
      <w:r>
        <w:rPr>
          <w:color w:val="8A8A8A"/>
        </w:rPr>
        <w:t xml:space="preserve">39</w:t>
      </w:r>
    </w:p>
    <w:p>
      <w:pPr>
        <w:pStyle w:val="TocEntry"/>
        <w:tabs>
          <w:tab w:val="right" w:pos="9026" w:leader="dot"/>
        </w:tabs>
      </w:pPr>
      <w:r>
        <w:t xml:space="preserve">Interludio II. Lo que el equipo pensó</w:t>
      </w:r>
      <w:r>
        <w:tab/>
      </w:r>
      <w:r>
        <w:rPr>
          <w:color w:val="8A8A8A"/>
        </w:rPr>
        <w:t xml:space="preserve">42</w:t>
      </w:r>
    </w:p>
    <w:p>
      <w:pPr>
        <w:pStyle w:val="TocPart"/>
        <w:tabs>
          <w:tab w:val="right" w:pos="9026" w:leader="dot"/>
        </w:tabs>
      </w:pPr>
      <w:r>
        <w:t xml:space="preserve">PARTE III. Decidir en el tiempo y con otros</w:t>
      </w:r>
      <w:r>
        <w:tab/>
      </w:r>
      <w:r>
        <w:rPr>
          <w:color w:val="8A8A8A"/>
        </w:rPr>
        <w:t xml:space="preserve">43</w:t>
      </w:r>
    </w:p>
    <w:p>
      <w:pPr>
        <w:pStyle w:val="TocEntry"/>
        <w:tabs>
          <w:tab w:val="right" w:pos="9026" w:leader="dot"/>
        </w:tabs>
      </w:pPr>
      <w:r>
        <w:t xml:space="preserve">Capítulo 9. De la evidencia a la decisión: poblaciones, umbrales y consecuencias</w:t>
      </w:r>
      <w:r>
        <w:tab/>
      </w:r>
      <w:r>
        <w:rPr>
          <w:color w:val="8A8A8A"/>
        </w:rPr>
        <w:t xml:space="preserve">44</w:t>
      </w:r>
    </w:p>
    <w:p>
      <w:pPr>
        <w:pStyle w:val="TocEntry"/>
        <w:tabs>
          <w:tab w:val="right" w:pos="9026" w:leader="dot"/>
        </w:tabs>
      </w:pPr>
      <w:r>
        <w:t xml:space="preserve">Capítulo 10. Temporalidad, trayectoria y razonamiento contrafactual</w:t>
      </w:r>
      <w:r>
        <w:tab/>
      </w:r>
      <w:r>
        <w:rPr>
          <w:color w:val="8A8A8A"/>
        </w:rPr>
        <w:t xml:space="preserve">51</w:t>
      </w:r>
    </w:p>
    <w:p>
      <w:pPr>
        <w:pStyle w:val="TocEntry"/>
        <w:tabs>
          <w:tab w:val="right" w:pos="9026" w:leader="dot"/>
        </w:tabs>
      </w:pPr>
      <w:r>
        <w:t xml:space="preserve">Capítulo 11. La ficha clínica como instrumento de pensamiento</w:t>
      </w:r>
      <w:r>
        <w:tab/>
      </w:r>
      <w:r>
        <w:rPr>
          <w:color w:val="8A8A8A"/>
        </w:rPr>
        <w:t xml:space="preserve">54</w:t>
      </w:r>
    </w:p>
    <w:p>
      <w:pPr>
        <w:pStyle w:val="TocEntry"/>
        <w:tabs>
          <w:tab w:val="right" w:pos="9026" w:leader="dot"/>
        </w:tabs>
      </w:pPr>
      <w:r>
        <w:t xml:space="preserve">Capítulo 12. Pensar con otros: equipos, desacuerdo y comunicación de la incertidumbre</w:t>
      </w:r>
      <w:r>
        <w:tab/>
      </w:r>
      <w:r>
        <w:rPr>
          <w:color w:val="8A8A8A"/>
        </w:rPr>
        <w:t xml:space="preserve">58</w:t>
      </w:r>
    </w:p>
    <w:p>
      <w:pPr>
        <w:pStyle w:val="TocEntry"/>
        <w:tabs>
          <w:tab w:val="right" w:pos="9026" w:leader="dot"/>
        </w:tabs>
      </w:pPr>
      <w:r>
        <w:t xml:space="preserve">Interludio III. La decisión de Carmen</w:t>
      </w:r>
      <w:r>
        <w:tab/>
      </w:r>
      <w:r>
        <w:rPr>
          <w:color w:val="8A8A8A"/>
        </w:rPr>
        <w:t xml:space="preserve">63</w:t>
      </w:r>
    </w:p>
    <w:p>
      <w:pPr>
        <w:pStyle w:val="TocPart"/>
        <w:tabs>
          <w:tab w:val="right" w:pos="9026" w:leader="dot"/>
        </w:tabs>
      </w:pPr>
      <w:r>
        <w:t xml:space="preserve">PARTE IV. Una epistemología operativa</w:t>
      </w:r>
      <w:r>
        <w:tab/>
      </w:r>
      <w:r>
        <w:rPr>
          <w:color w:val="8A8A8A"/>
        </w:rPr>
        <w:t xml:space="preserve">64</w:t>
      </w:r>
    </w:p>
    <w:p>
      <w:pPr>
        <w:pStyle w:val="TocEntry"/>
        <w:tabs>
          <w:tab w:val="right" w:pos="9026" w:leader="dot"/>
        </w:tabs>
      </w:pPr>
      <w:r>
        <w:t xml:space="preserve">Capítulo 13. Inteligencia artificial como espejo del razonamiento</w:t>
      </w:r>
      <w:r>
        <w:tab/>
      </w:r>
      <w:r>
        <w:rPr>
          <w:color w:val="8A8A8A"/>
        </w:rPr>
        <w:t xml:space="preserve">65</w:t>
      </w:r>
    </w:p>
    <w:p>
      <w:pPr>
        <w:pStyle w:val="TocEntry"/>
        <w:tabs>
          <w:tab w:val="right" w:pos="9026" w:leader="dot"/>
        </w:tabs>
      </w:pPr>
      <w:r>
        <w:t xml:space="preserve">Capítulo 14. Humildad epistémica y responsabilidad clínica</w:t>
      </w:r>
      <w:r>
        <w:tab/>
      </w:r>
      <w:r>
        <w:rPr>
          <w:color w:val="8A8A8A"/>
        </w:rPr>
        <w:t xml:space="preserve">68</w:t>
      </w:r>
    </w:p>
    <w:p>
      <w:pPr>
        <w:pStyle w:val="TocEntry"/>
        <w:tabs>
          <w:tab w:val="right" w:pos="9026" w:leader="dot"/>
        </w:tabs>
      </w:pPr>
      <w:r>
        <w:t xml:space="preserve">Capítulo 15. El método HII-D: una epistemología operativa</w:t>
      </w:r>
      <w:r>
        <w:tab/>
      </w:r>
      <w:r>
        <w:rPr>
          <w:color w:val="8A8A8A"/>
        </w:rPr>
        <w:t xml:space="preserve">72</w:t>
      </w:r>
    </w:p>
    <w:p>
      <w:pPr>
        <w:pStyle w:val="TocEntry"/>
        <w:tabs>
          <w:tab w:val="right" w:pos="9026" w:leader="dot"/>
        </w:tabs>
      </w:pPr>
      <w:r>
        <w:t xml:space="preserve">Cuaderno de casos. Ocho viñetas para una lectura metacognitiva</w:t>
      </w:r>
      <w:r>
        <w:tab/>
      </w:r>
      <w:r>
        <w:rPr>
          <w:color w:val="8A8A8A"/>
        </w:rPr>
        <w:t xml:space="preserve">78</w:t>
      </w:r>
    </w:p>
    <w:p>
      <w:pPr>
        <w:pStyle w:val="TocEntry"/>
        <w:tabs>
          <w:tab w:val="right" w:pos="9026" w:leader="dot"/>
        </w:tabs>
      </w:pPr>
      <w:r>
        <w:t xml:space="preserve">Capítulo 16. Enseñar y organizar la metacognición clínica</w:t>
      </w:r>
      <w:r>
        <w:tab/>
      </w:r>
      <w:r>
        <w:rPr>
          <w:color w:val="8A8A8A"/>
        </w:rPr>
        <w:t xml:space="preserve">85</w:t>
      </w:r>
    </w:p>
    <w:p>
      <w:pPr>
        <w:pStyle w:val="TocPart"/>
        <w:tabs>
          <w:tab w:val="right" w:pos="9026" w:leader="dot"/>
        </w:tabs>
      </w:pPr>
      <w:r>
        <w:t xml:space="preserve">Conclusión. Una medicina lúcida</w:t>
      </w:r>
      <w:r>
        <w:tab/>
      </w:r>
      <w:r>
        <w:rPr>
          <w:color w:val="8A8A8A"/>
        </w:rPr>
        <w:t xml:space="preserve">89</w:t>
      </w:r>
    </w:p>
    <w:p>
      <w:pPr>
        <w:pStyle w:val="TocPart"/>
        <w:tabs>
          <w:tab w:val="right" w:pos="9026" w:leader="dot"/>
        </w:tabs>
      </w:pPr>
      <w:r>
        <w:t xml:space="preserve">Apéndice A. Hoja HII-D para discusión de casos</w:t>
      </w:r>
      <w:r>
        <w:tab/>
      </w:r>
      <w:r>
        <w:rPr>
          <w:color w:val="8A8A8A"/>
        </w:rPr>
        <w:t xml:space="preserve">91</w:t>
      </w:r>
    </w:p>
    <w:p>
      <w:pPr>
        <w:pStyle w:val="TocPart"/>
        <w:tabs>
          <w:tab w:val="right" w:pos="9026" w:leader="dot"/>
        </w:tabs>
      </w:pPr>
      <w:r>
        <w:t xml:space="preserve">Apéndice B. Léxico de certeza y pausa diagnóstica</w:t>
      </w:r>
      <w:r>
        <w:tab/>
      </w:r>
      <w:r>
        <w:rPr>
          <w:color w:val="8A8A8A"/>
        </w:rPr>
        <w:t xml:space="preserve">93</w:t>
      </w:r>
    </w:p>
    <w:p>
      <w:pPr>
        <w:pStyle w:val="TocPart"/>
        <w:tabs>
          <w:tab w:val="right" w:pos="9026" w:leader="dot"/>
        </w:tabs>
      </w:pPr>
      <w:r>
        <w:t xml:space="preserve">Apéndice C. Guía de implementación en un servicio clínico</w:t>
      </w:r>
      <w:r>
        <w:tab/>
      </w:r>
      <w:r>
        <w:rPr>
          <w:color w:val="8A8A8A"/>
        </w:rPr>
        <w:t xml:space="preserve">95</w:t>
      </w:r>
    </w:p>
    <w:p>
      <w:pPr>
        <w:pStyle w:val="TocPart"/>
        <w:tabs>
          <w:tab w:val="right" w:pos="9026" w:leader="dot"/>
        </w:tabs>
      </w:pPr>
      <w:r>
        <w:t xml:space="preserve">Glosario</w:t>
      </w:r>
      <w:r>
        <w:tab/>
      </w:r>
      <w:r>
        <w:rPr>
          <w:color w:val="8A8A8A"/>
        </w:rPr>
        <w:t xml:space="preserve">97</w:t>
      </w:r>
    </w:p>
    <w:p>
      <w:pPr>
        <w:pStyle w:val="TocPart"/>
        <w:tabs>
          <w:tab w:val="right" w:pos="9026" w:leader="dot"/>
        </w:tabs>
      </w:pPr>
      <w:r>
        <w:t xml:space="preserve">Índice analítico</w:t>
      </w:r>
      <w:r>
        <w:tab/>
      </w:r>
      <w:r>
        <w:rPr>
          <w:color w:val="8A8A8A"/>
        </w:rPr>
        <w:t xml:space="preserve">100</w:t>
      </w:r>
    </w:p>
    <w:p>
      <w:pPr>
        <w:pStyle w:val="TocPart"/>
        <w:tabs>
          <w:tab w:val="right" w:pos="9026" w:leader="dot"/>
        </w:tabs>
      </w:pPr>
      <w:r>
        <w:t xml:space="preserve">Referencias</w:t>
      </w:r>
      <w:r>
        <w:tab/>
      </w:r>
      <w:r>
        <w:rPr>
          <w:color w:val="8A8A8A"/>
        </w:rPr>
        <w:t xml:space="preserve">102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una convención comunitaria sobre riesgo inductivo —cuánta evidencia exigimos antes de aceptar un efecto—, exactamente lo que Rudner y Douglas describieron.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Falsabilidad del método HII-D — 15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11</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Meta-d′ y medición de la metacognición — 5</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9</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2026-08-09T01:16:51.130Z</dcterms:created>
  <dcterms:modified xsi:type="dcterms:W3CDTF">2026-08-09T01:16:51.130Z</dcterms:modified>
</cp:coreProperties>
</file>

<file path=docProps/custom.xml><?xml version="1.0" encoding="utf-8"?>
<Properties xmlns="http://schemas.openxmlformats.org/officeDocument/2006/custom-properties" xmlns:vt="http://schemas.openxmlformats.org/officeDocument/2006/docPropsVTypes"/>
</file>