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33</w:t>
      </w:r>
    </w:p>
    <w:p>
      <w:pPr>
        <w:pStyle w:val="TocEntry"/>
        <w:tabs>
          <w:tab w:val="right" w:pos="9026" w:leader="dot"/>
        </w:tabs>
      </w:pPr>
      <w:r>
        <w:t xml:space="preserve">Capítulo 5. Metacognición: monitorear y regular el propio juicio</w:t>
      </w:r>
      <w:r>
        <w:tab/>
      </w:r>
      <w:r>
        <w:rPr>
          <w:color w:val="8A8A8A"/>
        </w:rPr>
        <w:t xml:space="preserve">34</w:t>
      </w:r>
    </w:p>
    <w:p>
      <w:pPr>
        <w:pStyle w:val="TocEntry"/>
        <w:tabs>
          <w:tab w:val="right" w:pos="9026" w:leader="dot"/>
        </w:tabs>
      </w:pPr>
      <w:r>
        <w:t xml:space="preserve">Capítulo 6. Pericia, intuición y conocimiento tácito</w:t>
      </w:r>
      <w:r>
        <w:tab/>
      </w:r>
      <w:r>
        <w:rPr>
          <w:color w:val="8A8A8A"/>
        </w:rPr>
        <w:t xml:space="preserve">40</w:t>
      </w:r>
    </w:p>
    <w:p>
      <w:pPr>
        <w:pStyle w:val="TocEntry"/>
        <w:tabs>
          <w:tab w:val="right" w:pos="9026" w:leader="dot"/>
        </w:tabs>
      </w:pPr>
      <w:r>
        <w:t xml:space="preserve">Capítulo 7. Error, sesgo y ecología del diagnóstico</w:t>
      </w:r>
      <w:r>
        <w:tab/>
      </w:r>
      <w:r>
        <w:rPr>
          <w:color w:val="8A8A8A"/>
        </w:rPr>
        <w:t xml:space="preserve">43</w:t>
      </w:r>
    </w:p>
    <w:p>
      <w:pPr>
        <w:pStyle w:val="TocEntry"/>
        <w:tabs>
          <w:tab w:val="right" w:pos="9026" w:leader="dot"/>
        </w:tabs>
      </w:pPr>
      <w:r>
        <w:t xml:space="preserve">Capítulo 8. Reflexión y desaceleración selectiva</w:t>
      </w:r>
      <w:r>
        <w:tab/>
      </w:r>
      <w:r>
        <w:rPr>
          <w:color w:val="8A8A8A"/>
        </w:rPr>
        <w:t xml:space="preserve">47</w:t>
      </w:r>
    </w:p>
    <w:p>
      <w:pPr>
        <w:pStyle w:val="TocEntry"/>
        <w:tabs>
          <w:tab w:val="right" w:pos="9026" w:leader="dot"/>
        </w:tabs>
      </w:pPr>
      <w:r>
        <w:t xml:space="preserve">Interludio II. Lo que el equipo pensó</w:t>
      </w:r>
      <w:r>
        <w:tab/>
      </w:r>
      <w:r>
        <w:rPr>
          <w:color w:val="8A8A8A"/>
        </w:rPr>
        <w:t xml:space="preserve">53</w:t>
      </w:r>
    </w:p>
    <w:p>
      <w:pPr>
        <w:pStyle w:val="TocPart"/>
        <w:tabs>
          <w:tab w:val="right" w:pos="9026" w:leader="dot"/>
        </w:tabs>
      </w:pPr>
      <w:r>
        <w:t xml:space="preserve">PARTE III. Decidir en el tiempo y con otros</w:t>
      </w:r>
      <w:r>
        <w:tab/>
      </w:r>
      <w:r>
        <w:rPr>
          <w:color w:val="8A8A8A"/>
        </w:rPr>
        <w:t xml:space="preserve">54</w:t>
      </w:r>
    </w:p>
    <w:p>
      <w:pPr>
        <w:pStyle w:val="TocEntry"/>
        <w:tabs>
          <w:tab w:val="right" w:pos="9026" w:leader="dot"/>
        </w:tabs>
      </w:pPr>
      <w:r>
        <w:t xml:space="preserve">Capítulo 9. La evidencia y el caso singular</w:t>
      </w:r>
      <w:r>
        <w:tab/>
      </w:r>
      <w:r>
        <w:rPr>
          <w:color w:val="8A8A8A"/>
        </w:rPr>
        <w:t xml:space="preserve">55</w:t>
      </w:r>
    </w:p>
    <w:p>
      <w:pPr>
        <w:pStyle w:val="TocEntry"/>
        <w:tabs>
          <w:tab w:val="right" w:pos="9026" w:leader="dot"/>
        </w:tabs>
      </w:pPr>
      <w:r>
        <w:t xml:space="preserve">Capítulo 10. Decidir sin certeza: umbrales, valores y lectura de la evidencia</w:t>
      </w:r>
      <w:r>
        <w:tab/>
      </w:r>
      <w:r>
        <w:rPr>
          <w:color w:val="8A8A8A"/>
        </w:rPr>
        <w:t xml:space="preserve">59</w:t>
      </w:r>
    </w:p>
    <w:p>
      <w:pPr>
        <w:pStyle w:val="TocEntry"/>
        <w:tabs>
          <w:tab w:val="right" w:pos="9026" w:leader="dot"/>
        </w:tabs>
      </w:pPr>
      <w:r>
        <w:t xml:space="preserve">Capítulo 11. Temporalidad, trayectoria y razonamiento contrafactual</w:t>
      </w:r>
      <w:r>
        <w:tab/>
      </w:r>
      <w:r>
        <w:rPr>
          <w:color w:val="8A8A8A"/>
        </w:rPr>
        <w:t xml:space="preserve">67</w:t>
      </w:r>
    </w:p>
    <w:p>
      <w:pPr>
        <w:pStyle w:val="TocEntry"/>
        <w:tabs>
          <w:tab w:val="right" w:pos="9026" w:leader="dot"/>
        </w:tabs>
      </w:pPr>
      <w:r>
        <w:t xml:space="preserve">Capítulo 12. La ficha clínica como instrumento de pensamiento</w:t>
      </w:r>
      <w:r>
        <w:tab/>
      </w:r>
      <w:r>
        <w:rPr>
          <w:color w:val="8A8A8A"/>
        </w:rPr>
        <w:t xml:space="preserve">70</w:t>
      </w:r>
    </w:p>
    <w:p>
      <w:pPr>
        <w:pStyle w:val="TocEntry"/>
        <w:tabs>
          <w:tab w:val="right" w:pos="9026" w:leader="dot"/>
        </w:tabs>
      </w:pPr>
      <w:r>
        <w:t xml:space="preserve">Capítulo 13. Pensar con otros: equipos, desacuerdo y comunicación de la incertidumbre</w:t>
      </w:r>
      <w:r>
        <w:tab/>
      </w:r>
      <w:r>
        <w:rPr>
          <w:color w:val="8A8A8A"/>
        </w:rPr>
        <w:t xml:space="preserve">77</w:t>
      </w:r>
    </w:p>
    <w:p>
      <w:pPr>
        <w:pStyle w:val="TocEntry"/>
        <w:tabs>
          <w:tab w:val="right" w:pos="9026" w:leader="dot"/>
        </w:tabs>
      </w:pPr>
      <w:r>
        <w:t xml:space="preserve">Interludio III. La decisión de Carmen</w:t>
      </w:r>
      <w:r>
        <w:tab/>
      </w:r>
      <w:r>
        <w:rPr>
          <w:color w:val="8A8A8A"/>
        </w:rPr>
        <w:t xml:space="preserve">82</w:t>
      </w:r>
    </w:p>
    <w:p>
      <w:pPr>
        <w:pStyle w:val="TocPart"/>
        <w:tabs>
          <w:tab w:val="right" w:pos="9026" w:leader="dot"/>
        </w:tabs>
      </w:pPr>
      <w:r>
        <w:t xml:space="preserve">PARTE IV. Una epistemología operativa</w:t>
      </w:r>
      <w:r>
        <w:tab/>
      </w:r>
      <w:r>
        <w:rPr>
          <w:color w:val="8A8A8A"/>
        </w:rPr>
        <w:t xml:space="preserve">84</w:t>
      </w:r>
    </w:p>
    <w:p>
      <w:pPr>
        <w:pStyle w:val="TocEntry"/>
        <w:tabs>
          <w:tab w:val="right" w:pos="9026" w:leader="dot"/>
        </w:tabs>
      </w:pPr>
      <w:r>
        <w:t xml:space="preserve">Capítulo 14. Humildad epistémica y responsabilidad clínica</w:t>
      </w:r>
      <w:r>
        <w:tab/>
      </w:r>
      <w:r>
        <w:rPr>
          <w:color w:val="8A8A8A"/>
        </w:rPr>
        <w:t xml:space="preserve">85</w:t>
      </w:r>
    </w:p>
    <w:p>
      <w:pPr>
        <w:pStyle w:val="TocEntry"/>
        <w:tabs>
          <w:tab w:val="right" w:pos="9026" w:leader="dot"/>
        </w:tabs>
      </w:pPr>
      <w:r>
        <w:t xml:space="preserve">Capítulo 15. El método HII-D: una epistemología operativa</w:t>
      </w:r>
      <w:r>
        <w:tab/>
      </w:r>
      <w:r>
        <w:rPr>
          <w:color w:val="8A8A8A"/>
        </w:rPr>
        <w:t xml:space="preserve">92</w:t>
      </w:r>
    </w:p>
    <w:p>
      <w:pPr>
        <w:pStyle w:val="TocEntry"/>
        <w:tabs>
          <w:tab w:val="right" w:pos="9026" w:leader="dot"/>
        </w:tabs>
      </w:pPr>
      <w:r>
        <w:t xml:space="preserve">Cuaderno de casos. Ocho viñetas para una lectura metacognitiva</w:t>
      </w:r>
      <w:r>
        <w:tab/>
      </w:r>
      <w:r>
        <w:rPr>
          <w:color w:val="8A8A8A"/>
        </w:rPr>
        <w:t xml:space="preserve">99</w:t>
      </w:r>
    </w:p>
    <w:p>
      <w:pPr>
        <w:pStyle w:val="TocEntry"/>
        <w:tabs>
          <w:tab w:val="right" w:pos="9026" w:leader="dot"/>
        </w:tabs>
      </w:pPr>
      <w:r>
        <w:t xml:space="preserve">Capítulo 16. Enseñar y organizar la metacognición clínica</w:t>
      </w:r>
      <w:r>
        <w:tab/>
      </w:r>
      <w:r>
        <w:rPr>
          <w:color w:val="8A8A8A"/>
        </w:rPr>
        <w:t xml:space="preserve">109</w:t>
      </w:r>
    </w:p>
    <w:p>
      <w:pPr>
        <w:pStyle w:val="TocEntry"/>
        <w:tabs>
          <w:tab w:val="right" w:pos="9026" w:leader="dot"/>
        </w:tabs>
      </w:pPr>
      <w:r>
        <w:t xml:space="preserve">Capítulo 17. La inteligencia artificial en el proceso clínico: roles, riesgos y defensas</w:t>
      </w:r>
      <w:r>
        <w:tab/>
      </w:r>
      <w:r>
        <w:rPr>
          <w:color w:val="8A8A8A"/>
        </w:rPr>
        <w:t xml:space="preserve">113</w:t>
      </w:r>
    </w:p>
    <w:p>
      <w:pPr>
        <w:pStyle w:val="TocEntry"/>
        <w:tabs>
          <w:tab w:val="right" w:pos="9026" w:leader="dot"/>
        </w:tabs>
      </w:pPr>
      <w:r>
        <w:t xml:space="preserve">Capítulo 18. La palabra exacta: lo que la poesía sabe del juicio clínico</w:t>
      </w:r>
      <w:r>
        <w:tab/>
      </w:r>
      <w:r>
        <w:rPr>
          <w:color w:val="8A8A8A"/>
        </w:rPr>
        <w:t xml:space="preserve">121</w:t>
      </w:r>
    </w:p>
    <w:p>
      <w:pPr>
        <w:pStyle w:val="TocPart"/>
        <w:tabs>
          <w:tab w:val="right" w:pos="9026" w:leader="dot"/>
        </w:tabs>
      </w:pPr>
      <w:r>
        <w:t xml:space="preserve">Conclusión. Una medicina lúcida</w:t>
      </w:r>
      <w:r>
        <w:tab/>
      </w:r>
      <w:r>
        <w:rPr>
          <w:color w:val="8A8A8A"/>
        </w:rPr>
        <w:t xml:space="preserve">125</w:t>
      </w:r>
    </w:p>
    <w:p>
      <w:pPr>
        <w:pStyle w:val="TocPart"/>
        <w:tabs>
          <w:tab w:val="right" w:pos="9026" w:leader="dot"/>
        </w:tabs>
      </w:pPr>
      <w:r>
        <w:t xml:space="preserve">Apéndice A. Hoja HII-D para discusión de casos</w:t>
      </w:r>
      <w:r>
        <w:tab/>
      </w:r>
      <w:r>
        <w:rPr>
          <w:color w:val="8A8A8A"/>
        </w:rPr>
        <w:t xml:space="preserve">127</w:t>
      </w:r>
    </w:p>
    <w:p>
      <w:pPr>
        <w:pStyle w:val="TocPart"/>
        <w:tabs>
          <w:tab w:val="right" w:pos="9026" w:leader="dot"/>
        </w:tabs>
      </w:pPr>
      <w:r>
        <w:t xml:space="preserve">Apéndice B. Léxico de certeza y pausa diagnóstica</w:t>
      </w:r>
      <w:r>
        <w:tab/>
      </w:r>
      <w:r>
        <w:rPr>
          <w:color w:val="8A8A8A"/>
        </w:rPr>
        <w:t xml:space="preserve">129</w:t>
      </w:r>
    </w:p>
    <w:p>
      <w:pPr>
        <w:pStyle w:val="TocPart"/>
        <w:tabs>
          <w:tab w:val="right" w:pos="9026" w:leader="dot"/>
        </w:tabs>
      </w:pPr>
      <w:r>
        <w:t xml:space="preserve">Apéndice C. Guía de implementación en un servicio clínico</w:t>
      </w:r>
      <w:r>
        <w:tab/>
      </w:r>
      <w:r>
        <w:rPr>
          <w:color w:val="8A8A8A"/>
        </w:rPr>
        <w:t xml:space="preserve">131</w:t>
      </w:r>
    </w:p>
    <w:p>
      <w:pPr>
        <w:pStyle w:val="TocPart"/>
        <w:tabs>
          <w:tab w:val="right" w:pos="9026" w:leader="dot"/>
        </w:tabs>
      </w:pPr>
      <w:r>
        <w:t xml:space="preserve">Glosario</w:t>
      </w:r>
      <w:r>
        <w:tab/>
      </w:r>
      <w:r>
        <w:rPr>
          <w:color w:val="8A8A8A"/>
        </w:rPr>
        <w:t xml:space="preserve">133</w:t>
      </w:r>
    </w:p>
    <w:p>
      <w:pPr>
        <w:pStyle w:val="TocPart"/>
        <w:tabs>
          <w:tab w:val="right" w:pos="9026" w:leader="dot"/>
        </w:tabs>
      </w:pPr>
      <w:r>
        <w:t xml:space="preserve">Índice analítico</w:t>
      </w:r>
      <w:r>
        <w:tab/>
      </w:r>
      <w:r>
        <w:rPr>
          <w:color w:val="8A8A8A"/>
        </w:rPr>
        <w:t xml:space="preserve">138</w:t>
      </w:r>
    </w:p>
    <w:p>
      <w:pPr>
        <w:pStyle w:val="TocPart"/>
        <w:tabs>
          <w:tab w:val="right" w:pos="9026" w:leader="dot"/>
        </w:tabs>
      </w:pPr>
      <w:r>
        <w:t xml:space="preserve">Nota metodológica y estatuto de las afirmaciones</w:t>
      </w:r>
      <w:r>
        <w:tab/>
      </w:r>
      <w:r>
        <w:rPr>
          <w:color w:val="8A8A8A"/>
        </w:rPr>
        <w:t xml:space="preserve">142</w:t>
      </w:r>
    </w:p>
    <w:p>
      <w:pPr>
        <w:pStyle w:val="TocPart"/>
        <w:tabs>
          <w:tab w:val="right" w:pos="9026" w:leader="dot"/>
        </w:tabs>
      </w:pPr>
      <w:r>
        <w:t xml:space="preserve">Referencias</w:t>
      </w:r>
      <w:r>
        <w:tab/>
      </w:r>
      <w:r>
        <w:rPr>
          <w:color w:val="8A8A8A"/>
        </w:rPr>
        <w:t xml:space="preserve">143</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conviene reconocer con la precisión que su propio autor exigía. Maturana formuló en 1970 la frase que cualquier ficha debería llevar como advertencia: todo lo dicho es dicho por un observador (Maturana, 1970; Maturana &amp; Varela, 1984). Y propuso después distinguir una "objetividad sin paréntesis" —la del que cree hablar de la realidad sin mediación y usa esa creencia como argumento para obligar al otro— de una "objetividad entre paréntesis", que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internos de cuidados intensivos a turnos tradicionales de más de veinticuatro horas o a turnos acotados a dieciséis, los turnos largos produjeron un 36% más de errores graves, y los errores diagnósticos graves se multiplicaron por más de cinco (Landrigan et al., 2004). El efecto no exige noches: en más de 21.000 consultas por infección respiratoria, la probabilidad de salir con un antibiótico subió hora a hora dentro de la misma sesión de policlínico, con independencia del paciente y del diagnóstico, hasta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merece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es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exactamente la razón para diseñar.</w:t>
      </w:r>
    </w:p>
    <w:p>
      <w:pPr>
        <w:pStyle w:val="BodyJ"/>
      </w:pPr>
      <w:r>
        <w:t xml:space="preserve">Tercero, usar el relevo. La entrega de turno no es sólo transferencia de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exactamente la operación de esa primera instrucción, y conviene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es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mostró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dirá en el capítulo 14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12.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conviene nombrarla para quien diseña o compra sistemas. Una ficha electrónica pensada desde HII-D no guardaría un diagnóstico como texto libre ni como un código cerrado: lo guardaría como un objeto con atributos obligatorios —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Conviene distinguir,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y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BodyJ"/>
      </w:pPr>
      <w:r>
        <w:t xml:space="preserve">"Sospecho neumonía adquirida en la comunidad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una diabetes descompensada elevaría además su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conviene nombrar. El "no" a los corticoides se apoya en que su beneficio en mortalidad se demostró en neumonía grave tratada en cuidados intensivos —11,9% frente a 6,2% a los 28 días con hidrocortisona (Dequin et al., 2023)—, no en sala, y la nota lo dice con una palabra: "sin criterios de gravedad".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merece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proteína C reactiva empieza a subir unas seis horas después del estímulo, alcanza su máximo alrededor de las 48 y tiene una vida media de unas 19 horas (Pepys &amp; Hirschfield, 2003): un valor más alto a las 48 horas no es un fracaso, es la cinética esperada de un estímulo reciente. Lo que sí informa es el cuarto día. En la cohorte de Edimburgo, una PCR de ingreso bajo 100 mg/L se asoció con menos complicaciones y menos mortalidad (Chalmers et al., 2008), y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La ficha de proceso lo deja escrito antes de que llegue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Solución comentada.</w:t>
      </w:r>
      <w:r>
        <w:t xml:space="preserve"> No hay solución única. Lo que el ejercicio suele mostrar es que la mitad de las preguntas escondidas nunca se formularon (nadie dudó de nada porque nadie preguntó), que "descarté" casi nunca viene con método, y que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de pleno derecho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exactamente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con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una ponderación que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Conviene decirlo sin rodeos,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y lo ilustró con un armador que, sin inspeccionar su barco, se convence de que es seguro y lo deja zarpar: si el barco llega a puerto, el armador no es menos culpable, porque la creencia se formó sin derecho a formarse (Clifford, 1877). La medicina es el oficio donde esa tesis deja de ser una exageración. El médico que escribe "se descarta" sin un método que excluya, o "cuadro habitual" sin haber mirado las rodillas moteadas, ha hecho exactamente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Varela, desde la otra orilla del mismo pensamiento chileno,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la deliberación aparece sólo en el quiebre, cuando la respuesta espontánea falla o la situación no calza con lo aprendido (Varela, 1996). La cirujana que dijo "programada, no hoy" en un minuto no calló un razonamiento: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de este capítulo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literalmente,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 cáncer renal metastásico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cáncer renal metastásico;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El acierto clínico a las tres de la mañana no consistió en adivinar el diagnóstico definitivo, sino en tomar una decisión estratégica: comprar tiempo seguro mediante intervenciones de bajo riesgo y vigilancia de alta resolución.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Uno de los tropiezos más frecuentes en la consulta ambulatoria es la falsa tranquilidad inducida por evidencia caducada: "tiene exámenes normales recientes" es un hecho cierto cuya fecha de toma lo vuelve clínicamente irrelevante para el problema nuevo. La ventaja comparativa de la atención primaria —el tiempo longitudinal como herramienta diagnóstica— sólo opera con seguridad si tiene fecha de reevaluación y criterios explícitos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medicina al final de la vida pone a prueba todas las capas de este libro: tienta al clínico a responder la pregunta "¿cuánto tiempo le queda?" con una cifra inventada (certeza retórica), o a escudarse en un "eso sólo Dios lo sabe" que desorienta a la familia (abandono comunicacional). Más importante aún, expone la confusión cotidiana entre lo técnicamente factible (indicar una cuarta línea oncológica o intubar) y lo clínicamente proporcionado. El juicio de proporcionalidad del capítulo 10 exige ante todo honestidad epistémica: reconocer el declive basal como un hecho clínico duro y anclar el umbral de acción en los fines del paciente, no en la inercia de los recursos disponibles.</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exactamente lo que un resumen tiende a aplanar. Los primeros estudios con encuentros simulados muestran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14</w:t>
      </w:r>
    </w:p>
    <w:p>
      <w:pPr>
        <w:pStyle w:val="BodyJ"/>
        <w:numPr>
          <w:ilvl w:val="0"/>
          <w:numId w:val="6"/>
        </w:numPr>
      </w:pPr>
      <w:r>
        <w:t xml:space="preserve">Conversaciones para la acción (Flores y Winograd) — 13</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Ética de la creencia (Clifford); pensar bien como deber primordial — 14, C</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14</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Mente del principiante (Zen, shoshin) — 8</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Proteína C reactiva: cinética y lectura temporal — 12</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Reignier, J., Heming, N., Plantefève, G., Souweine, B., Voiriot, G., Colin, G., Frat, J.-P., Mira, J.-P., Barbarot, N., François, B., Louis, G., Gibot, S., Guitton, C., … Le Gouge, A.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&amp; Quill, T. E.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Lilly, C. M., Stone, P. H., Lockley, S. W., Bates, D. W., &amp; Czeisler, C. A.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&amp; Fox, C. R.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9113efc768477994ed8ee35e212b877336beb9a2.png"/><Relationship Id="rId11" Type="http://schemas.openxmlformats.org/officeDocument/2006/relationships/image" Target="media/a53e3b8facc7477d003b5aa4ab87dbf2f76fb1a5.png"/><Relationship Id="rId12" Type="http://schemas.openxmlformats.org/officeDocument/2006/relationships/image" Target="media/6b94a04a3f8338e97d4c83ffb60273e4d654598e.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28be4f41d00e1a8107b23f89e9f241bea0ec742a.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057c76dcc7f7edda793f7c812f9586712c4f7cc2.png"/><Relationship Id="rId19" Type="http://schemas.openxmlformats.org/officeDocument/2006/relationships/image" Target="media/db6a8b0a96eb70fd2d1fff7501f5acaaae3a300e.png"/><Relationship Id="rId20" Type="http://schemas.openxmlformats.org/officeDocument/2006/relationships/image" Target="media/3a3ca72b0a0269c2b706eca48513a9fcb7000998.png"/><Relationship Id="rId21" Type="http://schemas.openxmlformats.org/officeDocument/2006/relationships/image" Target="media/d82a5888acadc2c251f149205e55bb3e3238da5d.png"/><Relationship Id="rId22" Type="http://schemas.openxmlformats.org/officeDocument/2006/relationships/image" Target="media/8fcc67cfcb45f0b31c60e24afdc6b86c2e8dd384.png"/><Relationship Id="rId23" Type="http://schemas.openxmlformats.org/officeDocument/2006/relationships/image" Target="media/157e2708729e7ec9ff290154cda60b40a7eda2da.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2026-10-14T05:24:29.200Z</dcterms:created>
  <dcterms:modified xsi:type="dcterms:W3CDTF">2026-10-14T05:24:29.200Z</dcterms:modified>
</cp:coreProperties>
</file>

<file path=docProps/custom.xml><?xml version="1.0" encoding="utf-8"?>
<Properties xmlns="http://schemas.openxmlformats.org/officeDocument/2006/custom-properties" xmlns:vt="http://schemas.openxmlformats.org/officeDocument/2006/docPropsVTypes"/>
</file>