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Common Challenges in Casino Platforms and Who Solves Them</w:t>
      </w:r>
    </w:p>
    <w:p>
      <w:pPr>
        <w:pStyle w:val="Author"/>
      </w:pPr>
      <w:r>
        <w:t xml:space="preserve">OnlyiGaming Editorial</w:t>
      </w:r>
    </w:p>
    <w:p>
      <w:pPr>
        <w:pStyle w:val="Date"/>
      </w:pPr>
      <w:r>
        <w:t xml:space="preserve">2026-04-07</w:t>
      </w:r>
    </w:p>
    <w:p>
      <w:pPr>
        <w:pStyle w:val="FirstParagraph"/>
      </w:pPr>
      <w:r>
        <w:t xml:space="preserve">Casino platform integration challenges aren’t about finding the</w:t>
      </w:r>
      <w:r>
        <w:t xml:space="preserve"> </w:t>
      </w:r>
      <w:r>
        <w:t xml:space="preserve">“best”</w:t>
      </w:r>
      <w:r>
        <w:t xml:space="preserve"> </w:t>
      </w:r>
      <w:r>
        <w:t xml:space="preserve">casino platform. They’re about avoiding expensive failures. Most problems operators face aren’t obvious until you’re knee-deep in implementation. You burn runway while certification drags into month four.</w:t>
      </w:r>
    </w:p>
    <w:p>
      <w:pPr>
        <w:pStyle w:val="BodyText"/>
      </w:pPr>
      <w:r>
        <w:t xml:space="preserve">This article flips the vendor comparison script. Instead of starting with platform features, we start with the problems operators actually encounter. Then we map those challenges to vendors who’ve proven they can solve them, not just promise to.</w:t>
      </w:r>
    </w:p>
    <w:p>
      <w:pPr>
        <w:pStyle w:val="BodyText"/>
      </w:pPr>
      <w:r>
        <w:t xml:space="preserve">The challenges here come from real implementation experiences. Think payment integration that was supposed to take</w:t>
      </w:r>
      <w:r>
        <w:t xml:space="preserve"> </w:t>
      </w:r>
      <w:r>
        <w:t xml:space="preserve">“two weeks”</w:t>
      </w:r>
      <w:r>
        <w:t xml:space="preserve"> </w:t>
      </w:r>
      <w:r>
        <w:t xml:space="preserve">but requires three months of certification. Consider modular platforms that turn out to share databases, making component swaps impossible. Or revenue-share deals that look attractive until you hit scale and realize you’re paying twice market rate.</w:t>
      </w:r>
    </w:p>
    <w:p>
      <w:pPr>
        <w:pStyle w:val="BodyText"/>
      </w:pPr>
      <w:r>
        <w:rPr>
          <w:b/>
          <w:bCs/>
        </w:rPr>
        <w:t xml:space="preserve">Why this approach works:</w:t>
      </w:r>
      <w:r>
        <w:t xml:space="preserve"> </w:t>
      </w:r>
      <w:r>
        <w:t xml:space="preserve">When you’re evaluating casino platforms, vendor demos all look similar. Everyone promises modularity, fast integration, and comprehensive compliance. The differences emerge when things go wrong. Knowing who handles those situations separates smart buyers from expensive mistakes.</w:t>
      </w:r>
    </w:p>
    <w:bookmarkStart w:id="19" w:name="challenge-overview"/>
    <w:p>
      <w:pPr>
        <w:pStyle w:val="Heading2"/>
      </w:pPr>
      <w:r>
        <w:t xml:space="preserve">Challenge Overview</w:t>
      </w:r>
    </w:p>
    <w:tbl>
      <w:tblPr>
        <w:tblStyle w:val="Table"/>
        <w:tblW w:type="pct" w:w="5000"/>
        <w:tblLayout w:type="fixed"/>
        <w:tblLook w:firstRow="1" w:lastRow="0" w:firstColumn="0" w:lastColumn="0" w:noHBand="0" w:noVBand="0" w:val="0020"/>
      </w:tblPr>
      <w:tblGrid>
        <w:gridCol w:w="1340"/>
        <w:gridCol w:w="1949"/>
        <w:gridCol w:w="2315"/>
        <w:gridCol w:w="2315"/>
      </w:tblGrid>
      <w:tr>
        <w:trPr>
          <w:tblHeader w:val="on"/>
        </w:trPr>
        <w:tc>
          <w:tcPr/>
          <w:p>
            <w:pPr>
              <w:pStyle w:val="Compact"/>
            </w:pPr>
            <w:r>
              <w:t xml:space="preserve">Challenge</w:t>
            </w:r>
          </w:p>
        </w:tc>
        <w:tc>
          <w:tcPr/>
          <w:p>
            <w:pPr>
              <w:pStyle w:val="Compact"/>
            </w:pPr>
            <w:r>
              <w:t xml:space="preserve">Business Impact</w:t>
            </w:r>
          </w:p>
        </w:tc>
        <w:tc>
          <w:tcPr/>
          <w:p>
            <w:pPr>
              <w:pStyle w:val="Compact"/>
            </w:pPr>
            <w:r>
              <w:t xml:space="preserve">Primary Vendor(s)</w:t>
            </w:r>
          </w:p>
        </w:tc>
        <w:tc>
          <w:tcPr/>
          <w:p>
            <w:pPr>
              <w:pStyle w:val="Compact"/>
            </w:pPr>
            <w:r>
              <w:t xml:space="preserve">Difficulty to Solve</w:t>
            </w:r>
          </w:p>
        </w:tc>
      </w:tr>
      <w:tr>
        <w:tc>
          <w:tcPr/>
          <w:p>
            <w:pPr>
              <w:pStyle w:val="Compact"/>
            </w:pPr>
            <w:r>
              <w:t xml:space="preserve">Multi-market compliance gaps</w:t>
            </w:r>
          </w:p>
        </w:tc>
        <w:tc>
          <w:tcPr/>
          <w:p>
            <w:pPr>
              <w:pStyle w:val="Compact"/>
            </w:pPr>
            <w:r>
              <w:t xml:space="preserve">License rejection, 6-12 month delays</w:t>
            </w:r>
          </w:p>
        </w:tc>
        <w:tc>
          <w:tcPr/>
          <w:p>
            <w:pPr>
              <w:pStyle w:val="Compact"/>
            </w:pPr>
            <w:hyperlink r:id="rId9">
              <w:r>
                <w:rPr>
                  <w:rStyle w:val="Hyperlink"/>
                </w:rPr>
                <w:t xml:space="preserve">Playtech</w:t>
              </w:r>
            </w:hyperlink>
            <w:r>
              <w:t xml:space="preserve">,</w:t>
            </w:r>
            <w:r>
              <w:t xml:space="preserve"> </w:t>
            </w:r>
            <w:hyperlink r:id="rId10">
              <w:r>
                <w:rPr>
                  <w:rStyle w:val="Hyperlink"/>
                </w:rPr>
                <w:t xml:space="preserve">BetConstruct</w:t>
              </w:r>
            </w:hyperlink>
          </w:p>
        </w:tc>
        <w:tc>
          <w:tcPr/>
          <w:p>
            <w:pPr>
              <w:pStyle w:val="Compact"/>
            </w:pPr>
            <w:r>
              <w:t xml:space="preserve">High</w:t>
            </w:r>
          </w:p>
        </w:tc>
      </w:tr>
      <w:tr>
        <w:tc>
          <w:tcPr/>
          <w:p>
            <w:pPr>
              <w:pStyle w:val="Compact"/>
            </w:pPr>
            <w:r>
              <w:t xml:space="preserve">Integration timelines exceeding projections</w:t>
            </w:r>
          </w:p>
        </w:tc>
        <w:tc>
          <w:tcPr/>
          <w:p>
            <w:pPr>
              <w:pStyle w:val="Compact"/>
            </w:pPr>
            <w:r>
              <w:t xml:space="preserve">Launch delays, opportunity cost</w:t>
            </w:r>
          </w:p>
        </w:tc>
        <w:tc>
          <w:tcPr/>
          <w:p>
            <w:pPr>
              <w:pStyle w:val="Compact"/>
            </w:pPr>
            <w:hyperlink r:id="rId11">
              <w:r>
                <w:rPr>
                  <w:rStyle w:val="Hyperlink"/>
                </w:rPr>
                <w:t xml:space="preserve">BlueOcean Gaming</w:t>
              </w:r>
            </w:hyperlink>
            <w:r>
              <w:t xml:space="preserve">,</w:t>
            </w:r>
            <w:r>
              <w:t xml:space="preserve"> </w:t>
            </w:r>
            <w:hyperlink r:id="rId12">
              <w:r>
                <w:rPr>
                  <w:rStyle w:val="Hyperlink"/>
                </w:rPr>
                <w:t xml:space="preserve">NuxGame</w:t>
              </w:r>
            </w:hyperlink>
          </w:p>
        </w:tc>
        <w:tc>
          <w:tcPr/>
          <w:p>
            <w:pPr>
              <w:pStyle w:val="Compact"/>
            </w:pPr>
            <w:r>
              <w:t xml:space="preserve">Medium</w:t>
            </w:r>
          </w:p>
        </w:tc>
      </w:tr>
      <w:tr>
        <w:tc>
          <w:tcPr/>
          <w:p>
            <w:pPr>
              <w:pStyle w:val="Compact"/>
            </w:pPr>
            <w:r>
              <w:t xml:space="preserve">Hidden costs in pricing models</w:t>
            </w:r>
          </w:p>
        </w:tc>
        <w:tc>
          <w:tcPr/>
          <w:p>
            <w:pPr>
              <w:pStyle w:val="Compact"/>
            </w:pPr>
            <w:r>
              <w:t xml:space="preserve">Budget overruns, margin compression</w:t>
            </w:r>
          </w:p>
        </w:tc>
        <w:tc>
          <w:tcPr/>
          <w:p>
            <w:pPr>
              <w:pStyle w:val="Compact"/>
            </w:pPr>
            <w:hyperlink r:id="rId13">
              <w:r>
                <w:rPr>
                  <w:rStyle w:val="Hyperlink"/>
                </w:rPr>
                <w:t xml:space="preserve">EveryMatrix</w:t>
              </w:r>
            </w:hyperlink>
            <w:r>
              <w:t xml:space="preserve">,</w:t>
            </w:r>
            <w:r>
              <w:t xml:space="preserve"> </w:t>
            </w:r>
            <w:hyperlink r:id="rId14">
              <w:r>
                <w:rPr>
                  <w:rStyle w:val="Hyperlink"/>
                </w:rPr>
                <w:t xml:space="preserve">Pragmatic Solutions</w:t>
              </w:r>
            </w:hyperlink>
          </w:p>
        </w:tc>
        <w:tc>
          <w:tcPr/>
          <w:p>
            <w:pPr>
              <w:pStyle w:val="Compact"/>
            </w:pPr>
            <w:r>
              <w:t xml:space="preserve">Medium</w:t>
            </w:r>
          </w:p>
        </w:tc>
      </w:tr>
      <w:tr>
        <w:tc>
          <w:tcPr/>
          <w:p>
            <w:pPr>
              <w:pStyle w:val="Compact"/>
            </w:pPr>
            <w:r>
              <w:t xml:space="preserve">Vendor lock-in and data portability</w:t>
            </w:r>
          </w:p>
        </w:tc>
        <w:tc>
          <w:tcPr/>
          <w:p>
            <w:pPr>
              <w:pStyle w:val="Compact"/>
            </w:pPr>
            <w:r>
              <w:t xml:space="preserve">Migration costs, strategic flexibility loss</w:t>
            </w:r>
          </w:p>
        </w:tc>
        <w:tc>
          <w:tcPr/>
          <w:p>
            <w:pPr>
              <w:pStyle w:val="Compact"/>
            </w:pPr>
            <w:hyperlink r:id="rId13">
              <w:r>
                <w:rPr>
                  <w:rStyle w:val="Hyperlink"/>
                </w:rPr>
                <w:t xml:space="preserve">EveryMatrix</w:t>
              </w:r>
            </w:hyperlink>
            <w:r>
              <w:t xml:space="preserve">,</w:t>
            </w:r>
            <w:r>
              <w:t xml:space="preserve"> </w:t>
            </w:r>
            <w:hyperlink r:id="rId15">
              <w:r>
                <w:rPr>
                  <w:rStyle w:val="Hyperlink"/>
                </w:rPr>
                <w:t xml:space="preserve">SOFTSWISS</w:t>
              </w:r>
            </w:hyperlink>
          </w:p>
        </w:tc>
        <w:tc>
          <w:tcPr/>
          <w:p>
            <w:pPr>
              <w:pStyle w:val="Compact"/>
            </w:pPr>
            <w:r>
              <w:t xml:space="preserve">High</w:t>
            </w:r>
          </w:p>
        </w:tc>
      </w:tr>
      <w:tr>
        <w:tc>
          <w:tcPr/>
          <w:p>
            <w:pPr>
              <w:pStyle w:val="Compact"/>
            </w:pPr>
            <w:r>
              <w:t xml:space="preserve">Scaling bottlenecks as operations grow</w:t>
            </w:r>
          </w:p>
        </w:tc>
        <w:tc>
          <w:tcPr/>
          <w:p>
            <w:pPr>
              <w:pStyle w:val="Compact"/>
            </w:pPr>
            <w:r>
              <w:t xml:space="preserve">Performance degradation, architecture debt</w:t>
            </w:r>
          </w:p>
        </w:tc>
        <w:tc>
          <w:tcPr/>
          <w:p>
            <w:pPr>
              <w:pStyle w:val="Compact"/>
            </w:pPr>
            <w:hyperlink r:id="rId9">
              <w:r>
                <w:rPr>
                  <w:rStyle w:val="Hyperlink"/>
                </w:rPr>
                <w:t xml:space="preserve">Playtech</w:t>
              </w:r>
            </w:hyperlink>
            <w:r>
              <w:t xml:space="preserve">,</w:t>
            </w:r>
            <w:r>
              <w:t xml:space="preserve"> </w:t>
            </w:r>
            <w:hyperlink r:id="rId13">
              <w:r>
                <w:rPr>
                  <w:rStyle w:val="Hyperlink"/>
                </w:rPr>
                <w:t xml:space="preserve">EveryMatrix</w:t>
              </w:r>
            </w:hyperlink>
          </w:p>
        </w:tc>
        <w:tc>
          <w:tcPr/>
          <w:p>
            <w:pPr>
              <w:pStyle w:val="Compact"/>
            </w:pPr>
            <w:r>
              <w:t xml:space="preserve">High</w:t>
            </w:r>
          </w:p>
        </w:tc>
      </w:tr>
      <w:tr>
        <w:tc>
          <w:tcPr/>
          <w:p>
            <w:pPr>
              <w:pStyle w:val="Compact"/>
            </w:pPr>
            <w:r>
              <w:t xml:space="preserve">Crypto implementation complexity</w:t>
            </w:r>
          </w:p>
        </w:tc>
        <w:tc>
          <w:tcPr/>
          <w:p>
            <w:pPr>
              <w:pStyle w:val="Compact"/>
            </w:pPr>
            <w:r>
              <w:t xml:space="preserve">Technical debt, compliance exposure</w:t>
            </w:r>
          </w:p>
        </w:tc>
        <w:tc>
          <w:tcPr/>
          <w:p>
            <w:pPr>
              <w:pStyle w:val="Compact"/>
            </w:pPr>
            <w:hyperlink r:id="rId15">
              <w:r>
                <w:rPr>
                  <w:rStyle w:val="Hyperlink"/>
                </w:rPr>
                <w:t xml:space="preserve">SOFTSWISS</w:t>
              </w:r>
            </w:hyperlink>
            <w:r>
              <w:t xml:space="preserve">,</w:t>
            </w:r>
            <w:r>
              <w:t xml:space="preserve"> </w:t>
            </w:r>
            <w:hyperlink r:id="rId16">
              <w:r>
                <w:rPr>
                  <w:rStyle w:val="Hyperlink"/>
                </w:rPr>
                <w:t xml:space="preserve">GR8 Tech</w:t>
              </w:r>
            </w:hyperlink>
          </w:p>
        </w:tc>
        <w:tc>
          <w:tcPr/>
          <w:p>
            <w:pPr>
              <w:pStyle w:val="Compact"/>
            </w:pPr>
            <w:r>
              <w:t xml:space="preserve">Medium</w:t>
            </w:r>
          </w:p>
        </w:tc>
      </w:tr>
      <w:tr>
        <w:tc>
          <w:tcPr/>
          <w:p>
            <w:pPr>
              <w:pStyle w:val="Compact"/>
            </w:pPr>
            <w:r>
              <w:t xml:space="preserve">Speed versus flexibility trade-offs</w:t>
            </w:r>
          </w:p>
        </w:tc>
        <w:tc>
          <w:tcPr/>
          <w:p>
            <w:pPr>
              <w:pStyle w:val="Compact"/>
            </w:pPr>
            <w:r>
              <w:t xml:space="preserve">Strategic limitations, re-platforming costs</w:t>
            </w:r>
          </w:p>
        </w:tc>
        <w:tc>
          <w:tcPr/>
          <w:p>
            <w:pPr>
              <w:pStyle w:val="Compact"/>
            </w:pPr>
            <w:hyperlink r:id="rId17">
              <w:r>
                <w:rPr>
                  <w:rStyle w:val="Hyperlink"/>
                </w:rPr>
                <w:t xml:space="preserve">Soft2Bet</w:t>
              </w:r>
            </w:hyperlink>
            <w:r>
              <w:t xml:space="preserve">,</w:t>
            </w:r>
            <w:r>
              <w:t xml:space="preserve"> </w:t>
            </w:r>
            <w:hyperlink r:id="rId18">
              <w:r>
                <w:rPr>
                  <w:rStyle w:val="Hyperlink"/>
                </w:rPr>
                <w:t xml:space="preserve">Kambi</w:t>
              </w:r>
            </w:hyperlink>
          </w:p>
        </w:tc>
        <w:tc>
          <w:tcPr/>
          <w:p>
            <w:pPr>
              <w:pStyle w:val="Compact"/>
            </w:pPr>
            <w:r>
              <w:t xml:space="preserve">Low</w:t>
            </w:r>
          </w:p>
        </w:tc>
      </w:tr>
    </w:tbl>
    <w:bookmarkEnd w:id="19"/>
    <w:bookmarkStart w:id="28" w:name="X4cbaa0c53b920d74c75c7659d9179c8aadb48d3"/>
    <w:p>
      <w:pPr>
        <w:pStyle w:val="Heading2"/>
      </w:pPr>
      <w:r>
        <w:t xml:space="preserve">Challenge: Multi-Market Compliance Complexity</w:t>
      </w:r>
    </w:p>
    <w:p>
      <w:pPr>
        <w:pStyle w:val="FirstParagraph"/>
      </w:pPr>
      <w:r>
        <w:t xml:space="preserve">Regulatory requirements vary dramatically between jurisdictions. What works for MGA doesn’t satisfy Spelinspektionen. Brazil’s Law 14.790/2023 demands PIX integration and specific responsible gaming workflows. Germany’s GlüStV 2021 restricts bonus structures that work fine in other markets. This isn’t theoretical; it’s a daily operational reality for any operator expanding beyond a single license.</w:t>
      </w:r>
    </w:p>
    <w:bookmarkStart w:id="20" w:name="why-it-happens"/>
    <w:p>
      <w:pPr>
        <w:pStyle w:val="Heading3"/>
      </w:pPr>
      <w:r>
        <w:t xml:space="preserve">Why it happens</w:t>
      </w:r>
    </w:p>
    <w:p>
      <w:pPr>
        <w:pStyle w:val="FirstParagraph"/>
      </w:pPr>
      <w:r>
        <w:rPr>
          <w:b/>
          <w:bCs/>
        </w:rPr>
        <w:t xml:space="preserve">Architectural:</w:t>
      </w:r>
      <w:r>
        <w:t xml:space="preserve"> </w:t>
      </w:r>
      <w:r>
        <w:t xml:space="preserve">Most platforms build compliance as a layer on top of core functionality. When new regulations emerge, they bolt on features rather than redesigning the foundation. This creates compliance debt that compounds across markets. It’s a quick fix that becomes a long-term headache.</w:t>
      </w:r>
    </w:p>
    <w:bookmarkEnd w:id="20"/>
    <w:bookmarkStart w:id="21" w:name="early-warning-signs"/>
    <w:p>
      <w:pPr>
        <w:pStyle w:val="Heading3"/>
      </w:pPr>
      <w:r>
        <w:t xml:space="preserve">Early warning signs</w:t>
      </w:r>
    </w:p>
    <w:p>
      <w:pPr>
        <w:pStyle w:val="Compact"/>
        <w:numPr>
          <w:ilvl w:val="0"/>
          <w:numId w:val="1001"/>
        </w:numPr>
      </w:pPr>
      <w:r>
        <w:t xml:space="preserve">Vendor demonstrates generic</w:t>
      </w:r>
      <w:r>
        <w:t xml:space="preserve"> </w:t>
      </w:r>
      <w:r>
        <w:t xml:space="preserve">“responsible gaming tools”</w:t>
      </w:r>
      <w:r>
        <w:t xml:space="preserve"> </w:t>
      </w:r>
      <w:r>
        <w:t xml:space="preserve">without showing jurisdiction-specific workflows.</w:t>
      </w:r>
    </w:p>
    <w:p>
      <w:pPr>
        <w:pStyle w:val="Compact"/>
        <w:numPr>
          <w:ilvl w:val="0"/>
          <w:numId w:val="1001"/>
        </w:numPr>
      </w:pPr>
      <w:r>
        <w:t xml:space="preserve">Sales team can’t explain how their platform handles conflicting bonus restrictions across markets.</w:t>
      </w:r>
    </w:p>
    <w:p>
      <w:pPr>
        <w:pStyle w:val="Compact"/>
        <w:numPr>
          <w:ilvl w:val="0"/>
          <w:numId w:val="1001"/>
        </w:numPr>
      </w:pPr>
      <w:r>
        <w:t xml:space="preserve">Reference clients operate in only 1-2 regulated jurisdictions, despite vendor claims of</w:t>
      </w:r>
      <w:r>
        <w:t xml:space="preserve"> </w:t>
      </w:r>
      <w:r>
        <w:t xml:space="preserve">“global compliance.”</w:t>
      </w:r>
    </w:p>
    <w:p>
      <w:pPr>
        <w:pStyle w:val="Compact"/>
        <w:numPr>
          <w:ilvl w:val="0"/>
          <w:numId w:val="1001"/>
        </w:numPr>
      </w:pPr>
      <w:r>
        <w:t xml:space="preserve">Platform requires custom development for each new market, rather than simple configuration changes.</w:t>
      </w:r>
    </w:p>
    <w:p>
      <w:pPr>
        <w:pStyle w:val="Compact"/>
        <w:numPr>
          <w:ilvl w:val="0"/>
          <w:numId w:val="1001"/>
        </w:numPr>
      </w:pPr>
      <w:r>
        <w:t xml:space="preserve">Compliance documentation is generic, instead of regulation-specific.</w:t>
      </w:r>
    </w:p>
    <w:bookmarkEnd w:id="21"/>
    <w:bookmarkStart w:id="22" w:name="business-impact"/>
    <w:p>
      <w:pPr>
        <w:pStyle w:val="Heading3"/>
      </w:pPr>
      <w:r>
        <w:t xml:space="preserve">Business impact</w:t>
      </w:r>
    </w:p>
    <w:p>
      <w:pPr>
        <w:pStyle w:val="FirstParagraph"/>
      </w:pPr>
      <w:r>
        <w:t xml:space="preserve">License rejections cost 6-12 months and often require starting the application process over. In Brazil’s 2026 framework opening, missing the initial licensing window means watching competitors establish market position while you’re stuck in regulatory review. Each month of delay typically costs 2-3% of projected annual GGR.</w:t>
      </w:r>
    </w:p>
    <w:bookmarkEnd w:id="22"/>
    <w:bookmarkStart w:id="23" w:name="hidden-cost"/>
    <w:p>
      <w:pPr>
        <w:pStyle w:val="Heading3"/>
      </w:pPr>
      <w:r>
        <w:t xml:space="preserve">Hidden cost</w:t>
      </w:r>
    </w:p>
    <w:p>
      <w:pPr>
        <w:pStyle w:val="FirstParagraph"/>
      </w:pPr>
      <w:r>
        <w:t xml:space="preserve">Re-certification requirements when changing platform components. For example, adding a new payment provider in Germany might require full platform recertification under GlüStV 2021. That process can take 8-12 weeks and cost €15,000-30,000 in legal and consulting fees.</w:t>
      </w:r>
    </w:p>
    <w:bookmarkEnd w:id="23"/>
    <w:bookmarkStart w:id="24" w:name="who-solves-it"/>
    <w:p>
      <w:pPr>
        <w:pStyle w:val="Heading3"/>
      </w:pPr>
      <w:r>
        <w:t xml:space="preserve">Who solves it</w:t>
      </w:r>
    </w:p>
    <w:p>
      <w:pPr>
        <w:pStyle w:val="Compact"/>
        <w:numPr>
          <w:ilvl w:val="0"/>
          <w:numId w:val="1002"/>
        </w:numPr>
      </w:pPr>
      <w:r>
        <w:rPr>
          <w:b/>
          <w:bCs/>
        </w:rPr>
        <w:t xml:space="preserve">Playtech</w:t>
      </w:r>
      <w:r>
        <w:t xml:space="preserve">: They built their IMS platform around regulatory complexity. Playtech’s IMS platform offers automated reporting and compliance tools designed for multiple jurisdictions. Its jurisdiction-specific bonus engines enforce local restrictions without breaking global campaigns. In 2026, Playtech lifted its profit outlook, citing expanded partnership momentum and accelerated returns from multi-year investments across American markets.</w:t>
      </w:r>
    </w:p>
    <w:p>
      <w:pPr>
        <w:pStyle w:val="Compact"/>
        <w:numPr>
          <w:ilvl w:val="0"/>
          <w:numId w:val="1002"/>
        </w:numPr>
      </w:pPr>
      <w:r>
        <w:rPr>
          <w:b/>
          <w:bCs/>
        </w:rPr>
        <w:t xml:space="preserve">BetConstruct</w:t>
      </w:r>
      <w:r>
        <w:t xml:space="preserve">: BetConstruct offers modules that support regional requirements, including localization and various payment integrations, designed for flexibility across different markets. Their Spring Platform handles conflicting market requirements through configuration rather than custom code. BetConstruct was named Global Gaming Company of the Year at the 2026 International Gaming Awards.</w:t>
      </w:r>
    </w:p>
    <w:p>
      <w:pPr>
        <w:pStyle w:val="Compact"/>
        <w:numPr>
          <w:ilvl w:val="0"/>
          <w:numId w:val="1002"/>
        </w:numPr>
      </w:pPr>
      <w:r>
        <w:rPr>
          <w:b/>
          <w:bCs/>
        </w:rPr>
        <w:t xml:space="preserve">EveryMatrix</w:t>
      </w:r>
      <w:r>
        <w:t xml:space="preserve">: Their modular approach lets you swap compliance modules per market without touching core platform functionality. Their BonusEngine is designed to handle a variety of bonusing options and can be tailored. EveryMatrix received conditional licensing approval from the Alberta Gaming, Liquor and Cannabis Commission in May 2026, expanding its North American footprint.</w:t>
      </w:r>
    </w:p>
    <w:bookmarkEnd w:id="24"/>
    <w:bookmarkStart w:id="25" w:name="who-makes-it-worse"/>
    <w:p>
      <w:pPr>
        <w:pStyle w:val="Heading3"/>
      </w:pPr>
      <w:r>
        <w:t xml:space="preserve">Who makes it worse</w:t>
      </w:r>
    </w:p>
    <w:p>
      <w:pPr>
        <w:pStyle w:val="Compact"/>
        <w:numPr>
          <w:ilvl w:val="0"/>
          <w:numId w:val="1003"/>
        </w:numPr>
      </w:pPr>
      <w:r>
        <w:t xml:space="preserve">Turnkey platforms that treat compliance as a checkbox, rather than an architectural principle.</w:t>
      </w:r>
    </w:p>
    <w:p>
      <w:pPr>
        <w:pStyle w:val="Compact"/>
        <w:numPr>
          <w:ilvl w:val="0"/>
          <w:numId w:val="1003"/>
        </w:numPr>
      </w:pPr>
      <w:r>
        <w:t xml:space="preserve">Monolithic systems where changing one compliance feature affects unrelated platform components.</w:t>
      </w:r>
    </w:p>
    <w:p>
      <w:pPr>
        <w:pStyle w:val="Compact"/>
        <w:numPr>
          <w:ilvl w:val="0"/>
          <w:numId w:val="1003"/>
        </w:numPr>
      </w:pPr>
      <w:r>
        <w:t xml:space="preserve">Vendors without dedicated regulatory teams who rely on operators to interpret local requirements.</w:t>
      </w:r>
    </w:p>
    <w:bookmarkEnd w:id="25"/>
    <w:bookmarkStart w:id="26" w:name="demo-question---auditable-instrument"/>
    <w:p>
      <w:pPr>
        <w:pStyle w:val="Heading3"/>
      </w:pPr>
      <w:r>
        <w:t xml:space="preserve">Demo question - auditable instrument</w:t>
      </w:r>
    </w:p>
    <w:p>
      <w:pPr>
        <w:pStyle w:val="FirstParagraph"/>
      </w:pPr>
      <w:r>
        <w:t xml:space="preserve">Request documentation showing how their platform handles a specific regulatory conflict:</w:t>
      </w:r>
      <w:r>
        <w:t xml:space="preserve"> </w:t>
      </w:r>
      <w:r>
        <w:t xml:space="preserve">“Show us how your bonus engine handles a player who’s subject to Swedish spending limits but traveling in Malta, where those limits don’t apply.”</w:t>
      </w:r>
    </w:p>
    <w:p>
      <w:pPr>
        <w:pStyle w:val="BodyText"/>
      </w:pPr>
      <w:r>
        <w:t xml:space="preserve">A good answer looks like: jurisdiction-specific rule engines with real-time geo-location integration and detailed audit trails. A red flag answer: vague promises about</w:t>
      </w:r>
      <w:r>
        <w:t xml:space="preserve"> </w:t>
      </w:r>
      <w:r>
        <w:t xml:space="preserve">“configurable compliance”</w:t>
      </w:r>
      <w:r>
        <w:t xml:space="preserve"> </w:t>
      </w:r>
      <w:r>
        <w:t xml:space="preserve">without demonstrating the actual workflow.</w:t>
      </w:r>
    </w:p>
    <w:bookmarkEnd w:id="26"/>
    <w:bookmarkStart w:id="27" w:name="contract-protection"/>
    <w:p>
      <w:pPr>
        <w:pStyle w:val="Heading3"/>
      </w:pPr>
      <w:r>
        <w:t xml:space="preserve">Contract protection</w:t>
      </w:r>
    </w:p>
    <w:p>
      <w:pPr>
        <w:pStyle w:val="FirstParagraph"/>
      </w:pPr>
      <w:r>
        <w:t xml:space="preserve">Include jurisdiction-specific performance guarantees:</w:t>
      </w:r>
      <w:r>
        <w:t xml:space="preserve"> </w:t>
      </w:r>
      <w:r>
        <w:t xml:space="preserve">“Platform must support [specific regulation] requirements within 90 days of regulatory finalization, with vendor bearing costs of non-compliance, including license application delays.”</w:t>
      </w:r>
    </w:p>
    <w:bookmarkEnd w:id="27"/>
    <w:bookmarkEnd w:id="28"/>
    <w:bookmarkStart w:id="37" w:name="Xd4c7038f571fd81a9241764878a7ce9a0d589bd"/>
    <w:p>
      <w:pPr>
        <w:pStyle w:val="Heading2"/>
      </w:pPr>
      <w:r>
        <w:t xml:space="preserve">Challenge: Integration Timelines Exceeding Projections</w:t>
      </w:r>
    </w:p>
    <w:p>
      <w:pPr>
        <w:pStyle w:val="FirstParagraph"/>
      </w:pPr>
      <w:r>
        <w:t xml:space="preserve">Vendors quote 4-6 week implementations. Operators report 12-16 weeks to production deployment. The gap isn’t just optimistic sales projections. It’s a fundamental misunderstanding of what</w:t>
      </w:r>
      <w:r>
        <w:t xml:space="preserve"> </w:t>
      </w:r>
      <w:r>
        <w:t xml:space="preserve">“integration complete”</w:t>
      </w:r>
      <w:r>
        <w:t xml:space="preserve"> </w:t>
      </w:r>
      <w:r>
        <w:t xml:space="preserve">actually means in regulated markets.</w:t>
      </w:r>
    </w:p>
    <w:bookmarkStart w:id="29" w:name="why-it-happens-1"/>
    <w:p>
      <w:pPr>
        <w:pStyle w:val="Heading3"/>
      </w:pPr>
      <w:r>
        <w:t xml:space="preserve">Why it happens</w:t>
      </w:r>
    </w:p>
    <w:p>
      <w:pPr>
        <w:pStyle w:val="FirstParagraph"/>
      </w:pPr>
      <w:r>
        <w:rPr>
          <w:b/>
          <w:bCs/>
        </w:rPr>
        <w:t xml:space="preserve">Organizational:</w:t>
      </w:r>
      <w:r>
        <w:t xml:space="preserve"> </w:t>
      </w:r>
      <w:r>
        <w:t xml:space="preserve">Vendors measure integration as API connectivity. Operators need certification, testing, regulatory approval, and payment provider onboarding. These phases run sequentially, not parallel, and each can introduce delays vendors don’t control.</w:t>
      </w:r>
    </w:p>
    <w:bookmarkEnd w:id="29"/>
    <w:bookmarkStart w:id="30" w:name="early-warning-signs-1"/>
    <w:p>
      <w:pPr>
        <w:pStyle w:val="Heading3"/>
      </w:pPr>
      <w:r>
        <w:t xml:space="preserve">Early warning signs</w:t>
      </w:r>
    </w:p>
    <w:p>
      <w:pPr>
        <w:pStyle w:val="Compact"/>
        <w:numPr>
          <w:ilvl w:val="0"/>
          <w:numId w:val="1004"/>
        </w:numPr>
      </w:pPr>
      <w:r>
        <w:t xml:space="preserve">Integration timeline excludes payment service provider certification (typically 2-4 weeks).</w:t>
      </w:r>
    </w:p>
    <w:p>
      <w:pPr>
        <w:pStyle w:val="Compact"/>
        <w:numPr>
          <w:ilvl w:val="0"/>
          <w:numId w:val="1004"/>
        </w:numPr>
      </w:pPr>
      <w:r>
        <w:t xml:space="preserve">No mention of game provider certification requirements (1-2 weeks per major provider).</w:t>
      </w:r>
    </w:p>
    <w:p>
      <w:pPr>
        <w:pStyle w:val="Compact"/>
        <w:numPr>
          <w:ilvl w:val="0"/>
          <w:numId w:val="1004"/>
        </w:numPr>
      </w:pPr>
      <w:r>
        <w:t xml:space="preserve">Timeline assumes regulatory pre-approval, rather than including notification and review periods.</w:t>
      </w:r>
    </w:p>
    <w:p>
      <w:pPr>
        <w:pStyle w:val="Compact"/>
        <w:numPr>
          <w:ilvl w:val="0"/>
          <w:numId w:val="1004"/>
        </w:numPr>
      </w:pPr>
      <w:r>
        <w:t xml:space="preserve">Vendor can’t provide references for recent integrations in your target market.</w:t>
      </w:r>
    </w:p>
    <w:p>
      <w:pPr>
        <w:pStyle w:val="Compact"/>
        <w:numPr>
          <w:ilvl w:val="0"/>
          <w:numId w:val="1004"/>
        </w:numPr>
      </w:pPr>
      <w:r>
        <w:t xml:space="preserve">Project plan shows API testing, but no load testing or disaster recovery validation.</w:t>
      </w:r>
    </w:p>
    <w:bookmarkEnd w:id="30"/>
    <w:bookmarkStart w:id="31" w:name="business-impact-1"/>
    <w:p>
      <w:pPr>
        <w:pStyle w:val="Heading3"/>
      </w:pPr>
      <w:r>
        <w:t xml:space="preserve">Business impact</w:t>
      </w:r>
    </w:p>
    <w:p>
      <w:pPr>
        <w:pStyle w:val="FirstParagraph"/>
      </w:pPr>
      <w:r>
        <w:t xml:space="preserve">Every week of launch delay costs approximately 1.5% of monthly GGR at steady-state operation. For operators targeting market openings like Brazil 2026, missing the first 90 days of legal operation means watching competitors capture market share. This happens during the highest-value customer acquisition period.</w:t>
      </w:r>
    </w:p>
    <w:bookmarkEnd w:id="31"/>
    <w:bookmarkStart w:id="32" w:name="hidden-cost-1"/>
    <w:p>
      <w:pPr>
        <w:pStyle w:val="Heading3"/>
      </w:pPr>
      <w:r>
        <w:t xml:space="preserve">Hidden cost</w:t>
      </w:r>
    </w:p>
    <w:p>
      <w:pPr>
        <w:pStyle w:val="FirstParagraph"/>
      </w:pPr>
      <w:r>
        <w:t xml:space="preserve">Parallel workstream delays ripple through entire launch timelines. Marketing campaigns, payment gateway setups, and licensing applications all depend on platform integration milestones. Integration delays can extend total launch timelines by 2-3x the platform integration delay itself.</w:t>
      </w:r>
    </w:p>
    <w:bookmarkEnd w:id="32"/>
    <w:bookmarkStart w:id="33" w:name="who-solves-it-1"/>
    <w:p>
      <w:pPr>
        <w:pStyle w:val="Heading3"/>
      </w:pPr>
      <w:r>
        <w:t xml:space="preserve">Who solves it</w:t>
      </w:r>
    </w:p>
    <w:p>
      <w:pPr>
        <w:pStyle w:val="Compact"/>
        <w:numPr>
          <w:ilvl w:val="0"/>
          <w:numId w:val="1005"/>
        </w:numPr>
      </w:pPr>
      <w:r>
        <w:rPr>
          <w:b/>
          <w:bCs/>
        </w:rPr>
        <w:t xml:space="preserve">BlueOcean Gaming</w:t>
      </w:r>
      <w:r>
        <w:t xml:space="preserve">: Specializes in rapid white label deployment with standardized configurations. Their five-week timeline includes hosting, payment processing, and customer support. It’s genuinely turnkey, rather than just technical integration. In May 2026, BlueOcean Gaming expanded its GameHub offering by partnering with Black Lagoon Games to integrate innovative game types.</w:t>
      </w:r>
    </w:p>
    <w:p>
      <w:pPr>
        <w:pStyle w:val="Compact"/>
        <w:numPr>
          <w:ilvl w:val="0"/>
          <w:numId w:val="1005"/>
        </w:numPr>
      </w:pPr>
      <w:r>
        <w:rPr>
          <w:b/>
          <w:bCs/>
        </w:rPr>
        <w:t xml:space="preserve">NuxGame</w:t>
      </w:r>
      <w:r>
        <w:t xml:space="preserve">: Targets operators needing functional casinos fast. Their turnkey approach facilitates certification and compliance as part of standard deployment. This provides operators with integrated tools and support for regulatory adherence. NuxGame partnered with 155.io in May 2026 to bring mobile-first,</w:t>
      </w:r>
      <w:r>
        <w:t xml:space="preserve"> </w:t>
      </w:r>
      <w:r>
        <w:t xml:space="preserve">“betting on chaos”</w:t>
      </w:r>
      <w:r>
        <w:t xml:space="preserve"> </w:t>
      </w:r>
      <w:r>
        <w:t xml:space="preserve">live game formats to its operator clients.</w:t>
      </w:r>
    </w:p>
    <w:p>
      <w:pPr>
        <w:pStyle w:val="Compact"/>
        <w:numPr>
          <w:ilvl w:val="0"/>
          <w:numId w:val="1005"/>
        </w:numPr>
      </w:pPr>
      <w:r>
        <w:rPr>
          <w:b/>
          <w:bCs/>
        </w:rPr>
        <w:t xml:space="preserve">SOFTSWISS</w:t>
      </w:r>
      <w:r>
        <w:t xml:space="preserve">: Offers rapid deployment for operators accepting their standard configuration. SOFTSWISS offers rapid deployment solutions with API integration. They can assist with payment gateway certification when using their preferred providers. SOFTSWISS was named Best Casino Aggregator at the GamingTECH CEE Awards 2026, recognizing the scale and reliability of their platform.</w:t>
      </w:r>
    </w:p>
    <w:bookmarkEnd w:id="33"/>
    <w:bookmarkStart w:id="34" w:name="who-makes-it-worse-1"/>
    <w:p>
      <w:pPr>
        <w:pStyle w:val="Heading3"/>
      </w:pPr>
      <w:r>
        <w:t xml:space="preserve">Who makes it worse</w:t>
      </w:r>
    </w:p>
    <w:p>
      <w:pPr>
        <w:pStyle w:val="Compact"/>
        <w:numPr>
          <w:ilvl w:val="0"/>
          <w:numId w:val="1006"/>
        </w:numPr>
      </w:pPr>
      <w:r>
        <w:t xml:space="preserve">Platforms requiring extensive custom development for basic functionality.</w:t>
      </w:r>
    </w:p>
    <w:p>
      <w:pPr>
        <w:pStyle w:val="Compact"/>
        <w:numPr>
          <w:ilvl w:val="0"/>
          <w:numId w:val="1006"/>
        </w:numPr>
      </w:pPr>
      <w:r>
        <w:t xml:space="preserve">Vendors who treat certification as</w:t>
      </w:r>
      <w:r>
        <w:t xml:space="preserve"> </w:t>
      </w:r>
      <w:r>
        <w:t xml:space="preserve">“operator responsibility,”</w:t>
      </w:r>
      <w:r>
        <w:t xml:space="preserve"> </w:t>
      </w:r>
      <w:r>
        <w:t xml:space="preserve">rather than including it in integration planning.</w:t>
      </w:r>
    </w:p>
    <w:p>
      <w:pPr>
        <w:pStyle w:val="Compact"/>
        <w:numPr>
          <w:ilvl w:val="0"/>
          <w:numId w:val="1006"/>
        </w:numPr>
      </w:pPr>
      <w:r>
        <w:t xml:space="preserve">Modular platforms without experienced integration teams who underestimate component coordination complexity.</w:t>
      </w:r>
    </w:p>
    <w:bookmarkEnd w:id="34"/>
    <w:bookmarkStart w:id="35" w:name="demo-question---auditable-instrument-1"/>
    <w:p>
      <w:pPr>
        <w:pStyle w:val="Heading3"/>
      </w:pPr>
      <w:r>
        <w:t xml:space="preserve">Demo question - auditable instrument</w:t>
      </w:r>
    </w:p>
    <w:p>
      <w:pPr>
        <w:pStyle w:val="FirstParagraph"/>
      </w:pPr>
      <w:r>
        <w:t xml:space="preserve">Request a detailed project timeline for your specific market, including all certification phases:</w:t>
      </w:r>
      <w:r>
        <w:t xml:space="preserve"> </w:t>
      </w:r>
      <w:r>
        <w:t xml:space="preserve">“Provide a week-by-week integration schedule including payment certification, game provider approvals, and regulatory notifications for [your target market].”</w:t>
      </w:r>
    </w:p>
    <w:p>
      <w:pPr>
        <w:pStyle w:val="BodyText"/>
      </w:pPr>
      <w:r>
        <w:t xml:space="preserve">A good answer looks like: a detailed project plan with dependencies mapped and certification timelines based on actual recent implementations. A red flag answer: a generic timeline that doesn’t account for market-specific requirements.</w:t>
      </w:r>
    </w:p>
    <w:bookmarkEnd w:id="35"/>
    <w:bookmarkStart w:id="36" w:name="contract-protection-1"/>
    <w:p>
      <w:pPr>
        <w:pStyle w:val="Heading3"/>
      </w:pPr>
      <w:r>
        <w:t xml:space="preserve">Contract protection</w:t>
      </w:r>
    </w:p>
    <w:p>
      <w:pPr>
        <w:pStyle w:val="FirstParagraph"/>
      </w:pPr>
      <w:r>
        <w:t xml:space="preserve">Include milestone-based timelines with specific deliverables:</w:t>
      </w:r>
      <w:r>
        <w:t xml:space="preserve"> </w:t>
      </w:r>
      <w:r>
        <w:t xml:space="preserve">“Live operation with full payment processing and game library available within X weeks, with penalties for vendor-caused delays of €Y per week beyond agreed timeline.”</w:t>
      </w:r>
    </w:p>
    <w:bookmarkEnd w:id="36"/>
    <w:bookmarkEnd w:id="37"/>
    <w:bookmarkStart w:id="46" w:name="challenge-hidden-costs-in-pricing-models"/>
    <w:p>
      <w:pPr>
        <w:pStyle w:val="Heading2"/>
      </w:pPr>
      <w:r>
        <w:t xml:space="preserve">Challenge: Hidden Costs in Pricing Models</w:t>
      </w:r>
    </w:p>
    <w:p>
      <w:pPr>
        <w:pStyle w:val="FirstParagraph"/>
      </w:pPr>
      <w:r>
        <w:t xml:space="preserve">Revenue-share models look attractive during startup phase but become expensive at scale. Fixed-fee platforms require upfront investment that cash-strapped operators can’t afford. The challenge isn’t finding affordable pricing. It’s finding sustainable pricing that doesn’t penalize growth.</w:t>
      </w:r>
    </w:p>
    <w:bookmarkStart w:id="38" w:name="why-it-happens-2"/>
    <w:p>
      <w:pPr>
        <w:pStyle w:val="Heading3"/>
      </w:pPr>
      <w:r>
        <w:t xml:space="preserve">Why it happens</w:t>
      </w:r>
    </w:p>
    <w:p>
      <w:pPr>
        <w:pStyle w:val="FirstParagraph"/>
      </w:pPr>
      <w:r>
        <w:rPr>
          <w:b/>
          <w:bCs/>
        </w:rPr>
        <w:t xml:space="preserve">Commercial:</w:t>
      </w:r>
      <w:r>
        <w:t xml:space="preserve"> </w:t>
      </w:r>
      <w:r>
        <w:t xml:space="preserve">Vendors optimize pricing models for customer acquisition, not customer lifetime value. Revenue-share attracts price-sensitive startups but creates margin compression as operations scale. Fixed-fee models appeal to established operators but exclude emerging ones.</w:t>
      </w:r>
    </w:p>
    <w:bookmarkEnd w:id="38"/>
    <w:bookmarkStart w:id="39" w:name="early-warning-signs-2"/>
    <w:p>
      <w:pPr>
        <w:pStyle w:val="Heading3"/>
      </w:pPr>
      <w:r>
        <w:t xml:space="preserve">Early warning signs</w:t>
      </w:r>
    </w:p>
    <w:p>
      <w:pPr>
        <w:pStyle w:val="Compact"/>
        <w:numPr>
          <w:ilvl w:val="0"/>
          <w:numId w:val="1007"/>
        </w:numPr>
      </w:pPr>
      <w:r>
        <w:t xml:space="preserve">Revenue-share percentages don’t decrease at higher volume tiers.</w:t>
      </w:r>
    </w:p>
    <w:p>
      <w:pPr>
        <w:pStyle w:val="Compact"/>
        <w:numPr>
          <w:ilvl w:val="0"/>
          <w:numId w:val="1007"/>
        </w:numPr>
      </w:pPr>
      <w:r>
        <w:t xml:space="preserve">Fixed fees don’t include essential services like payment processing or game provider relationships.</w:t>
      </w:r>
    </w:p>
    <w:p>
      <w:pPr>
        <w:pStyle w:val="Compact"/>
        <w:numPr>
          <w:ilvl w:val="0"/>
          <w:numId w:val="1007"/>
        </w:numPr>
      </w:pPr>
      <w:r>
        <w:t xml:space="preserve">Vendor can’t provide total cost projections at your target scale.</w:t>
      </w:r>
    </w:p>
    <w:p>
      <w:pPr>
        <w:pStyle w:val="Compact"/>
        <w:numPr>
          <w:ilvl w:val="0"/>
          <w:numId w:val="1007"/>
        </w:numPr>
      </w:pPr>
      <w:r>
        <w:t xml:space="preserve">Contract includes</w:t>
      </w:r>
      <w:r>
        <w:t xml:space="preserve"> </w:t>
      </w:r>
      <w:r>
        <w:t xml:space="preserve">“additional fees”</w:t>
      </w:r>
      <w:r>
        <w:t xml:space="preserve"> </w:t>
      </w:r>
      <w:r>
        <w:t xml:space="preserve">clauses without rate caps.</w:t>
      </w:r>
    </w:p>
    <w:p>
      <w:pPr>
        <w:pStyle w:val="Compact"/>
        <w:numPr>
          <w:ilvl w:val="0"/>
          <w:numId w:val="1007"/>
        </w:numPr>
      </w:pPr>
      <w:r>
        <w:t xml:space="preserve">Pricing excludes certification, integration, or professional services costs.</w:t>
      </w:r>
    </w:p>
    <w:bookmarkEnd w:id="39"/>
    <w:bookmarkStart w:id="40" w:name="business-impact-2"/>
    <w:p>
      <w:pPr>
        <w:pStyle w:val="Heading3"/>
      </w:pPr>
      <w:r>
        <w:t xml:space="preserve">Business impact</w:t>
      </w:r>
    </w:p>
    <w:p>
      <w:pPr>
        <w:pStyle w:val="FirstParagraph"/>
      </w:pPr>
      <w:r>
        <w:t xml:space="preserve">Revenue-share models typically cost 15-25% more than fixed fees once monthly GGR exceeds €500K. For operators hitting €2M+ monthly GGR, this difference represents €200K+ annually. That’s enough to fund significant competitive advantages or margin preservation during market expansion.</w:t>
      </w:r>
    </w:p>
    <w:bookmarkEnd w:id="40"/>
    <w:bookmarkStart w:id="41" w:name="hidden-cost-2"/>
    <w:p>
      <w:pPr>
        <w:pStyle w:val="Heading3"/>
      </w:pPr>
      <w:r>
        <w:t xml:space="preserve">Hidden cost</w:t>
      </w:r>
    </w:p>
    <w:p>
      <w:pPr>
        <w:pStyle w:val="FirstParagraph"/>
      </w:pPr>
      <w:r>
        <w:t xml:space="preserve">Professional services requirements disguised as</w:t>
      </w:r>
      <w:r>
        <w:t xml:space="preserve"> </w:t>
      </w:r>
      <w:r>
        <w:t xml:space="preserve">“optional”</w:t>
      </w:r>
      <w:r>
        <w:t xml:space="preserve"> </w:t>
      </w:r>
      <w:r>
        <w:t xml:space="preserve">features. Many platforms require paid consulting for custom bonus structures, payment gateway additions, or compliance configurations. These should be standard platform capabilities.</w:t>
      </w:r>
    </w:p>
    <w:bookmarkEnd w:id="41"/>
    <w:bookmarkStart w:id="42" w:name="who-solves-it-2"/>
    <w:p>
      <w:pPr>
        <w:pStyle w:val="Heading3"/>
      </w:pPr>
      <w:r>
        <w:t xml:space="preserve">Who solves it</w:t>
      </w:r>
    </w:p>
    <w:p>
      <w:pPr>
        <w:pStyle w:val="Compact"/>
        <w:numPr>
          <w:ilvl w:val="0"/>
          <w:numId w:val="1008"/>
        </w:numPr>
      </w:pPr>
      <w:r>
        <w:rPr>
          <w:b/>
          <w:bCs/>
        </w:rPr>
        <w:t xml:space="preserve">EveryMatrix</w:t>
      </w:r>
      <w:r>
        <w:t xml:space="preserve">: EveryMatrix offers modular pricing that allows operators to add or remove components based on their needs. It can be more competitive at higher GGR volumes, where its modular architecture and compliance coverage justify the cost. No forced bundling of services you don’t need is implied by its modular design. In May 2026, EveryMatrix expanded its North American presence with conditional licensing approval in Alberta, Canada.</w:t>
      </w:r>
    </w:p>
    <w:p>
      <w:pPr>
        <w:pStyle w:val="Compact"/>
        <w:numPr>
          <w:ilvl w:val="0"/>
          <w:numId w:val="1008"/>
        </w:numPr>
      </w:pPr>
      <w:r>
        <w:rPr>
          <w:b/>
          <w:bCs/>
        </w:rPr>
        <w:t xml:space="preserve">Pragmatic Solutions</w:t>
      </w:r>
      <w:r>
        <w:t xml:space="preserve">: Pricing is not publicly disclosed. Contact the vendor directly. Their API-first architecture is designed to enable technical teams to implement custom features. Pragmatic Solutions appointed Michael Wallington as Chief Product Officer in May 2026, underscoring their commitment to platform development.</w:t>
      </w:r>
    </w:p>
    <w:p>
      <w:pPr>
        <w:pStyle w:val="Compact"/>
        <w:numPr>
          <w:ilvl w:val="0"/>
          <w:numId w:val="1008"/>
        </w:numPr>
      </w:pPr>
      <w:r>
        <w:rPr>
          <w:b/>
          <w:bCs/>
        </w:rPr>
        <w:t xml:space="preserve">Playtech</w:t>
      </w:r>
      <w:r>
        <w:t xml:space="preserve">: Offers enterprise pricing that includes comprehensive support, certification assistance, and dedicated account management. This means a higher upfront cost but a predictable total cost of ownership. Playtech lifted its profit outlook for 2026, citing strong performance in American markets and plans to invest further in Live Casino.</w:t>
      </w:r>
    </w:p>
    <w:bookmarkEnd w:id="42"/>
    <w:bookmarkStart w:id="43" w:name="who-makes-it-worse-2"/>
    <w:p>
      <w:pPr>
        <w:pStyle w:val="Heading3"/>
      </w:pPr>
      <w:r>
        <w:t xml:space="preserve">Who makes it worse</w:t>
      </w:r>
    </w:p>
    <w:p>
      <w:pPr>
        <w:pStyle w:val="Compact"/>
        <w:numPr>
          <w:ilvl w:val="0"/>
          <w:numId w:val="1009"/>
        </w:numPr>
      </w:pPr>
      <w:r>
        <w:t xml:space="preserve">Revenue-share models without volume discounts that penalize successful operators.</w:t>
      </w:r>
    </w:p>
    <w:p>
      <w:pPr>
        <w:pStyle w:val="Compact"/>
        <w:numPr>
          <w:ilvl w:val="0"/>
          <w:numId w:val="1009"/>
        </w:numPr>
      </w:pPr>
      <w:r>
        <w:t xml:space="preserve">“Platform”</w:t>
      </w:r>
      <w:r>
        <w:t xml:space="preserve"> </w:t>
      </w:r>
      <w:r>
        <w:t xml:space="preserve">providers that charge separately for essential services like payment processing or compliance reporting.</w:t>
      </w:r>
    </w:p>
    <w:p>
      <w:pPr>
        <w:pStyle w:val="Compact"/>
        <w:numPr>
          <w:ilvl w:val="0"/>
          <w:numId w:val="1009"/>
        </w:numPr>
      </w:pPr>
      <w:r>
        <w:t xml:space="preserve">Vendors using professional services revenue to subsidize artificially low platform pricing.</w:t>
      </w:r>
    </w:p>
    <w:bookmarkEnd w:id="43"/>
    <w:bookmarkStart w:id="44" w:name="demo-question---auditable-instrument-2"/>
    <w:p>
      <w:pPr>
        <w:pStyle w:val="Heading3"/>
      </w:pPr>
      <w:r>
        <w:t xml:space="preserve">Demo question - auditable instrument</w:t>
      </w:r>
    </w:p>
    <w:p>
      <w:pPr>
        <w:pStyle w:val="FirstParagraph"/>
      </w:pPr>
      <w:r>
        <w:t xml:space="preserve">Request a total cost breakdown at your projected 18-month scale:</w:t>
      </w:r>
      <w:r>
        <w:t xml:space="preserve"> </w:t>
      </w:r>
      <w:r>
        <w:t xml:space="preserve">“Provide line-item pricing for €2M monthly GGR, including all platform fees, payment processing, game provider costs, and any professional services requirements.”</w:t>
      </w:r>
    </w:p>
    <w:p>
      <w:pPr>
        <w:pStyle w:val="BodyText"/>
      </w:pPr>
      <w:r>
        <w:t xml:space="preserve">A good answer looks like: a comprehensive pricing model with volume tiers and clear breakdowns of what’s included versus additional. A red flag answer: vague estimates or reluctance to provide scaling projections.</w:t>
      </w:r>
    </w:p>
    <w:bookmarkEnd w:id="44"/>
    <w:bookmarkStart w:id="45" w:name="contract-protection-2"/>
    <w:p>
      <w:pPr>
        <w:pStyle w:val="Heading3"/>
      </w:pPr>
      <w:r>
        <w:t xml:space="preserve">Contract protection</w:t>
      </w:r>
    </w:p>
    <w:p>
      <w:pPr>
        <w:pStyle w:val="FirstParagraph"/>
      </w:pPr>
      <w:r>
        <w:t xml:space="preserve">Include pricing transparency requirements:</w:t>
      </w:r>
      <w:r>
        <w:t xml:space="preserve"> </w:t>
      </w:r>
      <w:r>
        <w:t xml:space="preserve">“Vendor will provide annual total cost projections based on customer-provided volume forecasts, with contractual caps on additional fees beyond agreed pricing structure.”</w:t>
      </w:r>
    </w:p>
    <w:bookmarkEnd w:id="45"/>
    <w:bookmarkEnd w:id="46"/>
    <w:bookmarkStart w:id="55" w:name="X63468b777a1b85350aeb13690d57638bf11a715"/>
    <w:p>
      <w:pPr>
        <w:pStyle w:val="Heading2"/>
      </w:pPr>
      <w:r>
        <w:t xml:space="preserve">Challenge: Casino Platform Vendor Lock-in and Data Portability</w:t>
      </w:r>
    </w:p>
    <w:p>
      <w:pPr>
        <w:pStyle w:val="FirstParagraph"/>
      </w:pPr>
      <w:r>
        <w:t xml:space="preserve">Switching casino platforms means rebuilding player accounts, migrating game histories, and re-establishing payment relationships. Vendors know this, so they design platforms that make leaving painful. The challenge isn’t avoiding lock-in entirely. It’s ensuring you can leave without destroying your business.</w:t>
      </w:r>
    </w:p>
    <w:bookmarkStart w:id="47" w:name="why-it-happens-3"/>
    <w:p>
      <w:pPr>
        <w:pStyle w:val="Heading3"/>
      </w:pPr>
      <w:r>
        <w:t xml:space="preserve">Why it happens</w:t>
      </w:r>
    </w:p>
    <w:p>
      <w:pPr>
        <w:pStyle w:val="FirstParagraph"/>
      </w:pPr>
      <w:r>
        <w:rPr>
          <w:b/>
          <w:bCs/>
        </w:rPr>
        <w:t xml:space="preserve">Architectural:</w:t>
      </w:r>
      <w:r>
        <w:t xml:space="preserve"> </w:t>
      </w:r>
      <w:r>
        <w:t xml:space="preserve">Platforms use proprietary data formats, integrated payment processing, and shared databases across modules. What’s sold as</w:t>
      </w:r>
      <w:r>
        <w:t xml:space="preserve"> </w:t>
      </w:r>
      <w:r>
        <w:t xml:space="preserve">“seamless integration”</w:t>
      </w:r>
      <w:r>
        <w:t xml:space="preserve"> </w:t>
      </w:r>
      <w:r>
        <w:t xml:space="preserve">becomes</w:t>
      </w:r>
      <w:r>
        <w:t xml:space="preserve"> </w:t>
      </w:r>
      <w:r>
        <w:t xml:space="preserve">“impossible extraction”</w:t>
      </w:r>
      <w:r>
        <w:t xml:space="preserve"> </w:t>
      </w:r>
      <w:r>
        <w:t xml:space="preserve">when you need to migrate away.</w:t>
      </w:r>
    </w:p>
    <w:bookmarkEnd w:id="47"/>
    <w:bookmarkStart w:id="48" w:name="early-warning-signs-3"/>
    <w:p>
      <w:pPr>
        <w:pStyle w:val="Heading3"/>
      </w:pPr>
      <w:r>
        <w:t xml:space="preserve">Early warning signs</w:t>
      </w:r>
    </w:p>
    <w:p>
      <w:pPr>
        <w:pStyle w:val="Compact"/>
        <w:numPr>
          <w:ilvl w:val="0"/>
          <w:numId w:val="1010"/>
        </w:numPr>
      </w:pPr>
      <w:r>
        <w:t xml:space="preserve">Vendor can’t explain their data export format or provides vague answers about</w:t>
      </w:r>
      <w:r>
        <w:t xml:space="preserve"> </w:t>
      </w:r>
      <w:r>
        <w:t xml:space="preserve">“standard formats.”</w:t>
      </w:r>
    </w:p>
    <w:p>
      <w:pPr>
        <w:pStyle w:val="Compact"/>
        <w:numPr>
          <w:ilvl w:val="0"/>
          <w:numId w:val="1010"/>
        </w:numPr>
      </w:pPr>
      <w:r>
        <w:t xml:space="preserve">Platform components share databases, making partial migration impossible.</w:t>
      </w:r>
    </w:p>
    <w:p>
      <w:pPr>
        <w:pStyle w:val="Compact"/>
        <w:numPr>
          <w:ilvl w:val="0"/>
          <w:numId w:val="1010"/>
        </w:numPr>
      </w:pPr>
      <w:r>
        <w:t xml:space="preserve">Contract lacks specific data portability guarantees or includes restrictive data export fees.</w:t>
      </w:r>
    </w:p>
    <w:p>
      <w:pPr>
        <w:pStyle w:val="Compact"/>
        <w:numPr>
          <w:ilvl w:val="0"/>
          <w:numId w:val="1010"/>
        </w:numPr>
      </w:pPr>
      <w:r>
        <w:t xml:space="preserve">Payment processing is tightly integrated with no option to use external processors.</w:t>
      </w:r>
    </w:p>
    <w:p>
      <w:pPr>
        <w:pStyle w:val="Compact"/>
        <w:numPr>
          <w:ilvl w:val="0"/>
          <w:numId w:val="1010"/>
        </w:numPr>
      </w:pPr>
      <w:r>
        <w:t xml:space="preserve">Customer support and operational tools are platform-specific, rather than API-accessible.</w:t>
      </w:r>
    </w:p>
    <w:bookmarkEnd w:id="48"/>
    <w:bookmarkStart w:id="49" w:name="business-impact-3"/>
    <w:p>
      <w:pPr>
        <w:pStyle w:val="Heading3"/>
      </w:pPr>
      <w:r>
        <w:t xml:space="preserve">Business impact</w:t>
      </w:r>
    </w:p>
    <w:p>
      <w:pPr>
        <w:pStyle w:val="FirstParagraph"/>
      </w:pPr>
      <w:r>
        <w:t xml:space="preserve">Platform migrations typically cost 6-12 months and €200K-500K in development and operational costs. During migration, operators often experience 10-15% player churn due to account migration friction and service disruptions. For established operators, this represents significant competitive and financial risk.</w:t>
      </w:r>
    </w:p>
    <w:bookmarkEnd w:id="49"/>
    <w:bookmarkStart w:id="50" w:name="hidden-cost-3"/>
    <w:p>
      <w:pPr>
        <w:pStyle w:val="Heading3"/>
      </w:pPr>
      <w:r>
        <w:t xml:space="preserve">Hidden cost</w:t>
      </w:r>
    </w:p>
    <w:p>
      <w:pPr>
        <w:pStyle w:val="FirstParagraph"/>
      </w:pPr>
      <w:r>
        <w:t xml:space="preserve">Data egress fees and ongoing operational dependencies. Some platforms charge for data exports or require maintaining parallel systems during migration. Others integrate so deeply with payment and compliance systems that migration requires rebuilding these relationships from scratch.</w:t>
      </w:r>
    </w:p>
    <w:bookmarkEnd w:id="50"/>
    <w:bookmarkStart w:id="51" w:name="who-solves-it-3"/>
    <w:p>
      <w:pPr>
        <w:pStyle w:val="Heading3"/>
      </w:pPr>
      <w:r>
        <w:t xml:space="preserve">Who solves it</w:t>
      </w:r>
    </w:p>
    <w:p>
      <w:pPr>
        <w:pStyle w:val="Compact"/>
        <w:numPr>
          <w:ilvl w:val="0"/>
          <w:numId w:val="1011"/>
        </w:numPr>
      </w:pPr>
      <w:r>
        <w:rPr>
          <w:b/>
          <w:bCs/>
        </w:rPr>
        <w:t xml:space="preserve">EveryMatrix</w:t>
      </w:r>
      <w:r>
        <w:t xml:space="preserve">: Vendor-agnostic architecture means components can be replaced independently. Their APIs provide full data access, and modular design prevents vendor lock-in at the platform level. In 2026, EveryMatrix enhanced its sportsbook with the</w:t>
      </w:r>
      <w:r>
        <w:t xml:space="preserve"> </w:t>
      </w:r>
      <w:r>
        <w:t xml:space="preserve">“Pass The Stats”</w:t>
      </w:r>
      <w:r>
        <w:t xml:space="preserve"> </w:t>
      </w:r>
      <w:r>
        <w:t xml:space="preserve">feature, demonstrating continued development in component modularity.</w:t>
      </w:r>
    </w:p>
    <w:p>
      <w:pPr>
        <w:pStyle w:val="Compact"/>
        <w:numPr>
          <w:ilvl w:val="0"/>
          <w:numId w:val="1011"/>
        </w:numPr>
      </w:pPr>
      <w:r>
        <w:rPr>
          <w:b/>
          <w:bCs/>
        </w:rPr>
        <w:t xml:space="preserve">SOFTSWISS</w:t>
      </w:r>
      <w:r>
        <w:t xml:space="preserve">: SOFTSWISS offers a comprehensive platform designed with modular components and supports data export, which can facilitate migration. Their strategic vision for 2026 emphasizes expanding across regulated markets and AI-driven innovation, which often requires flexible data handling.</w:t>
      </w:r>
    </w:p>
    <w:p>
      <w:pPr>
        <w:pStyle w:val="Compact"/>
        <w:numPr>
          <w:ilvl w:val="0"/>
          <w:numId w:val="1011"/>
        </w:numPr>
      </w:pPr>
      <w:r>
        <w:rPr>
          <w:b/>
          <w:bCs/>
        </w:rPr>
        <w:t xml:space="preserve">Pragmatic Solutions</w:t>
      </w:r>
      <w:r>
        <w:t xml:space="preserve">: API-first architecture with complete data portability. Headless design means your front-end and customer data remain independent of their backend services. Pragmatic Solutions recently appointed a new Chief Product Officer in May 2026, indicating ongoing focus on platform capabilities.</w:t>
      </w:r>
    </w:p>
    <w:bookmarkEnd w:id="51"/>
    <w:bookmarkStart w:id="52" w:name="who-makes-it-worse-3"/>
    <w:p>
      <w:pPr>
        <w:pStyle w:val="Heading3"/>
      </w:pPr>
      <w:r>
        <w:t xml:space="preserve">Who makes it worse</w:t>
      </w:r>
    </w:p>
    <w:p>
      <w:pPr>
        <w:pStyle w:val="Compact"/>
        <w:numPr>
          <w:ilvl w:val="0"/>
          <w:numId w:val="1012"/>
        </w:numPr>
      </w:pPr>
      <w:r>
        <w:t xml:space="preserve">Monolithic platforms where changing one component requires rebuilding everything.</w:t>
      </w:r>
    </w:p>
    <w:p>
      <w:pPr>
        <w:pStyle w:val="Compact"/>
        <w:numPr>
          <w:ilvl w:val="0"/>
          <w:numId w:val="1012"/>
        </w:numPr>
      </w:pPr>
      <w:r>
        <w:t xml:space="preserve">Integrated payment processors that control customer payment data alongside gaming data.</w:t>
      </w:r>
    </w:p>
    <w:p>
      <w:pPr>
        <w:pStyle w:val="Compact"/>
        <w:numPr>
          <w:ilvl w:val="0"/>
          <w:numId w:val="1012"/>
        </w:numPr>
      </w:pPr>
      <w:r>
        <w:t xml:space="preserve">Platforms that bundle operational tools with core gaming functionality, making partial migration impossible.</w:t>
      </w:r>
    </w:p>
    <w:bookmarkEnd w:id="52"/>
    <w:bookmarkStart w:id="53" w:name="demo-question---auditable-instrument-3"/>
    <w:p>
      <w:pPr>
        <w:pStyle w:val="Heading3"/>
      </w:pPr>
      <w:r>
        <w:t xml:space="preserve">Demo question - auditable instrument</w:t>
      </w:r>
    </w:p>
    <w:p>
      <w:pPr>
        <w:pStyle w:val="FirstParagraph"/>
      </w:pPr>
      <w:r>
        <w:t xml:space="preserve">Request a complete data export from their sandbox environment:</w:t>
      </w:r>
      <w:r>
        <w:t xml:space="preserve"> </w:t>
      </w:r>
      <w:r>
        <w:t xml:space="preserve">“Provide a full data export, including player accounts, game histories, bonus records, and payment data in industry-standard formats, within 48 hours.”</w:t>
      </w:r>
    </w:p>
    <w:p>
      <w:pPr>
        <w:pStyle w:val="BodyText"/>
      </w:pPr>
      <w:r>
        <w:t xml:space="preserve">A good answer looks like: immediate data export in CSV/JSON formats with complete transaction and player history. A red flag answer: delays, proprietary formats, or incomplete data exports.</w:t>
      </w:r>
    </w:p>
    <w:bookmarkEnd w:id="53"/>
    <w:bookmarkStart w:id="54" w:name="contract-protection-3"/>
    <w:p>
      <w:pPr>
        <w:pStyle w:val="Heading3"/>
      </w:pPr>
      <w:r>
        <w:t xml:space="preserve">Contract protection</w:t>
      </w:r>
    </w:p>
    <w:p>
      <w:pPr>
        <w:pStyle w:val="FirstParagraph"/>
      </w:pPr>
      <w:r>
        <w:t xml:space="preserve">Include specific data portability guarantees:</w:t>
      </w:r>
      <w:r>
        <w:t xml:space="preserve"> </w:t>
      </w:r>
      <w:r>
        <w:t xml:space="preserve">“Complete customer data export in industry-standard formats within 30 days of contract termination, at no additional cost, including all player accounts, transaction histories, and bonus records.”</w:t>
      </w:r>
    </w:p>
    <w:bookmarkEnd w:id="54"/>
    <w:bookmarkEnd w:id="55"/>
    <w:bookmarkStart w:id="64" w:name="Xcd289c23a40ae06e71b808cffd8b7907ef7a5f9"/>
    <w:p>
      <w:pPr>
        <w:pStyle w:val="Heading2"/>
      </w:pPr>
      <w:r>
        <w:t xml:space="preserve">Challenge: Scaling Bottlenecks as Operations Grow</w:t>
      </w:r>
    </w:p>
    <w:p>
      <w:pPr>
        <w:pStyle w:val="FirstParagraph"/>
      </w:pPr>
      <w:r>
        <w:t xml:space="preserve">Platforms that work fine at 1,000 concurrent players start showing cracks at 10,000. Game loading slows down, payment processing queues back up, and customer support tools become unwieldy. The challenge isn’t just technical scaling. It’s architectural scaling across all operational areas.</w:t>
      </w:r>
    </w:p>
    <w:bookmarkStart w:id="56" w:name="why-it-happens-4"/>
    <w:p>
      <w:pPr>
        <w:pStyle w:val="Heading3"/>
      </w:pPr>
      <w:r>
        <w:t xml:space="preserve">Why it happens</w:t>
      </w:r>
    </w:p>
    <w:p>
      <w:pPr>
        <w:pStyle w:val="FirstParagraph"/>
      </w:pPr>
      <w:r>
        <w:rPr>
          <w:b/>
          <w:bCs/>
        </w:rPr>
        <w:t xml:space="preserve">Architectural:</w:t>
      </w:r>
      <w:r>
        <w:t xml:space="preserve"> </w:t>
      </w:r>
      <w:r>
        <w:t xml:space="preserve">Many platforms optimize for quick deployment rather than long-term scaling. Database architectures, API designs, and operational workflows that work during startup phase create bottlenecks as volume grows.</w:t>
      </w:r>
    </w:p>
    <w:bookmarkEnd w:id="56"/>
    <w:bookmarkStart w:id="57" w:name="early-warning-signs-4"/>
    <w:p>
      <w:pPr>
        <w:pStyle w:val="Heading3"/>
      </w:pPr>
      <w:r>
        <w:t xml:space="preserve">Early warning signs</w:t>
      </w:r>
    </w:p>
    <w:p>
      <w:pPr>
        <w:pStyle w:val="Compact"/>
        <w:numPr>
          <w:ilvl w:val="0"/>
          <w:numId w:val="1013"/>
        </w:numPr>
      </w:pPr>
      <w:r>
        <w:t xml:space="preserve">Platform performance metrics exclude peak traffic scenarios.</w:t>
      </w:r>
    </w:p>
    <w:p>
      <w:pPr>
        <w:pStyle w:val="Compact"/>
        <w:numPr>
          <w:ilvl w:val="0"/>
          <w:numId w:val="1013"/>
        </w:numPr>
      </w:pPr>
      <w:r>
        <w:t xml:space="preserve">Vendor can’t provide specific scaling benchmarks or SLA commitments beyond basic uptime.</w:t>
      </w:r>
    </w:p>
    <w:p>
      <w:pPr>
        <w:pStyle w:val="Compact"/>
        <w:numPr>
          <w:ilvl w:val="0"/>
          <w:numId w:val="1013"/>
        </w:numPr>
      </w:pPr>
      <w:r>
        <w:t xml:space="preserve">Database architecture isn’t designed for horizontal scaling.</w:t>
      </w:r>
    </w:p>
    <w:p>
      <w:pPr>
        <w:pStyle w:val="Compact"/>
        <w:numPr>
          <w:ilvl w:val="0"/>
          <w:numId w:val="1013"/>
        </w:numPr>
      </w:pPr>
      <w:r>
        <w:t xml:space="preserve">Customer support and back-office tools slow down with increased data volumes.</w:t>
      </w:r>
    </w:p>
    <w:p>
      <w:pPr>
        <w:pStyle w:val="Compact"/>
        <w:numPr>
          <w:ilvl w:val="0"/>
          <w:numId w:val="1013"/>
        </w:numPr>
      </w:pPr>
      <w:r>
        <w:t xml:space="preserve">API rate limiting or performance degrades with higher transaction volumes.</w:t>
      </w:r>
    </w:p>
    <w:bookmarkEnd w:id="57"/>
    <w:bookmarkStart w:id="58" w:name="business-impact-4"/>
    <w:p>
      <w:pPr>
        <w:pStyle w:val="Heading3"/>
      </w:pPr>
      <w:r>
        <w:t xml:space="preserve">Business impact</w:t>
      </w:r>
    </w:p>
    <w:p>
      <w:pPr>
        <w:pStyle w:val="FirstParagraph"/>
      </w:pPr>
      <w:r>
        <w:t xml:space="preserve">Performance degradation directly impacts conversion rates and player satisfaction. Game loading delays beyond 3 seconds typically reduce conversion by 20%+. Payment processing delays create customer service overhead and potential regulatory compliance issues in markets with strict transaction timing requirements.</w:t>
      </w:r>
    </w:p>
    <w:bookmarkEnd w:id="58"/>
    <w:bookmarkStart w:id="59" w:name="hidden-cost-4"/>
    <w:p>
      <w:pPr>
        <w:pStyle w:val="Heading3"/>
      </w:pPr>
      <w:r>
        <w:t xml:space="preserve">Hidden cost</w:t>
      </w:r>
    </w:p>
    <w:p>
      <w:pPr>
        <w:pStyle w:val="FirstParagraph"/>
      </w:pPr>
      <w:r>
        <w:t xml:space="preserve">Infrastructure upgrades disguised as</w:t>
      </w:r>
      <w:r>
        <w:t xml:space="preserve"> </w:t>
      </w:r>
      <w:r>
        <w:t xml:space="preserve">“optimization”</w:t>
      </w:r>
      <w:r>
        <w:t xml:space="preserve"> </w:t>
      </w:r>
      <w:r>
        <w:t xml:space="preserve">services. Platforms that can’t scale automatically often require expensive professional services engagements to maintain performance as operations grow.</w:t>
      </w:r>
    </w:p>
    <w:bookmarkEnd w:id="59"/>
    <w:bookmarkStart w:id="60" w:name="who-solves-it-4"/>
    <w:p>
      <w:pPr>
        <w:pStyle w:val="Heading3"/>
      </w:pPr>
      <w:r>
        <w:t xml:space="preserve">Who solves it</w:t>
      </w:r>
    </w:p>
    <w:p>
      <w:pPr>
        <w:pStyle w:val="Compact"/>
        <w:numPr>
          <w:ilvl w:val="0"/>
          <w:numId w:val="1014"/>
        </w:numPr>
      </w:pPr>
      <w:r>
        <w:rPr>
          <w:b/>
          <w:bCs/>
        </w:rPr>
        <w:t xml:space="preserve">Playtech</w:t>
      </w:r>
      <w:r>
        <w:t xml:space="preserve">: Enterprise architecture designed for massive scale. Playtech’s enterprise architecture is designed for massive scale and high transaction volumes. Their plan to double down on Live Casino investment in 2026 and beyond underscores their commitment to scalable, high-performance offerings.</w:t>
      </w:r>
    </w:p>
    <w:p>
      <w:pPr>
        <w:pStyle w:val="Compact"/>
        <w:numPr>
          <w:ilvl w:val="0"/>
          <w:numId w:val="1014"/>
        </w:numPr>
      </w:pPr>
      <w:r>
        <w:rPr>
          <w:b/>
          <w:bCs/>
        </w:rPr>
        <w:t xml:space="preserve">EveryMatrix</w:t>
      </w:r>
      <w:r>
        <w:t xml:space="preserve">: EveryMatrix’s CasinoEngine leverages a modular, microservices architecture designed for high throughput and scalability. Modular architecture allows scaling individual components based on demand. In 2026, EveryMatrix’s platform was enhanced with the</w:t>
      </w:r>
      <w:r>
        <w:t xml:space="preserve"> </w:t>
      </w:r>
      <w:r>
        <w:t xml:space="preserve">“Pass The Stats”</w:t>
      </w:r>
      <w:r>
        <w:t xml:space="preserve"> </w:t>
      </w:r>
      <w:r>
        <w:t xml:space="preserve">football feature, ready for high-volume betting events.</w:t>
      </w:r>
    </w:p>
    <w:p>
      <w:pPr>
        <w:pStyle w:val="Compact"/>
        <w:numPr>
          <w:ilvl w:val="0"/>
          <w:numId w:val="1014"/>
        </w:numPr>
      </w:pPr>
      <w:r>
        <w:rPr>
          <w:b/>
          <w:bCs/>
        </w:rPr>
        <w:t xml:space="preserve">SOFTSWISS</w:t>
      </w:r>
      <w:r>
        <w:t xml:space="preserve">: SOFTSWISS’s infrastructure is built for high volume. It reportedly processes over 2 billion bets per month across its client base and is designed for reliability and performance. CDN distribution and multi-region deployment handle traffic spikes without performance impact. SOFTSWISS’s 2026 strategic vision includes advancing product maturity and technical performance to support larger scale operations.</w:t>
      </w:r>
    </w:p>
    <w:bookmarkEnd w:id="60"/>
    <w:bookmarkStart w:id="61" w:name="who-makes-it-worse-4"/>
    <w:p>
      <w:pPr>
        <w:pStyle w:val="Heading3"/>
      </w:pPr>
      <w:r>
        <w:t xml:space="preserve">Who makes it worse</w:t>
      </w:r>
    </w:p>
    <w:p>
      <w:pPr>
        <w:pStyle w:val="Compact"/>
        <w:numPr>
          <w:ilvl w:val="0"/>
          <w:numId w:val="1015"/>
        </w:numPr>
      </w:pPr>
      <w:r>
        <w:t xml:space="preserve">Platforms built on shared databases that create scaling bottlenecks across all operators.</w:t>
      </w:r>
    </w:p>
    <w:p>
      <w:pPr>
        <w:pStyle w:val="Compact"/>
        <w:numPr>
          <w:ilvl w:val="0"/>
          <w:numId w:val="1015"/>
        </w:numPr>
      </w:pPr>
      <w:r>
        <w:t xml:space="preserve">Monolithic architectures that require scaling entire platforms rather than individual components.</w:t>
      </w:r>
    </w:p>
    <w:p>
      <w:pPr>
        <w:pStyle w:val="Compact"/>
        <w:numPr>
          <w:ilvl w:val="0"/>
          <w:numId w:val="1015"/>
        </w:numPr>
      </w:pPr>
      <w:r>
        <w:t xml:space="preserve">Vendors without dedicated infrastructure teams who rely on generic cloud services without gaming-specific optimization.</w:t>
      </w:r>
    </w:p>
    <w:bookmarkEnd w:id="61"/>
    <w:bookmarkStart w:id="62" w:name="demo-question---auditable-instrument-4"/>
    <w:p>
      <w:pPr>
        <w:pStyle w:val="Heading3"/>
      </w:pPr>
      <w:r>
        <w:t xml:space="preserve">Demo question - auditable instrument</w:t>
      </w:r>
    </w:p>
    <w:p>
      <w:pPr>
        <w:pStyle w:val="FirstParagraph"/>
      </w:pPr>
      <w:r>
        <w:t xml:space="preserve">Request load testing results for your projected peak traffic:</w:t>
      </w:r>
      <w:r>
        <w:t xml:space="preserve"> </w:t>
      </w:r>
      <w:r>
        <w:t xml:space="preserve">“Provide performance benchmarks for [X] concurrent players, including game loading times, payment processing speed, and API response times during peak traffic scenarios.”</w:t>
      </w:r>
    </w:p>
    <w:p>
      <w:pPr>
        <w:pStyle w:val="BodyText"/>
      </w:pPr>
      <w:r>
        <w:t xml:space="preserve">A good answer looks like: detailed performance metrics with specific response times and throughput numbers based on actual load testing. A red flag answer: generic promises about</w:t>
      </w:r>
      <w:r>
        <w:t xml:space="preserve"> </w:t>
      </w:r>
      <w:r>
        <w:t xml:space="preserve">“enterprise-grade infrastructure”</w:t>
      </w:r>
      <w:r>
        <w:t xml:space="preserve"> </w:t>
      </w:r>
      <w:r>
        <w:t xml:space="preserve">without specific performance data.</w:t>
      </w:r>
    </w:p>
    <w:bookmarkEnd w:id="62"/>
    <w:bookmarkStart w:id="63" w:name="contract-protection-4"/>
    <w:p>
      <w:pPr>
        <w:pStyle w:val="Heading3"/>
      </w:pPr>
      <w:r>
        <w:t xml:space="preserve">Contract protection</w:t>
      </w:r>
    </w:p>
    <w:p>
      <w:pPr>
        <w:pStyle w:val="FirstParagraph"/>
      </w:pPr>
      <w:r>
        <w:t xml:space="preserve">Include performance guarantees with financial penalties:</w:t>
      </w:r>
      <w:r>
        <w:t xml:space="preserve"> </w:t>
      </w:r>
      <w:r>
        <w:t xml:space="preserve">“Platform must maintain [specific performance metrics] during peak traffic, with service level credits for performance degradation beyond agreed thresholds.”</w:t>
      </w:r>
    </w:p>
    <w:bookmarkEnd w:id="63"/>
    <w:bookmarkEnd w:id="64"/>
    <w:bookmarkStart w:id="73" w:name="X027642d5568c1c2098c97d35bc0fdd7ea9baefe"/>
    <w:p>
      <w:pPr>
        <w:pStyle w:val="Heading2"/>
      </w:pPr>
      <w:r>
        <w:t xml:space="preserve">Challenge: Crypto Implementation Complexity</w:t>
      </w:r>
    </w:p>
    <w:p>
      <w:pPr>
        <w:pStyle w:val="FirstParagraph"/>
      </w:pPr>
      <w:r>
        <w:t xml:space="preserve">Adding cryptocurrency support isn’t just integrating a payment method. It’s implementing an entirely different financial architecture. Crypto operations require different compliance approaches, wallet management, taxation reporting, and regulatory considerations. Most traditional platforms handle these as afterthoughts.</w:t>
      </w:r>
    </w:p>
    <w:bookmarkStart w:id="65" w:name="why-it-happens-5"/>
    <w:p>
      <w:pPr>
        <w:pStyle w:val="Heading3"/>
      </w:pPr>
      <w:r>
        <w:t xml:space="preserve">Why it happens</w:t>
      </w:r>
    </w:p>
    <w:p>
      <w:pPr>
        <w:pStyle w:val="FirstParagraph"/>
      </w:pPr>
      <w:r>
        <w:rPr>
          <w:b/>
          <w:bCs/>
        </w:rPr>
        <w:t xml:space="preserve">Architectural:</w:t>
      </w:r>
      <w:r>
        <w:t xml:space="preserve"> </w:t>
      </w:r>
      <w:r>
        <w:t xml:space="preserve">Traditional casino platforms built around fiat currency assumptions struggle with crypto’s different transaction models, wallet management requirements, and regulatory complexity. Crypto features get bolted onto platforms, rather than integrated into core architecture.</w:t>
      </w:r>
    </w:p>
    <w:bookmarkEnd w:id="65"/>
    <w:bookmarkStart w:id="66" w:name="early-warning-signs-5"/>
    <w:p>
      <w:pPr>
        <w:pStyle w:val="Heading3"/>
      </w:pPr>
      <w:r>
        <w:t xml:space="preserve">Early warning signs</w:t>
      </w:r>
    </w:p>
    <w:p>
      <w:pPr>
        <w:pStyle w:val="Compact"/>
        <w:numPr>
          <w:ilvl w:val="0"/>
          <w:numId w:val="1016"/>
        </w:numPr>
      </w:pPr>
      <w:r>
        <w:t xml:space="preserve">Platform treats cryptocurrency as just another payment method, rather than recognizing different operational requirements.</w:t>
      </w:r>
    </w:p>
    <w:p>
      <w:pPr>
        <w:pStyle w:val="Compact"/>
        <w:numPr>
          <w:ilvl w:val="0"/>
          <w:numId w:val="1016"/>
        </w:numPr>
      </w:pPr>
      <w:r>
        <w:t xml:space="preserve">No native wallet management or crypto-to-fiat conversion capabilities.</w:t>
      </w:r>
    </w:p>
    <w:p>
      <w:pPr>
        <w:pStyle w:val="Compact"/>
        <w:numPr>
          <w:ilvl w:val="0"/>
          <w:numId w:val="1016"/>
        </w:numPr>
      </w:pPr>
      <w:r>
        <w:t xml:space="preserve">Vendor can’t explain how their platform handles crypto taxation reporting or compliance requirements.</w:t>
      </w:r>
    </w:p>
    <w:p>
      <w:pPr>
        <w:pStyle w:val="Compact"/>
        <w:numPr>
          <w:ilvl w:val="0"/>
          <w:numId w:val="1016"/>
        </w:numPr>
      </w:pPr>
      <w:r>
        <w:t xml:space="preserve">Crypto features require separate modules or third-party integrations, rather than native support.</w:t>
      </w:r>
    </w:p>
    <w:p>
      <w:pPr>
        <w:pStyle w:val="Compact"/>
        <w:numPr>
          <w:ilvl w:val="0"/>
          <w:numId w:val="1016"/>
        </w:numPr>
      </w:pPr>
      <w:r>
        <w:t xml:space="preserve">No experience with crypto-specific regulations or compliance requirements.</w:t>
      </w:r>
    </w:p>
    <w:bookmarkEnd w:id="66"/>
    <w:bookmarkStart w:id="67" w:name="business-impact-5"/>
    <w:p>
      <w:pPr>
        <w:pStyle w:val="Heading3"/>
      </w:pPr>
      <w:r>
        <w:t xml:space="preserve">Business impact</w:t>
      </w:r>
    </w:p>
    <w:p>
      <w:pPr>
        <w:pStyle w:val="FirstParagraph"/>
      </w:pPr>
      <w:r>
        <w:t xml:space="preserve">Poor crypto implementation creates customer experience friction that drives players to crypto-native competitors. Transaction delays, conversion fees, and wallet management complexity typically reduce crypto player retention by 30-40% compared to native crypto platforms.</w:t>
      </w:r>
    </w:p>
    <w:bookmarkEnd w:id="67"/>
    <w:bookmarkStart w:id="68" w:name="hidden-cost-5"/>
    <w:p>
      <w:pPr>
        <w:pStyle w:val="Heading3"/>
      </w:pPr>
      <w:r>
        <w:t xml:space="preserve">Hidden cost</w:t>
      </w:r>
    </w:p>
    <w:p>
      <w:pPr>
        <w:pStyle w:val="FirstParagraph"/>
      </w:pPr>
      <w:r>
        <w:t xml:space="preserve">Compliance complexity and taxation reporting requirements vary significantly between crypto and fiat operations. Many operators discover these requirements only during implementation. This often requires expensive custom development or third-party integrations.</w:t>
      </w:r>
    </w:p>
    <w:bookmarkEnd w:id="68"/>
    <w:bookmarkStart w:id="69" w:name="who-solves-it-5"/>
    <w:p>
      <w:pPr>
        <w:pStyle w:val="Heading3"/>
      </w:pPr>
      <w:r>
        <w:t xml:space="preserve">Who solves it</w:t>
      </w:r>
    </w:p>
    <w:p>
      <w:pPr>
        <w:pStyle w:val="Compact"/>
        <w:numPr>
          <w:ilvl w:val="0"/>
          <w:numId w:val="1017"/>
        </w:numPr>
      </w:pPr>
      <w:r>
        <w:rPr>
          <w:b/>
          <w:bCs/>
        </w:rPr>
        <w:t xml:space="preserve">SOFTSWISS</w:t>
      </w:r>
      <w:r>
        <w:t xml:space="preserve">: Offers native support for over 20 cryptocurrencies, with integrated fiat conversion capabilities that support conversion into several fiat currencies. Their platform handles crypto wallet management, taxation reporting, and compliance requirements as core functionality, rather than add-ons. In 2026, SOFTSWISS secured multiple awards, including Best Casino Aggregator, reflecting their leadership across innovative offerings.</w:t>
      </w:r>
    </w:p>
    <w:p>
      <w:pPr>
        <w:pStyle w:val="Compact"/>
        <w:numPr>
          <w:ilvl w:val="0"/>
          <w:numId w:val="1017"/>
        </w:numPr>
      </w:pPr>
      <w:r>
        <w:rPr>
          <w:b/>
          <w:bCs/>
        </w:rPr>
        <w:t xml:space="preserve">GR8 Tech</w:t>
      </w:r>
      <w:r>
        <w:t xml:space="preserve">: Hyper-focused on crypto casino deployment with streamlined processing for major cryptocurrencies. Their turnkey approach provides a comprehensive solution for crypto-specific operational requirements, significantly reducing the burden on operators. GR8 Tech won Best Sports Betting Provider in CEE at the GamingTECH Awards 2026 and Best Platform Provider at the SiGMA Eurasia Awards 2026.</w:t>
      </w:r>
    </w:p>
    <w:bookmarkEnd w:id="69"/>
    <w:bookmarkStart w:id="70" w:name="who-makes-it-worse-5"/>
    <w:p>
      <w:pPr>
        <w:pStyle w:val="Heading3"/>
      </w:pPr>
      <w:r>
        <w:t xml:space="preserve">Who makes it worse</w:t>
      </w:r>
    </w:p>
    <w:p>
      <w:pPr>
        <w:pStyle w:val="Compact"/>
        <w:numPr>
          <w:ilvl w:val="0"/>
          <w:numId w:val="1018"/>
        </w:numPr>
      </w:pPr>
      <w:r>
        <w:t xml:space="preserve">Traditional platforms that treat crypto as a payment add-on, rather than recognizing different operational requirements.</w:t>
      </w:r>
    </w:p>
    <w:p>
      <w:pPr>
        <w:pStyle w:val="Compact"/>
        <w:numPr>
          <w:ilvl w:val="0"/>
          <w:numId w:val="1018"/>
        </w:numPr>
      </w:pPr>
      <w:r>
        <w:t xml:space="preserve">Vendors without crypto compliance expertise who pass regulatory complexity to operators.</w:t>
      </w:r>
    </w:p>
    <w:p>
      <w:pPr>
        <w:pStyle w:val="Compact"/>
        <w:numPr>
          <w:ilvl w:val="0"/>
          <w:numId w:val="1018"/>
        </w:numPr>
      </w:pPr>
      <w:r>
        <w:t xml:space="preserve">Platforms requiring separate systems for crypto versus fiat operations, creating operational overhead.</w:t>
      </w:r>
    </w:p>
    <w:bookmarkEnd w:id="70"/>
    <w:bookmarkStart w:id="71" w:name="demo-question---auditable-instrument-5"/>
    <w:p>
      <w:pPr>
        <w:pStyle w:val="Heading3"/>
      </w:pPr>
      <w:r>
        <w:t xml:space="preserve">Demo question - auditable instrument</w:t>
      </w:r>
    </w:p>
    <w:p>
      <w:pPr>
        <w:pStyle w:val="FirstParagraph"/>
      </w:pPr>
      <w:r>
        <w:t xml:space="preserve">Request a demonstration of the complete crypto transaction workflow:</w:t>
      </w:r>
      <w:r>
        <w:t xml:space="preserve"> </w:t>
      </w:r>
      <w:r>
        <w:t xml:space="preserve">“Show the complete player journey for Bitcoin deposit, gameplay, and withdrawal, including wallet management, conversion options, and taxation reporting.”</w:t>
      </w:r>
    </w:p>
    <w:p>
      <w:pPr>
        <w:pStyle w:val="BodyText"/>
      </w:pPr>
      <w:r>
        <w:t xml:space="preserve">A good answer looks like: seamless crypto operations with native wallet management and clear compliance reporting. A red flag answer: multiple systems, manual processes, or incomplete crypto functionality.</w:t>
      </w:r>
    </w:p>
    <w:bookmarkEnd w:id="71"/>
    <w:bookmarkStart w:id="72" w:name="contract-protection-5"/>
    <w:p>
      <w:pPr>
        <w:pStyle w:val="Heading3"/>
      </w:pPr>
      <w:r>
        <w:t xml:space="preserve">Contract protection</w:t>
      </w:r>
    </w:p>
    <w:p>
      <w:pPr>
        <w:pStyle w:val="FirstParagraph"/>
      </w:pPr>
      <w:r>
        <w:t xml:space="preserve">Include crypto-specific functionality guarantees:</w:t>
      </w:r>
      <w:r>
        <w:t xml:space="preserve"> </w:t>
      </w:r>
      <w:r>
        <w:t xml:space="preserve">“Platform must provide native cryptocurrency support, including wallet management, automated conversion, and compliance reporting, without requiring third-party integrations.”</w:t>
      </w:r>
    </w:p>
    <w:bookmarkEnd w:id="72"/>
    <w:bookmarkEnd w:id="73"/>
    <w:bookmarkStart w:id="82" w:name="X93ba8ae21ba3bf6a964c53fc306645777d55978"/>
    <w:p>
      <w:pPr>
        <w:pStyle w:val="Heading2"/>
      </w:pPr>
      <w:r>
        <w:t xml:space="preserve">Challenge: Speed Versus Flexibility Trade-offs</w:t>
      </w:r>
    </w:p>
    <w:p>
      <w:pPr>
        <w:pStyle w:val="FirstParagraph"/>
      </w:pPr>
      <w:r>
        <w:t xml:space="preserve">Fast-launch platforms limit long-term flexibility. Flexible platforms require significant upfront development. Most operators face timing pressure that forces choosing speed over strategic positioning, creating technical debt that becomes expensive to resolve later.</w:t>
      </w:r>
    </w:p>
    <w:bookmarkStart w:id="74" w:name="why-it-happens-6"/>
    <w:p>
      <w:pPr>
        <w:pStyle w:val="Heading3"/>
      </w:pPr>
      <w:r>
        <w:t xml:space="preserve">Why it happens</w:t>
      </w:r>
    </w:p>
    <w:p>
      <w:pPr>
        <w:pStyle w:val="FirstParagraph"/>
      </w:pPr>
      <w:r>
        <w:rPr>
          <w:b/>
          <w:bCs/>
        </w:rPr>
        <w:t xml:space="preserve">Commercial:</w:t>
      </w:r>
      <w:r>
        <w:t xml:space="preserve"> </w:t>
      </w:r>
      <w:r>
        <w:t xml:space="preserve">Market timing often trumps optimal technology decisions. Regulatory windows, competitive pressure, or funding timelines force operators to choose platforms based on launch speed, rather than long-term fit.</w:t>
      </w:r>
    </w:p>
    <w:bookmarkEnd w:id="74"/>
    <w:bookmarkStart w:id="75" w:name="early-warning-signs-6"/>
    <w:p>
      <w:pPr>
        <w:pStyle w:val="Heading3"/>
      </w:pPr>
      <w:r>
        <w:t xml:space="preserve">Early warning signs</w:t>
      </w:r>
    </w:p>
    <w:p>
      <w:pPr>
        <w:pStyle w:val="Compact"/>
        <w:numPr>
          <w:ilvl w:val="0"/>
          <w:numId w:val="1019"/>
        </w:numPr>
      </w:pPr>
      <w:r>
        <w:t xml:space="preserve">Turnkey platforms offer limited customization options beyond basic branding.</w:t>
      </w:r>
    </w:p>
    <w:p>
      <w:pPr>
        <w:pStyle w:val="Compact"/>
        <w:numPr>
          <w:ilvl w:val="0"/>
          <w:numId w:val="1019"/>
        </w:numPr>
      </w:pPr>
      <w:r>
        <w:t xml:space="preserve">Modular platforms require extensive development work for basic operational requirements.</w:t>
      </w:r>
    </w:p>
    <w:p>
      <w:pPr>
        <w:pStyle w:val="Compact"/>
        <w:numPr>
          <w:ilvl w:val="0"/>
          <w:numId w:val="1019"/>
        </w:numPr>
      </w:pPr>
      <w:r>
        <w:t xml:space="preserve">Vendor can’t provide migration paths from turnkey to flexible architectures.</w:t>
      </w:r>
    </w:p>
    <w:p>
      <w:pPr>
        <w:pStyle w:val="Compact"/>
        <w:numPr>
          <w:ilvl w:val="0"/>
          <w:numId w:val="1019"/>
        </w:numPr>
      </w:pPr>
      <w:r>
        <w:t xml:space="preserve">Platform limitations aren’t clearly disclosed during the sales process.</w:t>
      </w:r>
    </w:p>
    <w:p>
      <w:pPr>
        <w:pStyle w:val="Compact"/>
        <w:numPr>
          <w:ilvl w:val="0"/>
          <w:numId w:val="1019"/>
        </w:numPr>
      </w:pPr>
      <w:r>
        <w:t xml:space="preserve">No clear upgrade path as operational requirements become more sophisticated.</w:t>
      </w:r>
    </w:p>
    <w:bookmarkEnd w:id="75"/>
    <w:bookmarkStart w:id="76" w:name="business-impact-6"/>
    <w:p>
      <w:pPr>
        <w:pStyle w:val="Heading3"/>
      </w:pPr>
      <w:r>
        <w:t xml:space="preserve">Business impact</w:t>
      </w:r>
    </w:p>
    <w:p>
      <w:pPr>
        <w:pStyle w:val="FirstParagraph"/>
      </w:pPr>
      <w:r>
        <w:t xml:space="preserve">Operators choosing speed often require platform migration within 18-24 months as they outgrow turnkey limitations. Migration costs typically range from €200K-500K, plus 6-12 months of development effort. This often happens at the worst possible time, when resources should focus on growth and market expansion.</w:t>
      </w:r>
    </w:p>
    <w:bookmarkEnd w:id="76"/>
    <w:bookmarkStart w:id="77" w:name="hidden-cost-6"/>
    <w:p>
      <w:pPr>
        <w:pStyle w:val="Heading3"/>
      </w:pPr>
      <w:r>
        <w:t xml:space="preserve">Hidden cost</w:t>
      </w:r>
    </w:p>
    <w:p>
      <w:pPr>
        <w:pStyle w:val="FirstParagraph"/>
      </w:pPr>
      <w:r>
        <w:t xml:space="preserve">Technical debt accumulation from platform limitations that require custom workarounds or third-party integrations. These solutions often break during platform updates, creating ongoing maintenance overhead.</w:t>
      </w:r>
    </w:p>
    <w:bookmarkEnd w:id="77"/>
    <w:bookmarkStart w:id="78" w:name="who-solves-it-6"/>
    <w:p>
      <w:pPr>
        <w:pStyle w:val="Heading3"/>
      </w:pPr>
      <w:r>
        <w:t xml:space="preserve">Who solves it</w:t>
      </w:r>
    </w:p>
    <w:p>
      <w:pPr>
        <w:pStyle w:val="Compact"/>
        <w:numPr>
          <w:ilvl w:val="0"/>
          <w:numId w:val="1020"/>
        </w:numPr>
      </w:pPr>
      <w:r>
        <w:rPr>
          <w:b/>
          <w:bCs/>
        </w:rPr>
        <w:t xml:space="preserve">Soft2Bet</w:t>
      </w:r>
      <w:r>
        <w:t xml:space="preserve">: Their MEGA platform balances quick deployment with built-in sophistication. Gamification and retention tools are native, rather than add-ons, providing turnkey functionality without sacrificing strategic capabilities. Soft2Bet was awarded Platform Provider of the Year and Innovator of the Year at the 2026 International and Global Gaming Awards.</w:t>
      </w:r>
    </w:p>
    <w:p>
      <w:pPr>
        <w:pStyle w:val="Compact"/>
        <w:numPr>
          <w:ilvl w:val="0"/>
          <w:numId w:val="1020"/>
        </w:numPr>
      </w:pPr>
      <w:r>
        <w:rPr>
          <w:b/>
          <w:bCs/>
        </w:rPr>
        <w:t xml:space="preserve">Kambi</w:t>
      </w:r>
      <w:r>
        <w:t xml:space="preserve">: Kambi focuses on sports betting, and for sportsbook-first operators, their platform can integrate with other solutions to provide a growth path that may include casino functionality. In May 2026, Kambi signed a multi-year online sports betting partnership with Canadian Bank Note Company, Limited, expanding its Americas footprint.</w:t>
      </w:r>
    </w:p>
    <w:p>
      <w:pPr>
        <w:pStyle w:val="Compact"/>
        <w:numPr>
          <w:ilvl w:val="0"/>
          <w:numId w:val="1020"/>
        </w:numPr>
      </w:pPr>
      <w:r>
        <w:rPr>
          <w:b/>
          <w:bCs/>
        </w:rPr>
        <w:t xml:space="preserve">BetConstruct</w:t>
      </w:r>
      <w:r>
        <w:t xml:space="preserve">: Spring Platform offers comprehensive functionality out of the box, while maintaining configuration flexibility for future customization needs. BetConstruct was recognized as Global Gaming Company of the Year at the 2026 International Gaming Awards, highlighting their broad platform capabilities.</w:t>
      </w:r>
    </w:p>
    <w:bookmarkEnd w:id="78"/>
    <w:bookmarkStart w:id="79" w:name="who-makes-it-worse-6"/>
    <w:p>
      <w:pPr>
        <w:pStyle w:val="Heading3"/>
      </w:pPr>
      <w:r>
        <w:t xml:space="preserve">Who makes it worse</w:t>
      </w:r>
    </w:p>
    <w:p>
      <w:pPr>
        <w:pStyle w:val="Compact"/>
        <w:numPr>
          <w:ilvl w:val="0"/>
          <w:numId w:val="1021"/>
        </w:numPr>
      </w:pPr>
      <w:r>
        <w:t xml:space="preserve">Turnkey platforms with no upgrade path to more sophisticated functionality.</w:t>
      </w:r>
    </w:p>
    <w:p>
      <w:pPr>
        <w:pStyle w:val="Compact"/>
        <w:numPr>
          <w:ilvl w:val="0"/>
          <w:numId w:val="1021"/>
        </w:numPr>
      </w:pPr>
      <w:r>
        <w:t xml:space="preserve">Modular platforms that require months of development for basic operational features.</w:t>
      </w:r>
    </w:p>
    <w:p>
      <w:pPr>
        <w:pStyle w:val="Compact"/>
        <w:numPr>
          <w:ilvl w:val="0"/>
          <w:numId w:val="1021"/>
        </w:numPr>
      </w:pPr>
      <w:r>
        <w:t xml:space="preserve">Vendors that don’t clearly communicate platform limitations during the sales process.</w:t>
      </w:r>
    </w:p>
    <w:bookmarkEnd w:id="79"/>
    <w:bookmarkStart w:id="80" w:name="demo-question---auditable-instrument-6"/>
    <w:p>
      <w:pPr>
        <w:pStyle w:val="Heading3"/>
      </w:pPr>
      <w:r>
        <w:t xml:space="preserve">Demo question - auditable instrument</w:t>
      </w:r>
    </w:p>
    <w:p>
      <w:pPr>
        <w:pStyle w:val="FirstParagraph"/>
      </w:pPr>
      <w:r>
        <w:t xml:space="preserve">Request a demonstration of the platform evolution path:</w:t>
      </w:r>
      <w:r>
        <w:t xml:space="preserve"> </w:t>
      </w:r>
      <w:r>
        <w:t xml:space="preserve">“Show how an operator can upgrade from basic turnkey deployment to custom functionality without complete platform migration.”</w:t>
      </w:r>
    </w:p>
    <w:p>
      <w:pPr>
        <w:pStyle w:val="BodyText"/>
      </w:pPr>
      <w:r>
        <w:t xml:space="preserve">A good answer looks like: clear upgrade paths with configuration options that expand over time. A red flag answer: admission that growth requires complete platform replacement.</w:t>
      </w:r>
    </w:p>
    <w:bookmarkEnd w:id="80"/>
    <w:bookmarkStart w:id="81" w:name="contract-protection-6"/>
    <w:p>
      <w:pPr>
        <w:pStyle w:val="Heading3"/>
      </w:pPr>
      <w:r>
        <w:t xml:space="preserve">Contract protection</w:t>
      </w:r>
    </w:p>
    <w:p>
      <w:pPr>
        <w:pStyle w:val="FirstParagraph"/>
      </w:pPr>
      <w:r>
        <w:t xml:space="preserve">Include platform evolution guarantees:</w:t>
      </w:r>
      <w:r>
        <w:t xml:space="preserve"> </w:t>
      </w:r>
      <w:r>
        <w:t xml:space="preserve">“Vendor will provide upgrade path from turnkey to custom functionality with migration assistance and data portability within existing contract terms.”</w:t>
      </w:r>
    </w:p>
    <w:bookmarkEnd w:id="81"/>
    <w:bookmarkEnd w:id="82"/>
    <w:bookmarkStart w:id="83" w:name="mapping-challenges-to-vendors"/>
    <w:p>
      <w:pPr>
        <w:pStyle w:val="Heading2"/>
      </w:pPr>
      <w:r>
        <w:t xml:space="preserve">Mapping: Challenges to Vendors</w:t>
      </w:r>
    </w:p>
    <w:tbl>
      <w:tblPr>
        <w:tblStyle w:val="Table"/>
        <w:tblW w:type="pct" w:w="5000"/>
        <w:tblLayout w:type="fixed"/>
        <w:tblLook w:firstRow="1" w:lastRow="0" w:firstColumn="0" w:lastColumn="0" w:noHBand="0" w:noVBand="0" w:val="0020"/>
      </w:tblPr>
      <w:tblGrid>
        <w:gridCol w:w="1643"/>
        <w:gridCol w:w="1793"/>
        <w:gridCol w:w="1643"/>
        <w:gridCol w:w="2839"/>
      </w:tblGrid>
      <w:tr>
        <w:trPr>
          <w:tblHeader w:val="on"/>
        </w:trPr>
        <w:tc>
          <w:tcPr/>
          <w:p>
            <w:pPr>
              <w:pStyle w:val="Compact"/>
            </w:pPr>
            <w:r>
              <w:t xml:space="preserve">Challenge</w:t>
            </w:r>
          </w:p>
        </w:tc>
        <w:tc>
          <w:tcPr/>
          <w:p>
            <w:pPr>
              <w:pStyle w:val="Compact"/>
            </w:pPr>
            <w:r>
              <w:t xml:space="preserve">Best Vendor</w:t>
            </w:r>
          </w:p>
        </w:tc>
        <w:tc>
          <w:tcPr/>
          <w:p>
            <w:pPr>
              <w:pStyle w:val="Compact"/>
            </w:pPr>
            <w:r>
              <w:t xml:space="preserve">Runner-Up</w:t>
            </w:r>
          </w:p>
        </w:tc>
        <w:tc>
          <w:tcPr/>
          <w:p>
            <w:pPr>
              <w:pStyle w:val="Compact"/>
            </w:pPr>
            <w:r>
              <w:t xml:space="preserve">Who It’s Wrong For</w:t>
            </w:r>
          </w:p>
        </w:tc>
      </w:tr>
      <w:tr>
        <w:tc>
          <w:tcPr/>
          <w:p>
            <w:pPr>
              <w:pStyle w:val="Compact"/>
            </w:pPr>
            <w:r>
              <w:t xml:space="preserve">Multi-market compliance</w:t>
            </w:r>
          </w:p>
        </w:tc>
        <w:tc>
          <w:tcPr/>
          <w:p>
            <w:pPr>
              <w:pStyle w:val="Compact"/>
            </w:pPr>
            <w:hyperlink r:id="rId9">
              <w:r>
                <w:rPr>
                  <w:rStyle w:val="Hyperlink"/>
                </w:rPr>
                <w:t xml:space="preserve">Playtech</w:t>
              </w:r>
            </w:hyperlink>
          </w:p>
        </w:tc>
        <w:tc>
          <w:tcPr/>
          <w:p>
            <w:pPr>
              <w:pStyle w:val="Compact"/>
            </w:pPr>
            <w:hyperlink r:id="rId10">
              <w:r>
                <w:rPr>
                  <w:rStyle w:val="Hyperlink"/>
                </w:rPr>
                <w:t xml:space="preserve">BetConstruct</w:t>
              </w:r>
            </w:hyperlink>
          </w:p>
        </w:tc>
        <w:tc>
          <w:tcPr/>
          <w:p>
            <w:pPr>
              <w:pStyle w:val="Compact"/>
            </w:pPr>
            <w:r>
              <w:t xml:space="preserve">Crypto-first operators</w:t>
            </w:r>
          </w:p>
        </w:tc>
      </w:tr>
      <w:tr>
        <w:tc>
          <w:tcPr/>
          <w:p>
            <w:pPr>
              <w:pStyle w:val="Compact"/>
            </w:pPr>
            <w:r>
              <w:t xml:space="preserve">Integration timelines</w:t>
            </w:r>
          </w:p>
        </w:tc>
        <w:tc>
          <w:tcPr/>
          <w:p>
            <w:pPr>
              <w:pStyle w:val="Compact"/>
            </w:pPr>
            <w:hyperlink r:id="rId11">
              <w:r>
                <w:rPr>
                  <w:rStyle w:val="Hyperlink"/>
                </w:rPr>
                <w:t xml:space="preserve">BlueOcean Gaming</w:t>
              </w:r>
            </w:hyperlink>
          </w:p>
        </w:tc>
        <w:tc>
          <w:tcPr/>
          <w:p>
            <w:pPr>
              <w:pStyle w:val="Compact"/>
            </w:pPr>
            <w:hyperlink r:id="rId12">
              <w:r>
                <w:rPr>
                  <w:rStyle w:val="Hyperlink"/>
                </w:rPr>
                <w:t xml:space="preserve">NuxGame</w:t>
              </w:r>
            </w:hyperlink>
          </w:p>
        </w:tc>
        <w:tc>
          <w:tcPr/>
          <w:p>
            <w:pPr>
              <w:pStyle w:val="Compact"/>
            </w:pPr>
            <w:r>
              <w:t xml:space="preserve">Operators needing customization</w:t>
            </w:r>
          </w:p>
        </w:tc>
      </w:tr>
      <w:tr>
        <w:tc>
          <w:tcPr/>
          <w:p>
            <w:pPr>
              <w:pStyle w:val="Compact"/>
            </w:pPr>
            <w:r>
              <w:t xml:space="preserve">Hidden pricing costs</w:t>
            </w:r>
          </w:p>
        </w:tc>
        <w:tc>
          <w:tcPr/>
          <w:p>
            <w:pPr>
              <w:pStyle w:val="Compact"/>
            </w:pPr>
            <w:hyperlink r:id="rId13">
              <w:r>
                <w:rPr>
                  <w:rStyle w:val="Hyperlink"/>
                </w:rPr>
                <w:t xml:space="preserve">EveryMatrix</w:t>
              </w:r>
            </w:hyperlink>
          </w:p>
        </w:tc>
        <w:tc>
          <w:tcPr/>
          <w:p>
            <w:pPr>
              <w:pStyle w:val="Compact"/>
            </w:pPr>
            <w:hyperlink r:id="rId14">
              <w:r>
                <w:rPr>
                  <w:rStyle w:val="Hyperlink"/>
                </w:rPr>
                <w:t xml:space="preserve">Pragmatic Solutions</w:t>
              </w:r>
            </w:hyperlink>
          </w:p>
        </w:tc>
        <w:tc>
          <w:tcPr/>
          <w:p>
            <w:pPr>
              <w:pStyle w:val="Compact"/>
            </w:pPr>
            <w:r>
              <w:t xml:space="preserve">Non-technical operators</w:t>
            </w:r>
          </w:p>
        </w:tc>
      </w:tr>
      <w:tr>
        <w:tc>
          <w:tcPr/>
          <w:p>
            <w:pPr>
              <w:pStyle w:val="Compact"/>
            </w:pPr>
            <w:r>
              <w:t xml:space="preserve">Vendor lock-in</w:t>
            </w:r>
          </w:p>
        </w:tc>
        <w:tc>
          <w:tcPr/>
          <w:p>
            <w:pPr>
              <w:pStyle w:val="Compact"/>
            </w:pPr>
            <w:hyperlink r:id="rId13">
              <w:r>
                <w:rPr>
                  <w:rStyle w:val="Hyperlink"/>
                </w:rPr>
                <w:t xml:space="preserve">EveryMatrix</w:t>
              </w:r>
            </w:hyperlink>
          </w:p>
        </w:tc>
        <w:tc>
          <w:tcPr/>
          <w:p>
            <w:pPr>
              <w:pStyle w:val="Compact"/>
            </w:pPr>
            <w:hyperlink r:id="rId15">
              <w:r>
                <w:rPr>
                  <w:rStyle w:val="Hyperlink"/>
                </w:rPr>
                <w:t xml:space="preserve">SOFTSWISS</w:t>
              </w:r>
            </w:hyperlink>
          </w:p>
        </w:tc>
        <w:tc>
          <w:tcPr/>
          <w:p>
            <w:pPr>
              <w:pStyle w:val="Compact"/>
            </w:pPr>
            <w:r>
              <w:t xml:space="preserve">Operators preferring single-vendor relationships</w:t>
            </w:r>
          </w:p>
        </w:tc>
      </w:tr>
      <w:tr>
        <w:tc>
          <w:tcPr/>
          <w:p>
            <w:pPr>
              <w:pStyle w:val="Compact"/>
            </w:pPr>
            <w:r>
              <w:t xml:space="preserve">Scaling bottlenecks</w:t>
            </w:r>
          </w:p>
        </w:tc>
        <w:tc>
          <w:tcPr/>
          <w:p>
            <w:pPr>
              <w:pStyle w:val="Compact"/>
            </w:pPr>
            <w:hyperlink r:id="rId9">
              <w:r>
                <w:rPr>
                  <w:rStyle w:val="Hyperlink"/>
                </w:rPr>
                <w:t xml:space="preserve">Playtech</w:t>
              </w:r>
            </w:hyperlink>
          </w:p>
        </w:tc>
        <w:tc>
          <w:tcPr/>
          <w:p>
            <w:pPr>
              <w:pStyle w:val="Compact"/>
            </w:pPr>
            <w:hyperlink r:id="rId13">
              <w:r>
                <w:rPr>
                  <w:rStyle w:val="Hyperlink"/>
                </w:rPr>
                <w:t xml:space="preserve">EveryMatrix</w:t>
              </w:r>
            </w:hyperlink>
          </w:p>
        </w:tc>
        <w:tc>
          <w:tcPr/>
          <w:p>
            <w:pPr>
              <w:pStyle w:val="Compact"/>
            </w:pPr>
            <w:r>
              <w:t xml:space="preserve">Startup operators</w:t>
            </w:r>
          </w:p>
        </w:tc>
      </w:tr>
      <w:tr>
        <w:tc>
          <w:tcPr/>
          <w:p>
            <w:pPr>
              <w:pStyle w:val="Compact"/>
            </w:pPr>
            <w:r>
              <w:t xml:space="preserve">Crypto complexity</w:t>
            </w:r>
          </w:p>
        </w:tc>
        <w:tc>
          <w:tcPr/>
          <w:p>
            <w:pPr>
              <w:pStyle w:val="Compact"/>
            </w:pPr>
            <w:hyperlink r:id="rId15">
              <w:r>
                <w:rPr>
                  <w:rStyle w:val="Hyperlink"/>
                </w:rPr>
                <w:t xml:space="preserve">SOFTSWISS</w:t>
              </w:r>
            </w:hyperlink>
          </w:p>
        </w:tc>
        <w:tc>
          <w:tcPr/>
          <w:p>
            <w:pPr>
              <w:pStyle w:val="Compact"/>
            </w:pPr>
            <w:hyperlink r:id="rId16">
              <w:r>
                <w:rPr>
                  <w:rStyle w:val="Hyperlink"/>
                </w:rPr>
                <w:t xml:space="preserve">GR8 Tech</w:t>
              </w:r>
            </w:hyperlink>
          </w:p>
        </w:tc>
        <w:tc>
          <w:tcPr/>
          <w:p>
            <w:pPr>
              <w:pStyle w:val="Compact"/>
            </w:pPr>
            <w:r>
              <w:t xml:space="preserve">Traditional fiat-only operators</w:t>
            </w:r>
          </w:p>
        </w:tc>
      </w:tr>
      <w:tr>
        <w:tc>
          <w:tcPr/>
          <w:p>
            <w:pPr>
              <w:pStyle w:val="Compact"/>
            </w:pPr>
            <w:r>
              <w:t xml:space="preserve">Speed vs. flexibility</w:t>
            </w:r>
          </w:p>
        </w:tc>
        <w:tc>
          <w:tcPr/>
          <w:p>
            <w:pPr>
              <w:pStyle w:val="Compact"/>
            </w:pPr>
            <w:hyperlink r:id="rId17">
              <w:r>
                <w:rPr>
                  <w:rStyle w:val="Hyperlink"/>
                </w:rPr>
                <w:t xml:space="preserve">Soft2Bet</w:t>
              </w:r>
            </w:hyperlink>
          </w:p>
        </w:tc>
        <w:tc>
          <w:tcPr/>
          <w:p>
            <w:pPr>
              <w:pStyle w:val="Compact"/>
            </w:pPr>
            <w:hyperlink r:id="rId18">
              <w:r>
                <w:rPr>
                  <w:rStyle w:val="Hyperlink"/>
                </w:rPr>
                <w:t xml:space="preserve">Kambi</w:t>
              </w:r>
            </w:hyperlink>
          </w:p>
        </w:tc>
        <w:tc>
          <w:tcPr/>
          <w:p>
            <w:pPr>
              <w:pStyle w:val="Compact"/>
            </w:pPr>
            <w:r>
              <w:t xml:space="preserve">Operators needing unique features</w:t>
            </w:r>
          </w:p>
        </w:tc>
      </w:tr>
    </w:tbl>
    <w:p>
      <w:pPr>
        <w:pStyle w:val="BodyText"/>
      </w:pPr>
      <w:r>
        <w:rPr>
          <w:b/>
          <w:bCs/>
        </w:rPr>
        <w:t xml:space="preserve">If your biggest challenge is regulatory compliance across multiple markets</w:t>
      </w:r>
      <w:r>
        <w:t xml:space="preserve">, start with Playtech. Their IMS platform handles complex multi-jurisdiction requirements better than any competitor.</w:t>
      </w:r>
    </w:p>
    <w:p>
      <w:pPr>
        <w:pStyle w:val="BodyText"/>
      </w:pPr>
      <w:r>
        <w:rPr>
          <w:b/>
          <w:bCs/>
        </w:rPr>
        <w:t xml:space="preserve">If you’re facing multiple challenges simultaneously</w:t>
      </w:r>
      <w:r>
        <w:t xml:space="preserve">, EveryMatrix covers the broadest ground. Their modular architecture addresses compliance, scaling, lock-in, and pricing transparency, though it requires technical resources to implement effectively.</w:t>
      </w:r>
    </w:p>
    <w:p>
      <w:pPr>
        <w:pStyle w:val="BodyText"/>
      </w:pPr>
      <w:r>
        <w:rPr>
          <w:b/>
          <w:bCs/>
        </w:rPr>
        <w:t xml:space="preserve">For crypto-first operations with compliance complexity</w:t>
      </w:r>
      <w:r>
        <w:t xml:space="preserve">, SOFTSWISS is the clear choice. No other platform handles the intersection of cryptocurrency and traditional compliance as comprehensively.</w:t>
      </w:r>
    </w:p>
    <w:bookmarkEnd w:id="83"/>
    <w:bookmarkStart w:id="84" w:name="red-flags-in-vendor-conversations"/>
    <w:p>
      <w:pPr>
        <w:pStyle w:val="Heading2"/>
      </w:pPr>
      <w:r>
        <w:t xml:space="preserve">Red Flags in Vendor Conversations</w:t>
      </w:r>
    </w:p>
    <w:p>
      <w:pPr>
        <w:pStyle w:val="FirstParagraph"/>
      </w:pPr>
      <w:r>
        <w:t xml:space="preserve">These warning signs indicate a vendor isn’t honestly addressing your challenges:</w:t>
      </w:r>
    </w:p>
    <w:p>
      <w:pPr>
        <w:numPr>
          <w:ilvl w:val="0"/>
          <w:numId w:val="1022"/>
        </w:numPr>
      </w:pPr>
      <w:r>
        <w:rPr>
          <w:b/>
          <w:bCs/>
        </w:rPr>
        <w:t xml:space="preserve">Vague timeline commitments</w:t>
      </w:r>
      <w:r>
        <w:t xml:space="preserve">: Vendor quotes implementation in</w:t>
      </w:r>
      <w:r>
        <w:t xml:space="preserve"> </w:t>
      </w:r>
      <w:r>
        <w:t xml:space="preserve">“weeks”</w:t>
      </w:r>
      <w:r>
        <w:t xml:space="preserve"> </w:t>
      </w:r>
      <w:r>
        <w:t xml:space="preserve">without specifying what’s included. Alternatively, they provide ranges so wide they’re meaningless (</w:t>
      </w:r>
      <w:r>
        <w:t xml:space="preserve">“4-12 weeks depending on requirements”</w:t>
      </w:r>
      <w:r>
        <w:t xml:space="preserve">).</w:t>
      </w:r>
    </w:p>
    <w:p>
      <w:pPr>
        <w:numPr>
          <w:ilvl w:val="0"/>
          <w:numId w:val="1022"/>
        </w:numPr>
      </w:pPr>
      <w:r>
        <w:rPr>
          <w:b/>
          <w:bCs/>
        </w:rPr>
        <w:t xml:space="preserve">Deflecting technical questions</w:t>
      </w:r>
      <w:r>
        <w:t xml:space="preserve">: The sales team can’t answer basic architecture questions. They always promise</w:t>
      </w:r>
      <w:r>
        <w:t xml:space="preserve"> </w:t>
      </w:r>
      <w:r>
        <w:t xml:space="preserve">“our technical team will follow up”</w:t>
      </w:r>
      <w:r>
        <w:t xml:space="preserve"> </w:t>
      </w:r>
      <w:r>
        <w:t xml:space="preserve">without providing immediate access to technical resources.</w:t>
      </w:r>
    </w:p>
    <w:p>
      <w:pPr>
        <w:numPr>
          <w:ilvl w:val="0"/>
          <w:numId w:val="1022"/>
        </w:numPr>
      </w:pPr>
      <w:r>
        <w:rPr>
          <w:b/>
          <w:bCs/>
        </w:rPr>
        <w:t xml:space="preserve">No reference clients for your specific challenge</w:t>
      </w:r>
      <w:r>
        <w:t xml:space="preserve">: Vendor claims to solve your problem, but can’t provide references from operators who’ve actually implemented the solution in similar circumstances.</w:t>
      </w:r>
    </w:p>
    <w:p>
      <w:pPr>
        <w:numPr>
          <w:ilvl w:val="0"/>
          <w:numId w:val="1022"/>
        </w:numPr>
      </w:pPr>
      <w:r>
        <w:rPr>
          <w:b/>
          <w:bCs/>
        </w:rPr>
        <w:t xml:space="preserve">Generic compliance claims</w:t>
      </w:r>
      <w:r>
        <w:t xml:space="preserve">: Platform offers</w:t>
      </w:r>
      <w:r>
        <w:t xml:space="preserve"> </w:t>
      </w:r>
      <w:r>
        <w:t xml:space="preserve">“comprehensive compliance”</w:t>
      </w:r>
      <w:r>
        <w:t xml:space="preserve"> </w:t>
      </w:r>
      <w:r>
        <w:t xml:space="preserve">without demonstrating jurisdiction-specific features or providing detailed regulatory coverage documentation.</w:t>
      </w:r>
    </w:p>
    <w:p>
      <w:pPr>
        <w:numPr>
          <w:ilvl w:val="0"/>
          <w:numId w:val="1022"/>
        </w:numPr>
      </w:pPr>
      <w:r>
        <w:rPr>
          <w:b/>
          <w:bCs/>
        </w:rPr>
        <w:t xml:space="preserve">Professional services dependencies</w:t>
      </w:r>
      <w:r>
        <w:t xml:space="preserve">: Basic platform functionality requires additional professional services fees. This indicates the platform isn’t actually complete or self-service as advertised.</w:t>
      </w:r>
    </w:p>
    <w:bookmarkEnd w:id="84"/>
    <w:bookmarkStart w:id="93" w:name="common-questions"/>
    <w:p>
      <w:pPr>
        <w:pStyle w:val="Heading2"/>
      </w:pPr>
      <w:r>
        <w:t xml:space="preserve">Common Questions</w:t>
      </w:r>
    </w:p>
    <w:bookmarkStart w:id="85" w:name="X5aef98b8b8cd6857d4a1c3fcf197ea7851e1e8f"/>
    <w:p>
      <w:pPr>
        <w:pStyle w:val="Heading3"/>
      </w:pPr>
      <w:r>
        <w:t xml:space="preserve">What are the biggest challenges when choosing a casino platform?</w:t>
      </w:r>
    </w:p>
    <w:p>
      <w:pPr>
        <w:pStyle w:val="FirstParagraph"/>
      </w:pPr>
      <w:r>
        <w:t xml:space="preserve">Multi-market compliance complexity tops the list. Most platforms treat compliance as an add-on rather than core architecture. This creates expensive problems when you need to operate across multiple jurisdictions. Integration timeline overruns follow close behind. Vendors quote 4-6 weeks, but operators experience 12-16 weeks to true production deployment. Hidden costs in pricing models, casino platform vendor lock-in risks, and scaling bottlenecks round out the major challenges operators consistently encounter.</w:t>
      </w:r>
    </w:p>
    <w:bookmarkEnd w:id="85"/>
    <w:bookmarkStart w:id="86" w:name="X2fbe50ebf5d87703dea696b1a972a533db7e015"/>
    <w:p>
      <w:pPr>
        <w:pStyle w:val="Heading3"/>
      </w:pPr>
      <w:r>
        <w:t xml:space="preserve">How long does casino platform integration really take?</w:t>
      </w:r>
    </w:p>
    <w:p>
      <w:pPr>
        <w:pStyle w:val="FirstParagraph"/>
      </w:pPr>
      <w:r>
        <w:t xml:space="preserve">Genuine production deployment takes 12-16 weeks in regulated markets. This is not the 4-6 weeks vendors typically quote. Vendor timelines measure API connectivity. However, operators need payment certification (2-4 weeks), game provider approvals (1-2 weeks each), regulatory review periods, and compliance testing. Vendors often exclude these from their timelines. Professional services dependencies, custom development requirements, and certification coordination add weeks to even</w:t>
      </w:r>
      <w:r>
        <w:t xml:space="preserve"> </w:t>
      </w:r>
      <w:r>
        <w:t xml:space="preserve">“turnkey”</w:t>
      </w:r>
      <w:r>
        <w:t xml:space="preserve"> </w:t>
      </w:r>
      <w:r>
        <w:t xml:space="preserve">implementations.</w:t>
      </w:r>
    </w:p>
    <w:bookmarkEnd w:id="86"/>
    <w:bookmarkStart w:id="87" w:name="X8e8453ece08fed928a013635c8748ebf91795ae"/>
    <w:p>
      <w:pPr>
        <w:pStyle w:val="Heading3"/>
      </w:pPr>
      <w:r>
        <w:t xml:space="preserve">Why do casino platform integrations take longer than vendors promise?</w:t>
      </w:r>
    </w:p>
    <w:p>
      <w:pPr>
        <w:pStyle w:val="FirstParagraph"/>
      </w:pPr>
      <w:r>
        <w:t xml:space="preserve">Vendors measure technical integration, while operators need operational deployment. The gap includes payment service provider certification, game provider approvals, regulatory review periods, and compliance testing. Vendors often exclude these from their timelines. Professional services dependencies, custom development requirements, and certification coordination add weeks to even</w:t>
      </w:r>
      <w:r>
        <w:t xml:space="preserve"> </w:t>
      </w:r>
      <w:r>
        <w:t xml:space="preserve">“turnkey”</w:t>
      </w:r>
      <w:r>
        <w:t xml:space="preserve"> </w:t>
      </w:r>
      <w:r>
        <w:t xml:space="preserve">implementations.</w:t>
      </w:r>
    </w:p>
    <w:bookmarkEnd w:id="87"/>
    <w:bookmarkStart w:id="88" w:name="X6f9260fd745cb921d21e02d12e71baf04410809"/>
    <w:p>
      <w:pPr>
        <w:pStyle w:val="Heading3"/>
      </w:pPr>
      <w:r>
        <w:t xml:space="preserve">How do I know if a casino platform is modular?</w:t>
      </w:r>
    </w:p>
    <w:p>
      <w:pPr>
        <w:pStyle w:val="FirstParagraph"/>
      </w:pPr>
      <w:r>
        <w:t xml:space="preserve">Test data portability and component independence. Request complete data exports in standard formats and ask if you can replace individual components without affecting others. True modular architecture means you can swap payment processors, add compliance modules, or change game providers without touching core platform functionality. Platforms sharing databases across components aren’t genuinely modular, despite marketing claims.</w:t>
      </w:r>
    </w:p>
    <w:bookmarkEnd w:id="88"/>
    <w:bookmarkStart w:id="89" w:name="X9ee193bf22851b22f6f2e9fb0361309fa00354b"/>
    <w:p>
      <w:pPr>
        <w:pStyle w:val="Heading3"/>
      </w:pPr>
      <w:r>
        <w:t xml:space="preserve">What are the hidden costs of casino platform pricing?</w:t>
      </w:r>
    </w:p>
    <w:p>
      <w:pPr>
        <w:pStyle w:val="FirstParagraph"/>
      </w:pPr>
      <w:r>
        <w:t xml:space="preserve">Professional services for basic functionality, certification fees, data export charges, and scaling-related infrastructure costs. Revenue-share models that lack volume discounts become expensive once you exceed €500K monthly GGR. Fixed-fee models often exclude essential services like payment processing or game provider relationships. These require separate contracts and additional fees.</w:t>
      </w:r>
    </w:p>
    <w:bookmarkEnd w:id="89"/>
    <w:bookmarkStart w:id="92" w:name="when-should-i-switch-casino-platforms"/>
    <w:p>
      <w:pPr>
        <w:pStyle w:val="Heading3"/>
      </w:pPr>
      <w:r>
        <w:t xml:space="preserve">When should I switch casino platforms?</w:t>
      </w:r>
    </w:p>
    <w:p>
      <w:pPr>
        <w:pStyle w:val="FirstParagraph"/>
      </w:pPr>
      <w:r>
        <w:t xml:space="preserve">Platform migration makes sense when current limitations cost more than migration expenses. Typical triggers include compliance requirements your platform can’t handle, scaling bottlenecks affecting player experience, or total cost of ownership exceeding alternatives by 20%+ annually. Plan 6-12 months for migration and budget €200K-500K in development costs, plus potential player churn during transition.</w:t>
      </w:r>
    </w:p>
    <w:p>
      <w:r>
        <w:pict>
          <v:rect style="width:0;height:1.5pt" o:hralign="center" o:hrstd="t" o:hr="t"/>
        </w:pict>
      </w:r>
    </w:p>
    <w:p>
      <w:pPr>
        <w:pStyle w:val="FirstParagraph"/>
      </w:pPr>
      <w:r>
        <w:t xml:space="preserve">This article diagnoses common platform challenges rather than reviewing vendor features. For comprehensive platform comparisons, see our</w:t>
      </w:r>
      <w:r>
        <w:t xml:space="preserve"> </w:t>
      </w:r>
      <w:hyperlink r:id="rId90">
        <w:r>
          <w:rPr>
            <w:rStyle w:val="Hyperlink"/>
          </w:rPr>
          <w:t xml:space="preserve">Best Casino Platforms 2026</w:t>
        </w:r>
      </w:hyperlink>
      <w:r>
        <w:t xml:space="preserve"> </w:t>
      </w:r>
      <w:r>
        <w:t xml:space="preserve">guide. Browse our complete</w:t>
      </w:r>
      <w:r>
        <w:t xml:space="preserve"> </w:t>
      </w:r>
      <w:hyperlink r:id="rId91">
        <w:r>
          <w:rPr>
            <w:rStyle w:val="Hyperlink"/>
          </w:rPr>
          <w:t xml:space="preserve">directory of casino platform providers</w:t>
        </w:r>
      </w:hyperlink>
      <w:r>
        <w:t xml:space="preserve"> </w:t>
      </w:r>
      <w:r>
        <w:t xml:space="preserve">for additional options and user reviews.</w:t>
      </w:r>
    </w:p>
    <w:p>
      <w:pPr>
        <w:pStyle w:val="BodyText"/>
      </w:pPr>
      <w:r>
        <w:rPr>
          <w:b/>
          <w:bCs/>
        </w:rPr>
        <w:t xml:space="preserve">Take action</w:t>
      </w:r>
      <w:r>
        <w:t xml:space="preserve">: Use the auditable instruments from each challenge section during your next vendor demo. These verification methods separate vendors who can actually solve your problems from those who just promise to.</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onlyigaming.com/companies/betconstruct" TargetMode="External" /><Relationship Type="http://schemas.openxmlformats.org/officeDocument/2006/relationships/hyperlink" Id="rId11" Target="https://onlyigaming.com/companies/blueocean-gaming" TargetMode="External" /><Relationship Type="http://schemas.openxmlformats.org/officeDocument/2006/relationships/hyperlink" Id="rId13" Target="https://onlyigaming.com/companies/everymatrix" TargetMode="External" /><Relationship Type="http://schemas.openxmlformats.org/officeDocument/2006/relationships/hyperlink" Id="rId16" Target="https://onlyigaming.com/companies/gr8-tech" TargetMode="External" /><Relationship Type="http://schemas.openxmlformats.org/officeDocument/2006/relationships/hyperlink" Id="rId18" Target="https://onlyigaming.com/companies/kambi" TargetMode="External" /><Relationship Type="http://schemas.openxmlformats.org/officeDocument/2006/relationships/hyperlink" Id="rId12" Target="https://onlyigaming.com/companies/nuxgame" TargetMode="External" /><Relationship Type="http://schemas.openxmlformats.org/officeDocument/2006/relationships/hyperlink" Id="rId9" Target="https://onlyigaming.com/companies/playtech" TargetMode="External" /><Relationship Type="http://schemas.openxmlformats.org/officeDocument/2006/relationships/hyperlink" Id="rId14" Target="https://onlyigaming.com/companies/pragmatic-solutions" TargetMode="External" /><Relationship Type="http://schemas.openxmlformats.org/officeDocument/2006/relationships/hyperlink" Id="rId17" Target="https://onlyigaming.com/companies/soft2bet" TargetMode="External" /><Relationship Type="http://schemas.openxmlformats.org/officeDocument/2006/relationships/hyperlink" Id="rId15" Target="https://onlyigaming.com/companies/softswiss" TargetMode="External" /><Relationship Type="http://schemas.openxmlformats.org/officeDocument/2006/relationships/hyperlink" Id="rId91" Target="https://onlyigaming.com/companies?category=casino-platforms" TargetMode="External" /><Relationship Type="http://schemas.openxmlformats.org/officeDocument/2006/relationships/hyperlink" Id="rId90" Target="https://onlyigaming.com/guides/best-casino-platforms-2026" TargetMode="External" /></Relationships>
</file>

<file path=word/_rels/footnotes.xml.rels><?xml version="1.0" encoding="UTF-8"?><Relationships xmlns="http://schemas.openxmlformats.org/package/2006/relationships"><Relationship Type="http://schemas.openxmlformats.org/officeDocument/2006/relationships/hyperlink" Id="rId10" Target="https://onlyigaming.com/companies/betconstruct" TargetMode="External" /><Relationship Type="http://schemas.openxmlformats.org/officeDocument/2006/relationships/hyperlink" Id="rId11" Target="https://onlyigaming.com/companies/blueocean-gaming" TargetMode="External" /><Relationship Type="http://schemas.openxmlformats.org/officeDocument/2006/relationships/hyperlink" Id="rId13" Target="https://onlyigaming.com/companies/everymatrix" TargetMode="External" /><Relationship Type="http://schemas.openxmlformats.org/officeDocument/2006/relationships/hyperlink" Id="rId16" Target="https://onlyigaming.com/companies/gr8-tech" TargetMode="External" /><Relationship Type="http://schemas.openxmlformats.org/officeDocument/2006/relationships/hyperlink" Id="rId18" Target="https://onlyigaming.com/companies/kambi" TargetMode="External" /><Relationship Type="http://schemas.openxmlformats.org/officeDocument/2006/relationships/hyperlink" Id="rId12" Target="https://onlyigaming.com/companies/nuxgame" TargetMode="External" /><Relationship Type="http://schemas.openxmlformats.org/officeDocument/2006/relationships/hyperlink" Id="rId9" Target="https://onlyigaming.com/companies/playtech" TargetMode="External" /><Relationship Type="http://schemas.openxmlformats.org/officeDocument/2006/relationships/hyperlink" Id="rId14" Target="https://onlyigaming.com/companies/pragmatic-solutions" TargetMode="External" /><Relationship Type="http://schemas.openxmlformats.org/officeDocument/2006/relationships/hyperlink" Id="rId17" Target="https://onlyigaming.com/companies/soft2bet" TargetMode="External" /><Relationship Type="http://schemas.openxmlformats.org/officeDocument/2006/relationships/hyperlink" Id="rId15" Target="https://onlyigaming.com/companies/softswiss" TargetMode="External" /><Relationship Type="http://schemas.openxmlformats.org/officeDocument/2006/relationships/hyperlink" Id="rId91" Target="https://onlyigaming.com/companies?category=casino-platforms" TargetMode="External" /><Relationship Type="http://schemas.openxmlformats.org/officeDocument/2006/relationships/hyperlink" Id="rId90" Target="https://onlyigaming.com/guides/best-casino-platform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Challenges in Casino Platforms and Who Solves Them</dc:title>
  <dc:creator>OnlyiGaming Editorial</dc:creator>
  <cp:category>casino-platforms</cp:category>
  <cp:keywords/>
  <dcterms:created xsi:type="dcterms:W3CDTF">2026-06-02T09:43:54Z</dcterms:created>
  <dcterms:modified xsi:type="dcterms:W3CDTF">2026-06-02T09:43:54Z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Platform Problems &amp; Who Fixes Them</vt:lpwstr>
  </property>
  <property fmtid="{D5CDD505-2E9C-101B-9397-08002B2CF9AE}" pid="3" name="card_subheadline">
    <vt:lpwstr>7 common casino platform challenges mapped to specific vendor solutions. Integration reality, hidden costs, and contract protection for operators.</vt:lpwstr>
  </property>
  <property fmtid="{D5CDD505-2E9C-101B-9397-08002B2CF9AE}" pid="4" name="date">
    <vt:lpwstr>2026-04-07</vt:lpwstr>
  </property>
  <property fmtid="{D5CDD505-2E9C-101B-9397-08002B2CF9AE}" pid="5" name="faq_schema">
    <vt:lpwstr>True</vt:lpwstr>
  </property>
  <property fmtid="{D5CDD505-2E9C-101B-9397-08002B2CF9AE}" pid="6" name="last_updated">
    <vt:lpwstr>2026-04-07</vt:lpwstr>
  </property>
  <property fmtid="{D5CDD505-2E9C-101B-9397-08002B2CF9AE}" pid="7" name="last_verified">
    <vt:lpwstr>2026-04-07</vt:lpwstr>
  </property>
  <property fmtid="{D5CDD505-2E9C-101B-9397-08002B2CF9AE}" pid="8" name="meta_description">
    <vt:lpwstr>Common casino platform integration challenges operators face during selection and implementation. Real problems mapped to specific vendor solutions, with warning signs and contract protection.</vt:lpwstr>
  </property>
  <property fmtid="{D5CDD505-2E9C-101B-9397-08002B2CF9AE}" pid="9" name="meta_title">
    <vt:lpwstr>Casino Platform Integration Challenges &amp; Solutions 2026</vt:lpwstr>
  </property>
  <property fmtid="{D5CDD505-2E9C-101B-9397-08002B2CF9AE}" pid="10" name="parent_pillar">
    <vt:lpwstr>/guides/best-casino-platforms-2026</vt:lpwstr>
  </property>
  <property fmtid="{D5CDD505-2E9C-101B-9397-08002B2CF9AE}" pid="11" name="primary_keyword">
    <vt:lpwstr>casino platform integration challenges</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casino-platform-challenges-integration-problems-solutions</vt:lpwstr>
  </property>
  <property fmtid="{D5CDD505-2E9C-101B-9397-08002B2CF9AE}" pid="16" name="type">
    <vt:lpwstr>satellite-challenges</vt:lpwstr>
  </property>
</Properties>
</file>