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Choose a Casino Platform: Questions, Scoring &amp; Red Flags</w:t>
      </w:r>
    </w:p>
    <w:p>
      <w:pPr>
        <w:pStyle w:val="FirstParagraph"/>
      </w:pPr>
      <w:r>
        <w:t xml:space="preserve">Your casino platform choice will follow you for years. Migrations cost more than expected, disrupt operations, and take longer than anyone estimates. Most operators who’ve survived one say the same thing: they wish they’d invested more time in the original decision.</w:t>
      </w:r>
    </w:p>
    <w:p>
      <w:pPr>
        <w:pStyle w:val="BodyText"/>
      </w:pPr>
      <w:r>
        <w:t xml:space="preserve">The mistake isn’t picking the</w:t>
      </w:r>
      <w:r>
        <w:t xml:space="preserve"> </w:t>
      </w:r>
      <w:r>
        <w:t xml:space="preserve">“wrong”</w:t>
      </w:r>
      <w:r>
        <w:t xml:space="preserve"> </w:t>
      </w:r>
      <w:r>
        <w:t xml:space="preserve">platform - it’s picking a platform that doesn’t match how your business actually operates. A modular stack delivers maximum flexibility if you have the technical team to manage multiple vendor relationships. It becomes a nightmare if you’re running lean and need everything to work smoothly. A white-label gets you live in weeks but locks you into their vision of what a casino should be.</w:t>
      </w:r>
    </w:p>
    <w:p>
      <w:pPr>
        <w:pStyle w:val="BodyText"/>
      </w:pPr>
      <w:r>
        <w:t xml:space="preserve">This guide provides a decision framework before you start comparing vendors. You’ll assess your own constraints, ask the right questions in demos, score platforms objectively, and spot the red flags that reveal themselves only after you’re locked into a contract. For current vendor comparison and detailed platform reviews, see our</w:t>
      </w:r>
      <w:r>
        <w:t xml:space="preserve"> </w:t>
      </w:r>
      <w:hyperlink r:id="rId9">
        <w:r>
          <w:rPr>
            <w:rStyle w:val="Hyperlink"/>
          </w:rPr>
          <w:t xml:space="preserve">complete casino platform guide</w:t>
        </w:r>
      </w:hyperlink>
      <w:r>
        <w:t xml:space="preserve">.</w:t>
      </w:r>
    </w:p>
    <w:bookmarkStart w:id="10" w:name="framework-at-a-glance"/>
    <w:p>
      <w:pPr>
        <w:pStyle w:val="Heading2"/>
      </w:pPr>
      <w:r>
        <w:t xml:space="preserve">Framework at a Glance</w:t>
      </w:r>
    </w:p>
    <w:tbl>
      <w:tblPr>
        <w:tblStyle w:val="Table"/>
        <w:tblW w:type="pct" w:w="5000"/>
        <w:tblLayout w:type="fixed"/>
        <w:tblLook w:firstRow="1" w:lastRow="0" w:firstColumn="0" w:lastColumn="0" w:noHBand="0" w:noVBand="0" w:val="0020"/>
      </w:tblPr>
      <w:tblGrid>
        <w:gridCol w:w="1738"/>
        <w:gridCol w:w="3090"/>
        <w:gridCol w:w="3090"/>
      </w:tblGrid>
      <w:tr>
        <w:trPr>
          <w:tblHeader w:val="on"/>
        </w:trPr>
        <w:tc>
          <w:tcPr/>
          <w:p>
            <w:pPr>
              <w:pStyle w:val="Compact"/>
            </w:pPr>
            <w:r>
              <w:t xml:space="preserve">Section</w:t>
            </w:r>
          </w:p>
        </w:tc>
        <w:tc>
          <w:tcPr/>
          <w:p>
            <w:pPr>
              <w:pStyle w:val="Compact"/>
            </w:pPr>
            <w:r>
              <w:t xml:space="preserve">What It Covers</w:t>
            </w:r>
          </w:p>
        </w:tc>
        <w:tc>
          <w:tcPr/>
          <w:p>
            <w:pPr>
              <w:pStyle w:val="Compact"/>
            </w:pPr>
            <w:r>
              <w:t xml:space="preserve">When to Use It</w:t>
            </w:r>
          </w:p>
        </w:tc>
      </w:tr>
      <w:tr>
        <w:tc>
          <w:tcPr/>
          <w:p>
            <w:pPr>
              <w:pStyle w:val="Compact"/>
            </w:pPr>
            <w:r>
              <w:t xml:space="preserve">Self-Assessment</w:t>
            </w:r>
          </w:p>
        </w:tc>
        <w:tc>
          <w:tcPr/>
          <w:p>
            <w:pPr>
              <w:pStyle w:val="Compact"/>
            </w:pPr>
            <w:r>
              <w:t xml:space="preserve">Your constraints before evaluating vendors</w:t>
            </w:r>
          </w:p>
        </w:tc>
        <w:tc>
          <w:tcPr/>
          <w:p>
            <w:pPr>
              <w:pStyle w:val="Compact"/>
            </w:pPr>
            <w:r>
              <w:t xml:space="preserve">Before any demos or RFPs</w:t>
            </w:r>
          </w:p>
        </w:tc>
      </w:tr>
      <w:tr>
        <w:tc>
          <w:tcPr/>
          <w:p>
            <w:pPr>
              <w:pStyle w:val="Compact"/>
            </w:pPr>
            <w:r>
              <w:t xml:space="preserve">Demo Questions</w:t>
            </w:r>
          </w:p>
        </w:tc>
        <w:tc>
          <w:tcPr/>
          <w:p>
            <w:pPr>
              <w:pStyle w:val="Compact"/>
            </w:pPr>
            <w:r>
              <w:t xml:space="preserve">Vendor evaluation scripts by topic</w:t>
            </w:r>
          </w:p>
        </w:tc>
        <w:tc>
          <w:tcPr/>
          <w:p>
            <w:pPr>
              <w:pStyle w:val="Compact"/>
            </w:pPr>
            <w:r>
              <w:t xml:space="preserve">During sales presentations</w:t>
            </w:r>
          </w:p>
        </w:tc>
      </w:tr>
      <w:tr>
        <w:tc>
          <w:tcPr/>
          <w:p>
            <w:pPr>
              <w:pStyle w:val="Compact"/>
            </w:pPr>
            <w:r>
              <w:t xml:space="preserve">Scoring Framework</w:t>
            </w:r>
          </w:p>
        </w:tc>
        <w:tc>
          <w:tcPr/>
          <w:p>
            <w:pPr>
              <w:pStyle w:val="Compact"/>
            </w:pPr>
            <w:r>
              <w:t xml:space="preserve">Objective comparison methodology</w:t>
            </w:r>
          </w:p>
        </w:tc>
        <w:tc>
          <w:tcPr/>
          <w:p>
            <w:pPr>
              <w:pStyle w:val="Compact"/>
            </w:pPr>
            <w:r>
              <w:t xml:space="preserve">After demos, before shortlisting</w:t>
            </w:r>
          </w:p>
        </w:tc>
      </w:tr>
      <w:tr>
        <w:tc>
          <w:tcPr/>
          <w:p>
            <w:pPr>
              <w:pStyle w:val="Compact"/>
            </w:pPr>
            <w:r>
              <w:t xml:space="preserve">Red Flags</w:t>
            </w:r>
          </w:p>
        </w:tc>
        <w:tc>
          <w:tcPr/>
          <w:p>
            <w:pPr>
              <w:pStyle w:val="Compact"/>
            </w:pPr>
            <w:r>
              <w:t xml:space="preserve">Deal-breakers and warning signs</w:t>
            </w:r>
          </w:p>
        </w:tc>
        <w:tc>
          <w:tcPr/>
          <w:p>
            <w:pPr>
              <w:pStyle w:val="Compact"/>
            </w:pPr>
            <w:r>
              <w:t xml:space="preserve">Throughout the selection process</w:t>
            </w:r>
          </w:p>
        </w:tc>
      </w:tr>
      <w:tr>
        <w:tc>
          <w:tcPr/>
          <w:p>
            <w:pPr>
              <w:pStyle w:val="Compact"/>
            </w:pPr>
            <w:r>
              <w:t xml:space="preserve">Contract Protection</w:t>
            </w:r>
          </w:p>
        </w:tc>
        <w:tc>
          <w:tcPr/>
          <w:p>
            <w:pPr>
              <w:pStyle w:val="Compact"/>
            </w:pPr>
            <w:r>
              <w:t xml:space="preserve">Terms to negotiate after selection</w:t>
            </w:r>
          </w:p>
        </w:tc>
        <w:tc>
          <w:tcPr/>
          <w:p>
            <w:pPr>
              <w:pStyle w:val="Compact"/>
            </w:pPr>
            <w:r>
              <w:t xml:space="preserve">Before signing anything</w:t>
            </w:r>
          </w:p>
        </w:tc>
      </w:tr>
      <w:tr>
        <w:tc>
          <w:tcPr/>
          <w:p>
            <w:pPr>
              <w:pStyle w:val="Compact"/>
            </w:pPr>
            <w:r>
              <w:t xml:space="preserve">Common Questions</w:t>
            </w:r>
          </w:p>
        </w:tc>
        <w:tc>
          <w:tcPr/>
          <w:p>
            <w:pPr>
              <w:pStyle w:val="Compact"/>
            </w:pPr>
            <w:r>
              <w:t xml:space="preserve">Answers to frequent buying process questions</w:t>
            </w:r>
          </w:p>
        </w:tc>
        <w:tc>
          <w:tcPr/>
          <w:p>
            <w:pPr>
              <w:pStyle w:val="Compact"/>
            </w:pPr>
            <w:r>
              <w:t xml:space="preserve">Reference throughout</w:t>
            </w:r>
          </w:p>
        </w:tc>
      </w:tr>
    </w:tbl>
    <w:bookmarkEnd w:id="10"/>
    <w:bookmarkStart w:id="21" w:name="before-you-talk-to-any-vendor"/>
    <w:p>
      <w:pPr>
        <w:pStyle w:val="Heading2"/>
      </w:pPr>
      <w:r>
        <w:t xml:space="preserve">Before You Talk to Any Vendor</w:t>
      </w:r>
    </w:p>
    <w:bookmarkStart w:id="14" w:name="X7c3889c72b154fdb7001f8298cc9389650a673f"/>
    <w:p>
      <w:pPr>
        <w:pStyle w:val="Heading3"/>
      </w:pPr>
      <w:r>
        <w:t xml:space="preserve">What markets will you operate in within 24 months?</w:t>
      </w:r>
    </w:p>
    <w:p>
      <w:pPr>
        <w:pStyle w:val="FirstParagraph"/>
      </w:pPr>
      <w:r>
        <w:t xml:space="preserve">Platforms that work in Curacao don’t necessarily work in Germany or the UK. If you’re considering regulated European markets, you need a platform with compliance infrastructure already built. That means automated reporting, player protection tools that meet local standards, and most importantly - current licenses or partnerships with licensed operators in your target jurisdictions.</w:t>
      </w:r>
    </w:p>
    <w:p>
      <w:pPr>
        <w:pStyle w:val="BodyText"/>
      </w:pPr>
      <w:r>
        <w:t xml:space="preserve">This question eliminates half the field immediately. Platforms like</w:t>
      </w:r>
      <w:r>
        <w:t xml:space="preserve"> </w:t>
      </w:r>
      <w:hyperlink r:id="rId11">
        <w:r>
          <w:rPr>
            <w:rStyle w:val="Hyperlink"/>
          </w:rPr>
          <w:t xml:space="preserve">SOFTSWISS</w:t>
        </w:r>
      </w:hyperlink>
      <w:r>
        <w:t xml:space="preserve"> </w:t>
      </w:r>
      <w:r>
        <w:t xml:space="preserve">excel in crypto-friendly jurisdictions and have established regulatory presences in various European markets. However, they may still require specific review for the strictest European markets. SOFTSWISS announced in January 2026 its strategic vision to expand further in regulated markets, including the scaling of AI across operations.</w:t>
      </w:r>
      <w:r>
        <w:t xml:space="preserve"> </w:t>
      </w:r>
      <w:hyperlink r:id="rId12">
        <w:r>
          <w:rPr>
            <w:rStyle w:val="Hyperlink"/>
          </w:rPr>
          <w:t xml:space="preserve">Playtech</w:t>
        </w:r>
      </w:hyperlink>
      <w:r>
        <w:t xml:space="preserve"> </w:t>
      </w:r>
      <w:r>
        <w:t xml:space="preserve">or</w:t>
      </w:r>
      <w:r>
        <w:t xml:space="preserve"> </w:t>
      </w:r>
      <w:hyperlink r:id="rId13">
        <w:r>
          <w:rPr>
            <w:rStyle w:val="Hyperlink"/>
          </w:rPr>
          <w:t xml:space="preserve">EveryMatrix</w:t>
        </w:r>
      </w:hyperlink>
      <w:r>
        <w:t xml:space="preserve"> </w:t>
      </w:r>
      <w:r>
        <w:t xml:space="preserve">position themselves better for multi-jurisdictional compliance. For example, Playtech expanded into Connecticut in March 2026, marking its sixth regulated iGaming state. EveryMatrix, which introduced a co-CEO model in January 2026 to support its long-term expansion strategy, secured licensing approval in Alberta, Canada in May 2026. Their specific pricing models are not publicly disclosed and typically require direct vendor contact for details.</w:t>
      </w:r>
    </w:p>
    <w:p>
      <w:pPr>
        <w:pStyle w:val="BodyText"/>
      </w:pPr>
      <w:r>
        <w:t xml:space="preserve">Don’t assume you can add compliance later. The differences run deep: from how player data gets stored to how bonuses are structured to meet local advertising rules. Brazil’s Law 14.790/2023 creates specific requirements around payment processing and player protection that weren’t relevant two years ago. Build your shortlist around where you’ll actually operate, not where you might operate someday.</w:t>
      </w:r>
    </w:p>
    <w:bookmarkEnd w:id="14"/>
    <w:bookmarkStart w:id="16" w:name="how-fast-do-you-need-to-launch"/>
    <w:p>
      <w:pPr>
        <w:pStyle w:val="Heading3"/>
      </w:pPr>
      <w:r>
        <w:t xml:space="preserve">How fast do you need to launch?</w:t>
      </w:r>
    </w:p>
    <w:p>
      <w:pPr>
        <w:pStyle w:val="FirstParagraph"/>
      </w:pPr>
      <w:r>
        <w:t xml:space="preserve">This question breaks most platform selections. Sales teams promise 4-6 week integrations. Reality runs 12-16 weeks for proper implementation, longer if you want custom features or have complex payment requirements.</w:t>
      </w:r>
    </w:p>
    <w:p>
      <w:pPr>
        <w:pStyle w:val="BodyText"/>
      </w:pPr>
      <w:r>
        <w:t xml:space="preserve">If you need to be live in under 8 weeks, you’re looking at white-label or turnkey solutions from vendors like</w:t>
      </w:r>
      <w:r>
        <w:t xml:space="preserve"> </w:t>
      </w:r>
      <w:hyperlink r:id="rId15">
        <w:r>
          <w:rPr>
            <w:rStyle w:val="Hyperlink"/>
          </w:rPr>
          <w:t xml:space="preserve">BetConstruct</w:t>
        </w:r>
      </w:hyperlink>
      <w:r>
        <w:t xml:space="preserve">. You’ll sacrifice customization and potentially lock yourself into their ecosystem, but you’ll be taking bets while competitors remain in integration. BetConstruct, for instance, is offering three months of free access to its core suite, including its sportsbook with an AI companion, timed for the 2026 FIFA World Cup, along with a 50% setup discount for new partners.</w:t>
      </w:r>
    </w:p>
    <w:p>
      <w:pPr>
        <w:pStyle w:val="BodyText"/>
      </w:pPr>
      <w:r>
        <w:t xml:space="preserve">Modular platforms like EveryMatrix deliver better long-term flexibility, but generally require a longer implementation timeline compared to white-label solutions. The integration timeline isn’t just about the platform. It’s about payment processors, game aggregators, compliance tools, and front-end development. Each integration point adds time, even when everything goes perfectly.</w:t>
      </w:r>
    </w:p>
    <w:bookmarkEnd w:id="16"/>
    <w:bookmarkStart w:id="17" w:name="whats-your-technical-team-structure"/>
    <w:p>
      <w:pPr>
        <w:pStyle w:val="Heading3"/>
      </w:pPr>
      <w:r>
        <w:t xml:space="preserve">What’s your technical team structure?</w:t>
      </w:r>
    </w:p>
    <w:p>
      <w:pPr>
        <w:pStyle w:val="FirstParagraph"/>
      </w:pPr>
      <w:r>
        <w:t xml:space="preserve">Headless platforms give you maximum control but assume you have developers who can build and maintain a front-end. If your technical team consists of three contractors and a part-time CTO, this is not the platform architecture for you right now. Come back when you have a team.</w:t>
      </w:r>
    </w:p>
    <w:p>
      <w:pPr>
        <w:pStyle w:val="BodyText"/>
      </w:pPr>
      <w:r>
        <w:t xml:space="preserve">All-in-one platforms handle more complexity but give you less flexibility. The question isn’t which approach performs better - it’s which approach matches your team’s capabilities. A strong technical team will be frustrated by the limitations of a closed platform. A lean team will be overwhelmed by the complexity of a modular one.</w:t>
      </w:r>
    </w:p>
    <w:p>
      <w:pPr>
        <w:pStyle w:val="BodyText"/>
      </w:pPr>
      <w:r>
        <w:t xml:space="preserve">Consider your team’s experience with APIs, their capacity to manage multiple vendor relationships, and their availability to handle integrations that don’t follow the plan. Most importantly, consider what happens if key technical people leave during or after implementation. Platforms that require deep vendor-specific knowledge create operational risk when team members change.</w:t>
      </w:r>
    </w:p>
    <w:bookmarkEnd w:id="17"/>
    <w:bookmarkStart w:id="18" w:name="whats-your-player-acquisition-strategy"/>
    <w:p>
      <w:pPr>
        <w:pStyle w:val="Heading3"/>
      </w:pPr>
      <w:r>
        <w:t xml:space="preserve">What’s your player acquisition strategy?</w:t>
      </w:r>
    </w:p>
    <w:p>
      <w:pPr>
        <w:pStyle w:val="FirstParagraph"/>
      </w:pPr>
      <w:r>
        <w:t xml:space="preserve">High-volume affiliate marketing creates different platform requirements than direct marketing to VIP players. If you’re planning to drive volume through affiliates, you need solid tracking, fast payment processing, and the ability to handle traffic spikes without degrading player experience.</w:t>
      </w:r>
    </w:p>
    <w:p>
      <w:pPr>
        <w:pStyle w:val="BodyText"/>
      </w:pPr>
      <w:r>
        <w:t xml:space="preserve">VIP-focused operations need different tools: sophisticated CRM capabilities, manual bonus controls, detailed player analytics, and payment methods that handle large transactions without issues. The bonus engine requirements alone are completely different: mass-market operators need automated promotional tools, while VIP operators need manual control over every offer.</w:t>
      </w:r>
    </w:p>
    <w:p>
      <w:pPr>
        <w:pStyle w:val="BodyText"/>
      </w:pPr>
      <w:r>
        <w:t xml:space="preserve">This affects vendor selection significantly. SOFTSWISS excels at handling high-volume, crypto-heavy traffic. Their Game Aggregator received a 9 out of 10 client satisfaction score in early 2026, indicating strong performance for partners. The wrong platform won’t prevent you from launching, but it will make your acquisition strategy more expensive and less effective.</w:t>
      </w:r>
    </w:p>
    <w:bookmarkEnd w:id="18"/>
    <w:bookmarkStart w:id="19" w:name="X891668996d5e4ae59128934fbfc66695c50c5ad"/>
    <w:p>
      <w:pPr>
        <w:pStyle w:val="Heading3"/>
      </w:pPr>
      <w:r>
        <w:t xml:space="preserve">How much control do you need over the player experience?</w:t>
      </w:r>
    </w:p>
    <w:p>
      <w:pPr>
        <w:pStyle w:val="FirstParagraph"/>
      </w:pPr>
      <w:r>
        <w:t xml:space="preserve">White-label solutions get you live fast but limit customization to logos, colors, and basic layout changes. If your business model depends on a unique user experience or specific promotional mechanics, you need a platform that lets you build custom features.</w:t>
      </w:r>
    </w:p>
    <w:p>
      <w:pPr>
        <w:pStyle w:val="BodyText"/>
      </w:pPr>
      <w:r>
        <w:t xml:space="preserve">This is where many operators make expensive mistakes. They choose a flexible platform because they want the option to customize, then discover they don’t have the team or budget to actually build custom features. Or they choose a white-label for speed, then realize their marketing strategy requires promotional tools the platform doesn’t support.</w:t>
      </w:r>
    </w:p>
    <w:p>
      <w:pPr>
        <w:pStyle w:val="BodyText"/>
      </w:pPr>
      <w:r>
        <w:t xml:space="preserve">Be honest about what you’ll actually customize versus what you think you might want to customize someday. Every additional layer of customization adds development time, ongoing maintenance costs, and complexity during platform migrations. The most successful operators pick platforms that do 80% of what they need out of the box, then customize only the features that directly impact revenue.</w:t>
      </w:r>
    </w:p>
    <w:bookmarkEnd w:id="19"/>
    <w:bookmarkStart w:id="20" w:name="whats-your-revenue-model-beyond-gaming"/>
    <w:p>
      <w:pPr>
        <w:pStyle w:val="Heading3"/>
      </w:pPr>
      <w:r>
        <w:t xml:space="preserve">What’s your revenue model beyond gaming?</w:t>
      </w:r>
    </w:p>
    <w:p>
      <w:pPr>
        <w:pStyle w:val="FirstParagraph"/>
      </w:pPr>
      <w:r>
        <w:t xml:space="preserve">If your business model includes affiliate marketing, advertising revenue, or subscription services, your platform needs to support these revenue streams. Many casino platforms assume your only revenue comes from gaming and don’t provide tools for other business models.</w:t>
      </w:r>
    </w:p>
    <w:p>
      <w:pPr>
        <w:pStyle w:val="BodyText"/>
      </w:pPr>
      <w:r>
        <w:t xml:space="preserve">This matters particularly for operators planning content marketing strategies, affiliate programs beyond gaming, or integration with external services. Some platforms make these integrations straightforward. Others require expensive custom development or don’t support them at all.</w:t>
      </w:r>
    </w:p>
    <w:p>
      <w:pPr>
        <w:pStyle w:val="BodyText"/>
      </w:pPr>
      <w:r>
        <w:t xml:space="preserve">Consider payment flows for non-gaming revenue, reporting capabilities that track multiple revenue streams, and API access that allows integration with marketing tools or affiliate networks. These requirements often don’t surface until after platform selection, when they’re expensive to address.</w:t>
      </w:r>
    </w:p>
    <w:bookmarkEnd w:id="20"/>
    <w:bookmarkEnd w:id="21"/>
    <w:bookmarkStart w:id="27" w:name="questions-to-ask-during-demos"/>
    <w:p>
      <w:pPr>
        <w:pStyle w:val="Heading2"/>
      </w:pPr>
      <w:r>
        <w:t xml:space="preserve">Questions to Ask During Demos</w:t>
      </w:r>
    </w:p>
    <w:bookmarkStart w:id="22" w:name="integration-and-technical-architecture"/>
    <w:p>
      <w:pPr>
        <w:pStyle w:val="Heading3"/>
      </w:pPr>
      <w:r>
        <w:t xml:space="preserve">Integration and Technical Architecture</w:t>
      </w:r>
    </w:p>
    <w:p>
      <w:pPr>
        <w:pStyle w:val="Compact"/>
        <w:numPr>
          <w:ilvl w:val="0"/>
          <w:numId w:val="1001"/>
        </w:numPr>
      </w:pPr>
      <w:r>
        <w:t xml:space="preserve">Walk me through the actual API documentation - not the sales deck, the real docs your developers will use.</w:t>
      </w:r>
    </w:p>
    <w:p>
      <w:pPr>
        <w:pStyle w:val="Compact"/>
        <w:numPr>
          <w:ilvl w:val="0"/>
          <w:numId w:val="1001"/>
        </w:numPr>
      </w:pPr>
      <w:r>
        <w:t xml:space="preserve">What happens to site performance when you’re running a big promotion and traffic spikes 300%?</w:t>
      </w:r>
    </w:p>
    <w:p>
      <w:pPr>
        <w:pStyle w:val="Compact"/>
        <w:numPr>
          <w:ilvl w:val="0"/>
          <w:numId w:val="1001"/>
        </w:numPr>
      </w:pPr>
      <w:r>
        <w:t xml:space="preserve">Show me the staging environment setup process and how we test integrations before going live.</w:t>
      </w:r>
    </w:p>
    <w:p>
      <w:pPr>
        <w:pStyle w:val="Compact"/>
        <w:numPr>
          <w:ilvl w:val="0"/>
          <w:numId w:val="1001"/>
        </w:numPr>
      </w:pPr>
      <w:r>
        <w:t xml:space="preserve">What’s the longest integration you’ve done in the past 12 months, and what went wrong?</w:t>
      </w:r>
    </w:p>
    <w:p>
      <w:pPr>
        <w:pStyle w:val="Compact"/>
        <w:numPr>
          <w:ilvl w:val="0"/>
          <w:numId w:val="1001"/>
        </w:numPr>
      </w:pPr>
      <w:r>
        <w:t xml:space="preserve">How do you handle version updates, and how much advance notice do we get?</w:t>
      </w:r>
    </w:p>
    <w:p>
      <w:pPr>
        <w:pStyle w:val="FirstParagraph"/>
      </w:pPr>
      <w:r>
        <w:t xml:space="preserve">A good answer to the spike question includes specific infrastructure details and mentions load balancing or auto-scaling. A red flag answer delivers vague assurances about</w:t>
      </w:r>
      <w:r>
        <w:t xml:space="preserve"> </w:t>
      </w:r>
      <w:r>
        <w:t xml:space="preserve">“solid infrastructure”</w:t>
      </w:r>
      <w:r>
        <w:t xml:space="preserve"> </w:t>
      </w:r>
      <w:r>
        <w:t xml:space="preserve">without technical specifics.</w:t>
      </w:r>
    </w:p>
    <w:bookmarkEnd w:id="22"/>
    <w:bookmarkStart w:id="23" w:name="compliance-and-regulatory"/>
    <w:p>
      <w:pPr>
        <w:pStyle w:val="Heading3"/>
      </w:pPr>
      <w:r>
        <w:t xml:space="preserve">Compliance and Regulatory</w:t>
      </w:r>
    </w:p>
    <w:p>
      <w:pPr>
        <w:pStyle w:val="Compact"/>
        <w:numPr>
          <w:ilvl w:val="0"/>
          <w:numId w:val="1002"/>
        </w:numPr>
      </w:pPr>
      <w:r>
        <w:t xml:space="preserve">Which markets can we launch in immediately versus which require additional compliance work?</w:t>
      </w:r>
    </w:p>
    <w:p>
      <w:pPr>
        <w:pStyle w:val="Compact"/>
        <w:numPr>
          <w:ilvl w:val="0"/>
          <w:numId w:val="1002"/>
        </w:numPr>
      </w:pPr>
      <w:r>
        <w:t xml:space="preserve">Show me the responsible gaming tools and how they integrate with customer support workflows.</w:t>
      </w:r>
    </w:p>
    <w:p>
      <w:pPr>
        <w:pStyle w:val="Compact"/>
        <w:numPr>
          <w:ilvl w:val="0"/>
          <w:numId w:val="1002"/>
        </w:numPr>
      </w:pPr>
      <w:r>
        <w:t xml:space="preserve">What happens when a regulator asks for specific player data or transaction reports?</w:t>
      </w:r>
    </w:p>
    <w:p>
      <w:pPr>
        <w:pStyle w:val="Compact"/>
        <w:numPr>
          <w:ilvl w:val="0"/>
          <w:numId w:val="1002"/>
        </w:numPr>
      </w:pPr>
      <w:r>
        <w:t xml:space="preserve">How do you stay current with changing regulations, and how are updates communicated to operators?</w:t>
      </w:r>
    </w:p>
    <w:p>
      <w:pPr>
        <w:pStyle w:val="Compact"/>
        <w:numPr>
          <w:ilvl w:val="0"/>
          <w:numId w:val="1002"/>
        </w:numPr>
      </w:pPr>
      <w:r>
        <w:t xml:space="preserve">What compliance certifications do you maintain, and when do they expire?</w:t>
      </w:r>
    </w:p>
    <w:p>
      <w:pPr>
        <w:pStyle w:val="FirstParagraph"/>
      </w:pPr>
      <w:r>
        <w:t xml:space="preserve">A good answer includes specific examples of regulatory requests they’ve handled. A red flag answer focuses only on technical compliance without addressing operational support during regulatory interactions.</w:t>
      </w:r>
    </w:p>
    <w:bookmarkEnd w:id="23"/>
    <w:bookmarkStart w:id="24" w:name="operations-and-support"/>
    <w:p>
      <w:pPr>
        <w:pStyle w:val="Heading3"/>
      </w:pPr>
      <w:r>
        <w:t xml:space="preserve">Operations and Support</w:t>
      </w:r>
    </w:p>
    <w:p>
      <w:pPr>
        <w:pStyle w:val="Compact"/>
        <w:numPr>
          <w:ilvl w:val="0"/>
          <w:numId w:val="1003"/>
        </w:numPr>
      </w:pPr>
      <w:r>
        <w:t xml:space="preserve">What does day-to-day platform management look like for operators?</w:t>
      </w:r>
    </w:p>
    <w:p>
      <w:pPr>
        <w:pStyle w:val="Compact"/>
        <w:numPr>
          <w:ilvl w:val="0"/>
          <w:numId w:val="1003"/>
        </w:numPr>
      </w:pPr>
      <w:r>
        <w:t xml:space="preserve">How do you handle urgent issues outside business hours, and what’s the actual response time?</w:t>
      </w:r>
    </w:p>
    <w:p>
      <w:pPr>
        <w:pStyle w:val="Compact"/>
        <w:numPr>
          <w:ilvl w:val="0"/>
          <w:numId w:val="1003"/>
        </w:numPr>
      </w:pPr>
      <w:r>
        <w:t xml:space="preserve">Walk me through the back-office - not the features, but the daily workflow for managing players.</w:t>
      </w:r>
    </w:p>
    <w:p>
      <w:pPr>
        <w:pStyle w:val="Compact"/>
        <w:numPr>
          <w:ilvl w:val="0"/>
          <w:numId w:val="1003"/>
        </w:numPr>
      </w:pPr>
      <w:r>
        <w:t xml:space="preserve">What training do you provide for our team, and how long does onboarding typically take?</w:t>
      </w:r>
    </w:p>
    <w:p>
      <w:pPr>
        <w:pStyle w:val="Compact"/>
        <w:numPr>
          <w:ilvl w:val="0"/>
          <w:numId w:val="1003"/>
        </w:numPr>
      </w:pPr>
      <w:r>
        <w:t xml:space="preserve">When something breaks, how do we escalate, and who makes decisions about fixes versus workarounds?</w:t>
      </w:r>
    </w:p>
    <w:p>
      <w:pPr>
        <w:pStyle w:val="FirstParagraph"/>
      </w:pPr>
      <w:r>
        <w:t xml:space="preserve">The back-office question is crucial. Ask to see actual workflows, not feature demonstrations. Watch how many clicks it takes to complete common tasks like processing withdrawals or adjusting player limits.</w:t>
      </w:r>
    </w:p>
    <w:bookmarkEnd w:id="24"/>
    <w:bookmarkStart w:id="25" w:name="commercial-terms-and-flexibility"/>
    <w:p>
      <w:pPr>
        <w:pStyle w:val="Heading3"/>
      </w:pPr>
      <w:r>
        <w:t xml:space="preserve">Commercial Terms and Flexibility</w:t>
      </w:r>
    </w:p>
    <w:p>
      <w:pPr>
        <w:pStyle w:val="Compact"/>
        <w:numPr>
          <w:ilvl w:val="0"/>
          <w:numId w:val="1004"/>
        </w:numPr>
      </w:pPr>
      <w:r>
        <w:t xml:space="preserve">What happens to our data and player relationships if we decide to leave?</w:t>
      </w:r>
    </w:p>
    <w:p>
      <w:pPr>
        <w:pStyle w:val="Compact"/>
        <w:numPr>
          <w:ilvl w:val="0"/>
          <w:numId w:val="1004"/>
        </w:numPr>
      </w:pPr>
      <w:r>
        <w:t xml:space="preserve">Are there minimum revenue commitments, and what happens if we don’t hit them?</w:t>
      </w:r>
    </w:p>
    <w:p>
      <w:pPr>
        <w:pStyle w:val="Compact"/>
        <w:numPr>
          <w:ilvl w:val="0"/>
          <w:numId w:val="1004"/>
        </w:numPr>
      </w:pPr>
      <w:r>
        <w:t xml:space="preserve">How do pricing tiers work as we scale, and are there any surprise fees?</w:t>
      </w:r>
    </w:p>
    <w:p>
      <w:pPr>
        <w:pStyle w:val="Compact"/>
        <w:numPr>
          <w:ilvl w:val="0"/>
          <w:numId w:val="1004"/>
        </w:numPr>
      </w:pPr>
      <w:r>
        <w:t xml:space="preserve">What’s included in the base platform versus what costs extra?</w:t>
      </w:r>
    </w:p>
    <w:p>
      <w:pPr>
        <w:pStyle w:val="Compact"/>
        <w:numPr>
          <w:ilvl w:val="0"/>
          <w:numId w:val="1004"/>
        </w:numPr>
      </w:pPr>
      <w:r>
        <w:t xml:space="preserve">How do you handle contract modifications if our business model changes?</w:t>
      </w:r>
    </w:p>
    <w:p>
      <w:pPr>
        <w:pStyle w:val="FirstParagraph"/>
      </w:pPr>
      <w:r>
        <w:t xml:space="preserve">This is where you discover the real cost structure. Many platforms offer attractive entry-level pricing that changes significantly as you scale or add features.</w:t>
      </w:r>
    </w:p>
    <w:bookmarkEnd w:id="25"/>
    <w:bookmarkStart w:id="26" w:name="infrastructure-and-performance"/>
    <w:p>
      <w:pPr>
        <w:pStyle w:val="Heading3"/>
      </w:pPr>
      <w:r>
        <w:t xml:space="preserve">Infrastructure and Performance</w:t>
      </w:r>
    </w:p>
    <w:p>
      <w:pPr>
        <w:pStyle w:val="Compact"/>
        <w:numPr>
          <w:ilvl w:val="0"/>
          <w:numId w:val="1005"/>
        </w:numPr>
      </w:pPr>
      <w:r>
        <w:t xml:space="preserve">What’s your actual uptime over the past 12 months, including scheduled maintenance?</w:t>
      </w:r>
    </w:p>
    <w:p>
      <w:pPr>
        <w:pStyle w:val="Compact"/>
        <w:numPr>
          <w:ilvl w:val="0"/>
          <w:numId w:val="1005"/>
        </w:numPr>
      </w:pPr>
      <w:r>
        <w:t xml:space="preserve">How do you handle payment processing redundancy if primary providers fail?</w:t>
      </w:r>
    </w:p>
    <w:p>
      <w:pPr>
        <w:pStyle w:val="Compact"/>
        <w:numPr>
          <w:ilvl w:val="0"/>
          <w:numId w:val="1005"/>
        </w:numPr>
      </w:pPr>
      <w:r>
        <w:t xml:space="preserve">What monitoring tools do we get access to, and what do you monitor that we can’t see?</w:t>
      </w:r>
    </w:p>
    <w:p>
      <w:pPr>
        <w:pStyle w:val="Compact"/>
        <w:numPr>
          <w:ilvl w:val="0"/>
          <w:numId w:val="1005"/>
        </w:numPr>
      </w:pPr>
      <w:r>
        <w:t xml:space="preserve">How do you handle data backup and disaster recovery?</w:t>
      </w:r>
    </w:p>
    <w:p>
      <w:pPr>
        <w:pStyle w:val="Compact"/>
        <w:numPr>
          <w:ilvl w:val="0"/>
          <w:numId w:val="1005"/>
        </w:numPr>
      </w:pPr>
      <w:r>
        <w:t xml:space="preserve">What’s the plan if your company gets acquired or changes ownership?</w:t>
      </w:r>
    </w:p>
    <w:p>
      <w:pPr>
        <w:pStyle w:val="FirstParagraph"/>
      </w:pPr>
      <w:r>
        <w:t xml:space="preserve">Ask for specific uptime reports, not general assurances. The disaster recovery question often reveals whether they’ve actually tested their backup procedures or just documented them.</w:t>
      </w:r>
    </w:p>
    <w:bookmarkEnd w:id="26"/>
    <w:bookmarkEnd w:id="27"/>
    <w:bookmarkStart w:id="28" w:name="casino-platform-evaluation-criteria"/>
    <w:p>
      <w:pPr>
        <w:pStyle w:val="Heading2"/>
      </w:pPr>
      <w:r>
        <w:t xml:space="preserve">Casino Platform Evaluation Criteria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Weight (1-5)</w:t>
            </w:r>
          </w:p>
        </w:tc>
        <w:tc>
          <w:tcPr/>
          <w:p>
            <w:pPr>
              <w:pStyle w:val="Compact"/>
            </w:pPr>
            <w:r>
              <w:t xml:space="preserve">Vendor A</w:t>
            </w:r>
          </w:p>
        </w:tc>
        <w:tc>
          <w:tcPr/>
          <w:p>
            <w:pPr>
              <w:pStyle w:val="Compact"/>
            </w:pPr>
            <w:r>
              <w:t xml:space="preserve">Vendor B</w:t>
            </w:r>
          </w:p>
        </w:tc>
        <w:tc>
          <w:tcPr/>
          <w:p>
            <w:pPr>
              <w:pStyle w:val="Compact"/>
            </w:pPr>
            <w:r>
              <w:t xml:space="preserve">Vendor C</w:t>
            </w:r>
          </w:p>
        </w:tc>
      </w:tr>
      <w:tr>
        <w:tc>
          <w:tcPr/>
          <w:p>
            <w:pPr>
              <w:pStyle w:val="Compact"/>
            </w:pPr>
            <w:r>
              <w:t xml:space="preserve">Integration Speed</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Regulatory Coverage</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Game Library Depth</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Payment Flexibility</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Customization Options</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Support Quality</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Pricing Transparency</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Platform Stability</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Exit Flexibility</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bl>
    <w:p>
      <w:pPr>
        <w:pStyle w:val="BodyText"/>
      </w:pPr>
      <w:r>
        <w:t xml:space="preserve">Weighting matters more than absolute scores. A platform that scores 8/10 on features you don’t need performs worse than one that scores 6/10 on features that drive your business. Customize the weights based on your specific situation:</w:t>
      </w:r>
    </w:p>
    <w:p>
      <w:pPr>
        <w:pStyle w:val="Compact"/>
        <w:numPr>
          <w:ilvl w:val="0"/>
          <w:numId w:val="1006"/>
        </w:numPr>
      </w:pPr>
      <w:r>
        <w:rPr>
          <w:b/>
          <w:bCs/>
        </w:rPr>
        <w:t xml:space="preserve">Fast-launch operators</w:t>
      </w:r>
      <w:r>
        <w:t xml:space="preserve">: Integration Speed (5), Support Quality (4), Platform Stability (4), others (2-3)</w:t>
      </w:r>
    </w:p>
    <w:p>
      <w:pPr>
        <w:pStyle w:val="Compact"/>
        <w:numPr>
          <w:ilvl w:val="0"/>
          <w:numId w:val="1006"/>
        </w:numPr>
      </w:pPr>
      <w:r>
        <w:rPr>
          <w:b/>
          <w:bCs/>
        </w:rPr>
        <w:t xml:space="preserve">Multi-market operators</w:t>
      </w:r>
      <w:r>
        <w:t xml:space="preserve">: Regulatory Coverage (5), Payment Flexibility (4), Platform Stability (4), others (2-3)</w:t>
      </w:r>
    </w:p>
    <w:p>
      <w:pPr>
        <w:pStyle w:val="Compact"/>
        <w:numPr>
          <w:ilvl w:val="0"/>
          <w:numId w:val="1006"/>
        </w:numPr>
      </w:pPr>
      <w:r>
        <w:rPr>
          <w:b/>
          <w:bCs/>
        </w:rPr>
        <w:t xml:space="preserve">Custom experience operators</w:t>
      </w:r>
      <w:r>
        <w:t xml:space="preserve">: Customization Options (5), Integration Speed (1), Game Library Depth (4), others (2-3)</w:t>
      </w:r>
    </w:p>
    <w:p>
      <w:pPr>
        <w:pStyle w:val="FirstParagraph"/>
      </w:pPr>
      <w:r>
        <w:t xml:space="preserve">Score each vendor 1-10 on each dimension, multiply by your weight, then total. But don’t let math override judgment. If a vendor fails catastrophically on any dimension weighted 4 or 5, the total score doesn’t matter.</w:t>
      </w:r>
    </w:p>
    <w:bookmarkEnd w:id="28"/>
    <w:bookmarkStart w:id="31" w:name="red-flags"/>
    <w:p>
      <w:pPr>
        <w:pStyle w:val="Heading2"/>
      </w:pPr>
      <w:r>
        <w:t xml:space="preserve">Red Flags</w:t>
      </w:r>
    </w:p>
    <w:bookmarkStart w:id="29" w:name="walk-away-if"/>
    <w:p>
      <w:pPr>
        <w:pStyle w:val="Heading3"/>
      </w:pPr>
      <w:r>
        <w:t xml:space="preserve">Walk away if:</w:t>
      </w:r>
    </w:p>
    <w:p>
      <w:pPr>
        <w:pStyle w:val="Compact"/>
        <w:numPr>
          <w:ilvl w:val="0"/>
          <w:numId w:val="1007"/>
        </w:numPr>
      </w:pPr>
      <w:r>
        <w:rPr>
          <w:b/>
          <w:bCs/>
        </w:rPr>
        <w:t xml:space="preserve">They won’t show you the actual back-office during demos</w:t>
      </w:r>
      <w:r>
        <w:t xml:space="preserve"> </w:t>
      </w:r>
      <w:r>
        <w:t xml:space="preserve">- only marketing presentations or sanitized demo environments. Real platforms have real interfaces with real complexity.</w:t>
      </w:r>
    </w:p>
    <w:p>
      <w:pPr>
        <w:pStyle w:val="Compact"/>
        <w:numPr>
          <w:ilvl w:val="0"/>
          <w:numId w:val="1007"/>
        </w:numPr>
      </w:pPr>
      <w:r>
        <w:rPr>
          <w:b/>
          <w:bCs/>
        </w:rPr>
        <w:t xml:space="preserve">Integration timelines seem unrealistic</w:t>
      </w:r>
      <w:r>
        <w:t xml:space="preserve"> </w:t>
      </w:r>
      <w:r>
        <w:t xml:space="preserve">- promises of 2-3 week full integrations, especially for custom requirements. Either they’re overselling or their platform lacks the features you think you’re getting.</w:t>
      </w:r>
    </w:p>
    <w:p>
      <w:pPr>
        <w:pStyle w:val="Compact"/>
        <w:numPr>
          <w:ilvl w:val="0"/>
          <w:numId w:val="1007"/>
        </w:numPr>
      </w:pPr>
      <w:r>
        <w:rPr>
          <w:b/>
          <w:bCs/>
        </w:rPr>
        <w:t xml:space="preserve">They can’t explain their regulatory strategy</w:t>
      </w:r>
      <w:r>
        <w:t xml:space="preserve"> </w:t>
      </w:r>
      <w:r>
        <w:t xml:space="preserve">- vague answers about compliance or inability to discuss specific jurisdictional requirements. Regulatory problems become your problems.</w:t>
      </w:r>
    </w:p>
    <w:p>
      <w:pPr>
        <w:pStyle w:val="Compact"/>
        <w:numPr>
          <w:ilvl w:val="0"/>
          <w:numId w:val="1007"/>
        </w:numPr>
      </w:pPr>
      <w:r>
        <w:rPr>
          <w:b/>
          <w:bCs/>
        </w:rPr>
        <w:t xml:space="preserve">References are all from different industries</w:t>
      </w:r>
      <w:r>
        <w:t xml:space="preserve"> </w:t>
      </w:r>
      <w:r>
        <w:t xml:space="preserve">- if their casino references are all startup operators or they deflect requests to speak with current clients.</w:t>
      </w:r>
    </w:p>
    <w:p>
      <w:pPr>
        <w:pStyle w:val="Compact"/>
        <w:numPr>
          <w:ilvl w:val="0"/>
          <w:numId w:val="1007"/>
        </w:numPr>
      </w:pPr>
      <w:r>
        <w:rPr>
          <w:b/>
          <w:bCs/>
        </w:rPr>
        <w:t xml:space="preserve">Pricing structure changes dramatically after initial discussions</w:t>
      </w:r>
      <w:r>
        <w:t xml:space="preserve"> </w:t>
      </w:r>
      <w:r>
        <w:t xml:space="preserve">- major cost increases or surprise fees that appear during contract negotiations.</w:t>
      </w:r>
    </w:p>
    <w:p>
      <w:pPr>
        <w:pStyle w:val="Compact"/>
        <w:numPr>
          <w:ilvl w:val="0"/>
          <w:numId w:val="1007"/>
        </w:numPr>
      </w:pPr>
      <w:r>
        <w:rPr>
          <w:b/>
          <w:bCs/>
        </w:rPr>
        <w:t xml:space="preserve">They push for long-term contracts with minimal trial periods</w:t>
      </w:r>
      <w:r>
        <w:t xml:space="preserve"> </w:t>
      </w:r>
      <w:r>
        <w:t xml:space="preserve">- confidence in their platform should translate to flexibility in initial terms.</w:t>
      </w:r>
    </w:p>
    <w:bookmarkEnd w:id="29"/>
    <w:bookmarkStart w:id="30" w:name="proceed-with-caution-if"/>
    <w:p>
      <w:pPr>
        <w:pStyle w:val="Heading3"/>
      </w:pPr>
      <w:r>
        <w:t xml:space="preserve">Proceed with caution if:</w:t>
      </w:r>
    </w:p>
    <w:p>
      <w:pPr>
        <w:pStyle w:val="Compact"/>
        <w:numPr>
          <w:ilvl w:val="0"/>
          <w:numId w:val="1008"/>
        </w:numPr>
      </w:pPr>
      <w:r>
        <w:rPr>
          <w:b/>
          <w:bCs/>
        </w:rPr>
        <w:t xml:space="preserve">Recent major staff changes</w:t>
      </w:r>
      <w:r>
        <w:t xml:space="preserve"> </w:t>
      </w:r>
      <w:r>
        <w:t xml:space="preserve">- new CTO, VP of Product, or key technical leadership. Platform roadmaps and support quality often change with new leadership. EveryMatrix, for example, restructured its leadership in January 2026, appointing Jonas Groes as co-CEO to focus on internal processes and client operations.</w:t>
      </w:r>
    </w:p>
    <w:p>
      <w:pPr>
        <w:pStyle w:val="Compact"/>
        <w:numPr>
          <w:ilvl w:val="0"/>
          <w:numId w:val="1008"/>
        </w:numPr>
      </w:pPr>
      <w:r>
        <w:rPr>
          <w:b/>
          <w:bCs/>
        </w:rPr>
        <w:t xml:space="preserve">Heavy emphasis on future roadmap features</w:t>
      </w:r>
      <w:r>
        <w:t xml:space="preserve"> </w:t>
      </w:r>
      <w:r>
        <w:t xml:space="preserve">- platforms selling based on what they’ll build rather than what works today. Roadmaps change; current functionality doesn’t.</w:t>
      </w:r>
    </w:p>
    <w:p>
      <w:pPr>
        <w:pStyle w:val="Compact"/>
        <w:numPr>
          <w:ilvl w:val="0"/>
          <w:numId w:val="1008"/>
        </w:numPr>
      </w:pPr>
      <w:r>
        <w:rPr>
          <w:b/>
          <w:bCs/>
        </w:rPr>
        <w:t xml:space="preserve">Reluctance to discuss technical details</w:t>
      </w:r>
      <w:r>
        <w:t xml:space="preserve"> </w:t>
      </w:r>
      <w:r>
        <w:t xml:space="preserve">- sales teams that can’t get technical people involved in conversations or avoid specific integration questions.</w:t>
      </w:r>
    </w:p>
    <w:p>
      <w:pPr>
        <w:pStyle w:val="Compact"/>
        <w:numPr>
          <w:ilvl w:val="0"/>
          <w:numId w:val="1008"/>
        </w:numPr>
      </w:pPr>
      <w:r>
        <w:rPr>
          <w:b/>
          <w:bCs/>
        </w:rPr>
        <w:t xml:space="preserve">Limited payment processor relationships</w:t>
      </w:r>
      <w:r>
        <w:t xml:space="preserve"> </w:t>
      </w:r>
      <w:r>
        <w:t xml:space="preserve">- especially important for specific markets or transaction types. Payment processing problems become customer experience problems.</w:t>
      </w:r>
    </w:p>
    <w:p>
      <w:pPr>
        <w:pStyle w:val="Compact"/>
        <w:numPr>
          <w:ilvl w:val="0"/>
          <w:numId w:val="1008"/>
        </w:numPr>
      </w:pPr>
      <w:r>
        <w:rPr>
          <w:b/>
          <w:bCs/>
        </w:rPr>
        <w:t xml:space="preserve">All references are from the same time period</w:t>
      </w:r>
      <w:r>
        <w:t xml:space="preserve"> </w:t>
      </w:r>
      <w:r>
        <w:t xml:space="preserve">- suggests they had a good period but may not be maintaining momentum. Ask about recent client wins and losses. Playtech, in contrast, reported an</w:t>
      </w:r>
      <w:r>
        <w:t xml:space="preserve"> </w:t>
      </w:r>
      <w:r>
        <w:t xml:space="preserve">“excellent start”</w:t>
      </w:r>
      <w:r>
        <w:t xml:space="preserve"> </w:t>
      </w:r>
      <w:r>
        <w:t xml:space="preserve">to 2026 driven by continued strength in the US and Mexico, along with certain European markets.</w:t>
      </w:r>
    </w:p>
    <w:p>
      <w:pPr>
        <w:pStyle w:val="Compact"/>
        <w:numPr>
          <w:ilvl w:val="0"/>
          <w:numId w:val="1008"/>
        </w:numPr>
      </w:pPr>
      <w:r>
        <w:rPr>
          <w:b/>
          <w:bCs/>
        </w:rPr>
        <w:t xml:space="preserve">Unclear upgrade and maintenance policies</w:t>
      </w:r>
      <w:r>
        <w:t xml:space="preserve"> </w:t>
      </w:r>
      <w:r>
        <w:t xml:space="preserve">- how updates are handled, whether you can delay upgrades, and what happens if updates break your customizations.</w:t>
      </w:r>
    </w:p>
    <w:bookmarkEnd w:id="30"/>
    <w:bookmarkEnd w:id="31"/>
    <w:bookmarkStart w:id="32" w:name="after-you-choose-protect-yourself"/>
    <w:p>
      <w:pPr>
        <w:pStyle w:val="Heading2"/>
      </w:pPr>
      <w:r>
        <w:t xml:space="preserve">After You Choose: Protect Yourself</w:t>
      </w:r>
    </w:p>
    <w:p>
      <w:pPr>
        <w:pStyle w:val="Compact"/>
        <w:numPr>
          <w:ilvl w:val="0"/>
          <w:numId w:val="1009"/>
        </w:numPr>
      </w:pPr>
      <w:r>
        <w:rPr>
          <w:b/>
          <w:bCs/>
        </w:rPr>
        <w:t xml:space="preserve">Exit clause with data portability</w:t>
      </w:r>
      <w:r>
        <w:t xml:space="preserve"> </w:t>
      </w:r>
      <w:r>
        <w:t xml:space="preserve">- maximum 90-day notice for termination with complete data export in standard formats. Don’t get locked into a platform because leaving is too painful.</w:t>
      </w:r>
    </w:p>
    <w:p>
      <w:pPr>
        <w:pStyle w:val="Compact"/>
        <w:numPr>
          <w:ilvl w:val="0"/>
          <w:numId w:val="1009"/>
        </w:numPr>
      </w:pPr>
      <w:r>
        <w:rPr>
          <w:b/>
          <w:bCs/>
        </w:rPr>
        <w:t xml:space="preserve">Service level agreements with teeth</w:t>
      </w:r>
      <w:r>
        <w:t xml:space="preserve"> </w:t>
      </w:r>
      <w:r>
        <w:t xml:space="preserve">- 99.95% uptime with financial penalties per hour of downtime. Vague uptime promises become expensive when your site goes down during peak hours.</w:t>
      </w:r>
    </w:p>
    <w:p>
      <w:pPr>
        <w:pStyle w:val="Compact"/>
        <w:numPr>
          <w:ilvl w:val="0"/>
          <w:numId w:val="1009"/>
        </w:numPr>
      </w:pPr>
      <w:r>
        <w:rPr>
          <w:b/>
          <w:bCs/>
        </w:rPr>
        <w:t xml:space="preserve">Scope protection for integrations</w:t>
      </w:r>
      <w:r>
        <w:t xml:space="preserve"> </w:t>
      </w:r>
      <w:r>
        <w:t xml:space="preserve">- fixed-price integration with clear deliverables and timeline penalties. Integration overruns are common; protect yourself from unlimited scope creep.</w:t>
      </w:r>
    </w:p>
    <w:p>
      <w:pPr>
        <w:pStyle w:val="Compact"/>
        <w:numPr>
          <w:ilvl w:val="0"/>
          <w:numId w:val="1009"/>
        </w:numPr>
      </w:pPr>
      <w:r>
        <w:rPr>
          <w:b/>
          <w:bCs/>
        </w:rPr>
        <w:t xml:space="preserve">Performance benchmarks</w:t>
      </w:r>
      <w:r>
        <w:t xml:space="preserve"> </w:t>
      </w:r>
      <w:r>
        <w:t xml:space="preserve">- specific requirements for page load times, API response speeds, and concurrent user capacity. Performance problems are harder to fix after you’re live than before you sign.</w:t>
      </w:r>
    </w:p>
    <w:bookmarkEnd w:id="32"/>
    <w:bookmarkStart w:id="42" w:name="common-questions"/>
    <w:p>
      <w:pPr>
        <w:pStyle w:val="Heading2"/>
      </w:pPr>
      <w:r>
        <w:t xml:space="preserve">Common Questions</w:t>
      </w:r>
    </w:p>
    <w:bookmarkStart w:id="33" w:name="X84a945e45b159064251213528de5c7275b52d10"/>
    <w:p>
      <w:pPr>
        <w:pStyle w:val="Heading3"/>
      </w:pPr>
      <w:r>
        <w:t xml:space="preserve">How do I choose a casino platform for my operator?</w:t>
      </w:r>
    </w:p>
    <w:p>
      <w:pPr>
        <w:pStyle w:val="FirstParagraph"/>
      </w:pPr>
      <w:r>
        <w:t xml:space="preserve">Start with your constraints before evaluating features. Define your target markets, launch timeline, technical team capabilities, and player acquisition strategy. These factors eliminate most vendors before you compare features. A platform that can’t support your markets or requires technical resources you don’t have isn’t worth evaluating regardless of its features.</w:t>
      </w:r>
    </w:p>
    <w:bookmarkEnd w:id="33"/>
    <w:bookmarkStart w:id="34" w:name="X828bcae532654b38134fcbc93f1d33260d454fb"/>
    <w:p>
      <w:pPr>
        <w:pStyle w:val="Heading3"/>
      </w:pPr>
      <w:r>
        <w:t xml:space="preserve">What should I look for in a casino platform vendor?</w:t>
      </w:r>
    </w:p>
    <w:p>
      <w:pPr>
        <w:pStyle w:val="FirstParagraph"/>
      </w:pPr>
      <w:r>
        <w:t xml:space="preserve">Focus on three critical areas: regulatory coverage for your target markets, integration timeline that matches your launch needs, and technical architecture that fits your team’s capabilities. Everything else is secondary until these fundamentals align with your business model. For example, BetConstruct launched Choice Gaming, a next-gen game ownership platform, in January 2026, which quickly went live on over 1,000 websites.</w:t>
      </w:r>
    </w:p>
    <w:bookmarkEnd w:id="34"/>
    <w:bookmarkStart w:id="35" w:name="Xd6aa1fad64dafd542f4fa21c310346a8031046d"/>
    <w:p>
      <w:pPr>
        <w:pStyle w:val="Heading3"/>
      </w:pPr>
      <w:r>
        <w:t xml:space="preserve">How do I know if a casino platform is right for my business model?</w:t>
      </w:r>
    </w:p>
    <w:p>
      <w:pPr>
        <w:pStyle w:val="FirstParagraph"/>
      </w:pPr>
      <w:r>
        <w:t xml:space="preserve">Map your revenue streams, player acquisition channels, and operational requirements to platform capabilities. VIP-focused operators need different tools than high-volume affiliate marketers. If your business model requires specific promotional mechanics or payment flows, verify the platform supports them natively rather than requiring expensive customization.</w:t>
      </w:r>
    </w:p>
    <w:bookmarkEnd w:id="35"/>
    <w:bookmarkStart w:id="36" w:name="Xbcfa3f4ec1842480d09547a000403586db9b261"/>
    <w:p>
      <w:pPr>
        <w:pStyle w:val="Heading3"/>
      </w:pPr>
      <w:r>
        <w:t xml:space="preserve">What questions should I ask a casino platform provider in a demo?</w:t>
      </w:r>
    </w:p>
    <w:p>
      <w:pPr>
        <w:pStyle w:val="FirstParagraph"/>
      </w:pPr>
      <w:r>
        <w:t xml:space="preserve">Ask to see real workflows, not feature demonstrations. Request actual API documentation, uptime reports from the past 12 months, and examples of how they’ve handled regulatory requests. Focus on operational reality rather than marketing presentations.</w:t>
      </w:r>
    </w:p>
    <w:bookmarkEnd w:id="36"/>
    <w:bookmarkStart w:id="37" w:name="X8fcb40d211548c19394a191416b46876decd7ff"/>
    <w:p>
      <w:pPr>
        <w:pStyle w:val="Heading3"/>
      </w:pPr>
      <w:r>
        <w:t xml:space="preserve">How do I compare casino platform vendors objectively?</w:t>
      </w:r>
    </w:p>
    <w:p>
      <w:pPr>
        <w:pStyle w:val="FirstParagraph"/>
      </w:pPr>
      <w:r>
        <w:t xml:space="preserve">Use a weighted scoring framework based on your business priorities. Fast-launch operators should weight integration speed and support quality heavily. Multi-market operators should prioritize regulatory coverage and payment flexibility. Don’t let impressive features in areas that don’t drive your business override poor performance in critical areas.</w:t>
      </w:r>
    </w:p>
    <w:bookmarkEnd w:id="37"/>
    <w:bookmarkStart w:id="38" w:name="X1f852f7fd7ab2394e3c3967592ce71718caaf20"/>
    <w:p>
      <w:pPr>
        <w:pStyle w:val="Heading3"/>
      </w:pPr>
      <w:r>
        <w:t xml:space="preserve">What are the red flags when choosing a casino platform?</w:t>
      </w:r>
    </w:p>
    <w:p>
      <w:pPr>
        <w:pStyle w:val="FirstParagraph"/>
      </w:pPr>
      <w:r>
        <w:t xml:space="preserve">Walk away if vendors won’t show real back-office workflows, promise unrealistic integration timelines, or can’t explain their regulatory strategy. Proceed with caution if they emphasize future roadmap features over current functionality or have limited payment processor relationships.</w:t>
      </w:r>
    </w:p>
    <w:bookmarkEnd w:id="38"/>
    <w:bookmarkStart w:id="39" w:name="X0d6964e5b3a407a614a1c8c79699695859e786b"/>
    <w:p>
      <w:pPr>
        <w:pStyle w:val="Heading3"/>
      </w:pPr>
      <w:r>
        <w:t xml:space="preserve">How long does casino platform integration take?</w:t>
      </w:r>
    </w:p>
    <w:p>
      <w:pPr>
        <w:pStyle w:val="FirstParagraph"/>
      </w:pPr>
      <w:r>
        <w:t xml:space="preserve">Plan for 12-16 weeks for standard implementation, longer for custom features or complex payment setups. Vendors often quote 4-6 weeks, but that assumes perfect execution and standard configuration. Real implementations include payment processor setup, game provider integration, compliance configuration, and testing phases that each take longer than expected.</w:t>
      </w:r>
    </w:p>
    <w:bookmarkEnd w:id="39"/>
    <w:bookmarkStart w:id="41" w:name="X0cdf6521e628ac4681dbc6d8e59c3a48850589c"/>
    <w:p>
      <w:pPr>
        <w:pStyle w:val="Heading3"/>
      </w:pPr>
      <w:r>
        <w:t xml:space="preserve">Should I choose modular or all-in-one for my casino platform?</w:t>
      </w:r>
    </w:p>
    <w:p>
      <w:pPr>
        <w:pStyle w:val="FirstParagraph"/>
      </w:pPr>
      <w:r>
        <w:t xml:space="preserve">Modular makes sense if you have a technical team that can manage multiple vendor relationships and need specific capabilities no single vendor provides well. All-in-one makes sense if you want to launch quickly with minimal technical complexity, even if it means accepting limitations in customization.</w:t>
      </w:r>
    </w:p>
    <w:p>
      <w:r>
        <w:pict>
          <v:rect style="width:0;height:1.5pt" o:hralign="center" o:hrstd="t" o:hr="t"/>
        </w:pict>
      </w:r>
    </w:p>
    <w:p>
      <w:pPr>
        <w:pStyle w:val="FirstParagraph"/>
      </w:pPr>
      <w:r>
        <w:t xml:space="preserve">Ready to compare specific platforms? See our</w:t>
      </w:r>
      <w:r>
        <w:t xml:space="preserve"> </w:t>
      </w:r>
      <w:hyperlink r:id="rId9">
        <w:r>
          <w:rPr>
            <w:rStyle w:val="Hyperlink"/>
          </w:rPr>
          <w:t xml:space="preserve">comprehensive casino platform guide</w:t>
        </w:r>
      </w:hyperlink>
      <w:r>
        <w:t xml:space="preserve"> </w:t>
      </w:r>
      <w:r>
        <w:t xml:space="preserve">for detailed vendor analysis and current market positioning. For more platform selection resources, visit our</w:t>
      </w:r>
      <w:r>
        <w:t xml:space="preserve"> </w:t>
      </w:r>
      <w:hyperlink r:id="rId40">
        <w:r>
          <w:rPr>
            <w:rStyle w:val="Hyperlink"/>
          </w:rPr>
          <w:t xml:space="preserve">casino platforms directory</w:t>
        </w:r>
      </w:hyperlink>
      <w:r>
        <w:t xml:space="preserve">.</w:t>
      </w:r>
    </w:p>
    <w:p>
      <w:pPr>
        <w:pStyle w:val="BodyText"/>
      </w:pPr>
      <w:r>
        <w:rPr>
          <w:b/>
          <w:bCs/>
        </w:rPr>
        <w:t xml:space="preserve">Independence note</w:t>
      </w:r>
      <w:r>
        <w:t xml:space="preserve">: OnlyiGaming maintains editorial independence from all platform providers. This guide reflects our analysis of the selection process, not vendor marketing materials. Take the next step: document your requirements using this framework before scheduling any vendor demos.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casino-platforms/" TargetMode="External" /><Relationship Type="http://schemas.openxmlformats.org/officeDocument/2006/relationships/hyperlink" Id="rId15" Target="/companies/betconstruct" TargetMode="External" /><Relationship Type="http://schemas.openxmlformats.org/officeDocument/2006/relationships/hyperlink" Id="rId13" Target="/companies/everymatrix" TargetMode="External" /><Relationship Type="http://schemas.openxmlformats.org/officeDocument/2006/relationships/hyperlink" Id="rId12" Target="/companies/playtech" TargetMode="External" /><Relationship Type="http://schemas.openxmlformats.org/officeDocument/2006/relationships/hyperlink" Id="rId11" Target="/companies/softswiss" TargetMode="External" /><Relationship Type="http://schemas.openxmlformats.org/officeDocument/2006/relationships/hyperlink" Id="rId9" Target="/guides/best-casino-platforms-2026" TargetMode="External" /></Relationships>
</file>

<file path=word/_rels/footnotes.xml.rels><?xml version="1.0" encoding="UTF-8"?><Relationships xmlns="http://schemas.openxmlformats.org/package/2006/relationships"><Relationship Type="http://schemas.openxmlformats.org/officeDocument/2006/relationships/hyperlink" Id="rId40" Target="/casino-platforms/" TargetMode="External" /><Relationship Type="http://schemas.openxmlformats.org/officeDocument/2006/relationships/hyperlink" Id="rId15" Target="/companies/betconstruct" TargetMode="External" /><Relationship Type="http://schemas.openxmlformats.org/officeDocument/2006/relationships/hyperlink" Id="rId13" Target="/companies/everymatrix" TargetMode="External" /><Relationship Type="http://schemas.openxmlformats.org/officeDocument/2006/relationships/hyperlink" Id="rId12" Target="/companies/playtech" TargetMode="External" /><Relationship Type="http://schemas.openxmlformats.org/officeDocument/2006/relationships/hyperlink" Id="rId11" Target="/companies/softswiss" TargetMode="External" /><Relationship Type="http://schemas.openxmlformats.org/officeDocument/2006/relationships/hyperlink" Id="rId9" Target="/guides/best-casino-platforms-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Choose a Casino Platform: Questions, Scoring &amp; Red Flags</dc:title>
  <dc:creator/>
  <cp:category>casino-platforms</cp:category>
  <dc:description>A complete decision framework for operators choosing casino platforms. Self-assessment questions, demo scripts, scoring methods, and red flags to avoid costly mistakes.</dc:description>
  <cp:keywords>how to choose a casino platform, casino platform selection, casino platform evaluation criteria, casino platform vendor questions</cp:keywords>
  <dcterms:created xsi:type="dcterms:W3CDTF">2026-06-02T10:09:43Z</dcterms:created>
  <dcterms:modified xsi:type="dcterms:W3CDTF">2026-06-02T10:09:43Z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verified">
    <vt:lpwstr>2024-12-19</vt:lpwstr>
  </property>
  <property fmtid="{D5CDD505-2E9C-101B-9397-08002B2CF9AE}" pid="3" name="parent_pillar">
    <vt:lpwstr>/guides/best-casino-platforms-2026</vt:lpwstr>
  </property>
  <property fmtid="{D5CDD505-2E9C-101B-9397-08002B2CF9AE}" pid="4" name="slug">
    <vt:lpwstr>how-to-choose-casino-platform</vt:lpwstr>
  </property>
  <property fmtid="{D5CDD505-2E9C-101B-9397-08002B2CF9AE}" pid="5" name="type">
    <vt:lpwstr>satellite-buyers-guide</vt:lpwstr>
  </property>
</Properties>
</file>