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Casino Platforms for Regulated Markets in 2026</w:t>
      </w:r>
    </w:p>
    <w:p>
      <w:pPr>
        <w:pStyle w:val="Author"/>
      </w:pPr>
      <w:r>
        <w:t xml:space="preserve">OnlyiGaming Editorial</w:t>
      </w:r>
    </w:p>
    <w:p>
      <w:pPr>
        <w:pStyle w:val="Date"/>
      </w:pPr>
      <w:r>
        <w:t xml:space="preserve">2026-06-02</w:t>
      </w:r>
    </w:p>
    <w:bookmarkStart w:id="44" w:name="X18ebcb0778aa7a7569a36306ebe32fa2ad23919"/>
    <w:p>
      <w:pPr>
        <w:pStyle w:val="Heading1"/>
      </w:pPr>
      <w:r>
        <w:t xml:space="preserve">Best Casino Platforms for Regulated Markets in 2026</w:t>
      </w:r>
    </w:p>
    <w:p>
      <w:pPr>
        <w:pStyle w:val="FirstParagraph"/>
      </w:pPr>
      <w:r>
        <w:t xml:space="preserve">Your platform choice for regulated markets determines whether you launch or spend months stuck in regulatory review. The wrong provider turns a 12-week launch into an eight-month compliance nightmare. Beyond just game content and payment processing, your platform needs audit trails that survive regulator scrutiny. It must offer responsible gaming tools that meet jurisdiction-specific requirements and RGS certifications that don’t leave gaps in your game library.</w:t>
      </w:r>
    </w:p>
    <w:p>
      <w:pPr>
        <w:pStyle w:val="BodyText"/>
      </w:pPr>
      <w:r>
        <w:t xml:space="preserve">Brazil’s 2026 licensing framework changed everything. Platforms that prepared early have operators live, generating revenue. Others scramble to build responsible gaming modules and local payment integrations while their clients wait. The gap between prepared and unprepared platforms has never been wider.</w:t>
      </w:r>
    </w:p>
    <w:p>
      <w:pPr>
        <w:pStyle w:val="BodyText"/>
      </w:pPr>
      <w:r>
        <w:t xml:space="preserve">This guide evaluates casino platforms specifically for regulated market entry. We focus on what regulators actually check: license portfolio depth, compliance reporting automation, responsible gaming toolkit completeness, audit trail integrity, and regulator relationships. For the full platform comparison across all dimensions, see our</w:t>
      </w:r>
      <w:r>
        <w:t xml:space="preserve"> </w:t>
      </w:r>
      <w:hyperlink r:id="rId9">
        <w:r>
          <w:rPr>
            <w:rStyle w:val="Hyperlink"/>
          </w:rPr>
          <w:t xml:space="preserve">complete casino platforms guide</w:t>
        </w:r>
      </w:hyperlink>
      <w:r>
        <w:t xml:space="preserve">.</w:t>
      </w:r>
    </w:p>
    <w:p>
      <w:pPr>
        <w:pStyle w:val="BodyText"/>
      </w:pPr>
      <w:r>
        <w:rPr>
          <w:b/>
          <w:bCs/>
        </w:rPr>
        <w:t xml:space="preserve">Your regulatory scenario determines your platform choice:</w:t>
      </w:r>
      <w:r>
        <w:t xml:space="preserve"> </w:t>
      </w:r>
      <w:r>
        <w:t xml:space="preserve">-</w:t>
      </w:r>
      <w:r>
        <w:t xml:space="preserve"> </w:t>
      </w:r>
      <w:r>
        <w:rPr>
          <w:b/>
          <w:bCs/>
        </w:rPr>
        <w:t xml:space="preserve">Entering multiple European markets?</w:t>
      </w:r>
      <w:r>
        <w:t xml:space="preserve"> </w:t>
      </w:r>
      <w:r>
        <w:t xml:space="preserve">Focus on the License Portfolio section. Playtech and EveryMatrix offer the deepest coverage.</w:t>
      </w:r>
      <w:r>
        <w:t xml:space="preserve"> </w:t>
      </w:r>
      <w:r>
        <w:t xml:space="preserve">-</w:t>
      </w:r>
      <w:r>
        <w:t xml:space="preserve"> </w:t>
      </w:r>
      <w:r>
        <w:rPr>
          <w:b/>
          <w:bCs/>
        </w:rPr>
        <w:t xml:space="preserve">Need automated regulator reporting?</w:t>
      </w:r>
      <w:r>
        <w:t xml:space="preserve"> </w:t>
      </w:r>
      <w:r>
        <w:t xml:space="preserve">See Compliance Reporting section. Playtech’s IMS platform leads here.</w:t>
      </w:r>
      <w:r>
        <w:t xml:space="preserve"> </w:t>
      </w:r>
      <w:r>
        <w:t xml:space="preserve">-</w:t>
      </w:r>
      <w:r>
        <w:t xml:space="preserve"> </w:t>
      </w:r>
      <w:r>
        <w:rPr>
          <w:b/>
          <w:bCs/>
        </w:rPr>
        <w:t xml:space="preserve">Launching in Germany with strict RG requirements?</w:t>
      </w:r>
      <w:r>
        <w:t xml:space="preserve"> </w:t>
      </w:r>
      <w:r>
        <w:t xml:space="preserve">Check Responsible Gaming Tools. SOFTSWISS and Playtech handle German deposit limits out of the box.</w:t>
      </w:r>
      <w:r>
        <w:t xml:space="preserve"> </w:t>
      </w:r>
      <w:r>
        <w:t xml:space="preserve">-</w:t>
      </w:r>
      <w:r>
        <w:t xml:space="preserve"> </w:t>
      </w:r>
      <w:r>
        <w:rPr>
          <w:b/>
          <w:bCs/>
        </w:rPr>
        <w:t xml:space="preserve">Brazil 2026 framework compliance?</w:t>
      </w:r>
      <w:r>
        <w:t xml:space="preserve"> </w:t>
      </w:r>
      <w:r>
        <w:t xml:space="preserve">Several platforms prepared early - BetConstruct has PIX integration and Portuguese compliance modules.</w:t>
      </w:r>
      <w:r>
        <w:t xml:space="preserve"> </w:t>
      </w:r>
      <w:r>
        <w:t xml:space="preserve">-</w:t>
      </w:r>
      <w:r>
        <w:t xml:space="preserve"> </w:t>
      </w:r>
      <w:r>
        <w:rPr>
          <w:b/>
          <w:bCs/>
        </w:rPr>
        <w:t xml:space="preserve">Want regulator references for due diligence?</w:t>
      </w:r>
      <w:r>
        <w:t xml:space="preserve"> </w:t>
      </w:r>
      <w:r>
        <w:t xml:space="preserve">Look for platforms with named compliance contacts at key regulators, not just license certificates.</w:t>
      </w:r>
    </w:p>
    <w:p>
      <w:pPr>
        <w:pStyle w:val="BlockText"/>
      </w:pPr>
      <w:r>
        <w:rPr>
          <w:b/>
          <w:bCs/>
        </w:rPr>
        <w:t xml:space="preserve">Quick verdict for regulated markets:</w:t>
      </w:r>
      <w:r>
        <w:t xml:space="preserve"> </w:t>
      </w:r>
      <w:r>
        <w:t xml:space="preserve">Playtech owns the enterprise regulatory space. It boasts over 170 licenses and 25 years of compliance depth. EveryMatrix offers strong European coverage with modular flexibility for market-specific requirements. SOFTSWISS combines solid licensing with crypto-fiat hybrid capabilities for markets allowing both. BetConstruct prepared early for emerging markets, including Brazil’s 2026 framework.</w:t>
      </w:r>
    </w:p>
    <w:bookmarkStart w:id="16" w:name="regulated-market-platform-comparison"/>
    <w:p>
      <w:pPr>
        <w:pStyle w:val="Heading2"/>
      </w:pPr>
      <w:r>
        <w:t xml:space="preserve">Regulated Market Platform Comparison</w:t>
      </w:r>
    </w:p>
    <w:tbl>
      <w:tblPr>
        <w:tblStyle w:val="Table"/>
        <w:tblW w:type="pct" w:w="5000"/>
        <w:tblLayout w:type="fixed"/>
        <w:tblLook w:firstRow="1" w:lastRow="0" w:firstColumn="0" w:lastColumn="0" w:noHBand="0" w:noVBand="0" w:val="0020"/>
      </w:tblPr>
      <w:tblGrid>
        <w:gridCol w:w="842"/>
        <w:gridCol w:w="1516"/>
        <w:gridCol w:w="1853"/>
        <w:gridCol w:w="1600"/>
        <w:gridCol w:w="1263"/>
        <w:gridCol w:w="842"/>
      </w:tblGrid>
      <w:tr>
        <w:trPr>
          <w:tblHeader w:val="on"/>
        </w:trPr>
        <w:tc>
          <w:tcPr/>
          <w:p>
            <w:pPr>
              <w:pStyle w:val="Compact"/>
            </w:pPr>
            <w:r>
              <w:t xml:space="preserve">Provider</w:t>
            </w:r>
          </w:p>
        </w:tc>
        <w:tc>
          <w:tcPr/>
          <w:p>
            <w:pPr>
              <w:pStyle w:val="Compact"/>
            </w:pPr>
            <w:r>
              <w:t xml:space="preserve">License Portfolio</w:t>
            </w:r>
          </w:p>
        </w:tc>
        <w:tc>
          <w:tcPr/>
          <w:p>
            <w:pPr>
              <w:pStyle w:val="Compact"/>
            </w:pPr>
            <w:r>
              <w:t xml:space="preserve">Compliance Automation</w:t>
            </w:r>
          </w:p>
        </w:tc>
        <w:tc>
          <w:tcPr/>
          <w:p>
            <w:pPr>
              <w:pStyle w:val="Compact"/>
            </w:pPr>
            <w:r>
              <w:t xml:space="preserve">Responsible Gaming</w:t>
            </w:r>
          </w:p>
        </w:tc>
        <w:tc>
          <w:tcPr/>
          <w:p>
            <w:pPr>
              <w:pStyle w:val="Compact"/>
            </w:pPr>
            <w:r>
              <w:t xml:space="preserve">RGS Coverage</w:t>
            </w:r>
          </w:p>
        </w:tc>
        <w:tc>
          <w:tcPr/>
          <w:p>
            <w:pPr>
              <w:pStyle w:val="Compact"/>
            </w:pPr>
            <w:r>
              <w:t xml:space="preserve">Best For</w:t>
            </w:r>
          </w:p>
        </w:tc>
      </w:tr>
      <w:tr>
        <w:tc>
          <w:tcPr/>
          <w:p>
            <w:pPr>
              <w:pStyle w:val="Compact"/>
            </w:pPr>
            <w:hyperlink r:id="rId10">
              <w:r>
                <w:rPr>
                  <w:rStyle w:val="Hyperlink"/>
                </w:rPr>
                <w:t xml:space="preserve">Playtech</w:t>
              </w:r>
            </w:hyperlink>
          </w:p>
        </w:tc>
        <w:tc>
          <w:tcPr/>
          <w:p>
            <w:pPr>
              <w:pStyle w:val="Compact"/>
            </w:pPr>
            <w:r>
              <w:t xml:space="preserve">170+ licenses, 25+ years</w:t>
            </w:r>
          </w:p>
        </w:tc>
        <w:tc>
          <w:tcPr/>
          <w:p>
            <w:pPr>
              <w:pStyle w:val="Compact"/>
            </w:pPr>
            <w:r>
              <w:t xml:space="preserve">Full automated reporting</w:t>
            </w:r>
          </w:p>
        </w:tc>
        <w:tc>
          <w:tcPr/>
          <w:p>
            <w:pPr>
              <w:pStyle w:val="Compact"/>
            </w:pPr>
            <w:r>
              <w:t xml:space="preserve">Jurisdiction-specific tools</w:t>
            </w:r>
          </w:p>
        </w:tc>
        <w:tc>
          <w:tcPr/>
          <w:p>
            <w:pPr>
              <w:pStyle w:val="Compact"/>
            </w:pPr>
            <w:r>
              <w:t xml:space="preserve">Complete per market</w:t>
            </w:r>
          </w:p>
        </w:tc>
        <w:tc>
          <w:tcPr/>
          <w:p>
            <w:pPr>
              <w:pStyle w:val="Compact"/>
            </w:pPr>
            <w:r>
              <w:t xml:space="preserve">Enterprise regulated operators</w:t>
            </w:r>
          </w:p>
        </w:tc>
      </w:tr>
      <w:tr>
        <w:tc>
          <w:tcPr/>
          <w:p>
            <w:pPr>
              <w:pStyle w:val="Compact"/>
            </w:pPr>
            <w:hyperlink r:id="rId11">
              <w:r>
                <w:rPr>
                  <w:rStyle w:val="Hyperlink"/>
                </w:rPr>
                <w:t xml:space="preserve">EveryMatrix</w:t>
              </w:r>
            </w:hyperlink>
          </w:p>
        </w:tc>
        <w:tc>
          <w:tcPr/>
          <w:p>
            <w:pPr>
              <w:pStyle w:val="Compact"/>
            </w:pPr>
            <w:r>
              <w:t xml:space="preserve">MGA + 15 markets</w:t>
            </w:r>
          </w:p>
        </w:tc>
        <w:tc>
          <w:tcPr/>
          <w:p>
            <w:pPr>
              <w:pStyle w:val="Compact"/>
            </w:pPr>
            <w:r>
              <w:t xml:space="preserve">Modular compliance tools</w:t>
            </w:r>
          </w:p>
        </w:tc>
        <w:tc>
          <w:tcPr/>
          <w:p>
            <w:pPr>
              <w:pStyle w:val="Compact"/>
            </w:pPr>
            <w:r>
              <w:t xml:space="preserve">Market-specific modules</w:t>
            </w:r>
          </w:p>
        </w:tc>
        <w:tc>
          <w:tcPr/>
          <w:p>
            <w:pPr>
              <w:pStyle w:val="Compact"/>
            </w:pPr>
            <w:r>
              <w:t xml:space="preserve">Extensive certification</w:t>
            </w:r>
          </w:p>
        </w:tc>
        <w:tc>
          <w:tcPr/>
          <w:p>
            <w:pPr>
              <w:pStyle w:val="Compact"/>
            </w:pPr>
            <w:r>
              <w:t xml:space="preserve">Multi-market European expansion</w:t>
            </w:r>
          </w:p>
        </w:tc>
      </w:tr>
      <w:tr>
        <w:tc>
          <w:tcPr/>
          <w:p>
            <w:pPr>
              <w:pStyle w:val="Compact"/>
            </w:pPr>
            <w:hyperlink r:id="rId12">
              <w:r>
                <w:rPr>
                  <w:rStyle w:val="Hyperlink"/>
                </w:rPr>
                <w:t xml:space="preserve">SOFTSWISS</w:t>
              </w:r>
            </w:hyperlink>
          </w:p>
        </w:tc>
        <w:tc>
          <w:tcPr/>
          <w:p>
            <w:pPr>
              <w:pStyle w:val="Compact"/>
            </w:pPr>
            <w:r>
              <w:t xml:space="preserve">MGA + 24 jurisdictions</w:t>
            </w:r>
          </w:p>
        </w:tc>
        <w:tc>
          <w:tcPr/>
          <w:p>
            <w:pPr>
              <w:pStyle w:val="Compact"/>
            </w:pPr>
            <w:r>
              <w:t xml:space="preserve">Automated submissions</w:t>
            </w:r>
          </w:p>
        </w:tc>
        <w:tc>
          <w:tcPr/>
          <w:p>
            <w:pPr>
              <w:pStyle w:val="Compact"/>
            </w:pPr>
            <w:r>
              <w:t xml:space="preserve">German/Swedish compliant</w:t>
            </w:r>
          </w:p>
        </w:tc>
        <w:tc>
          <w:tcPr/>
          <w:p>
            <w:pPr>
              <w:pStyle w:val="Compact"/>
            </w:pPr>
            <w:r>
              <w:t xml:space="preserve">Certified per market</w:t>
            </w:r>
          </w:p>
        </w:tc>
        <w:tc>
          <w:tcPr/>
          <w:p>
            <w:pPr>
              <w:pStyle w:val="Compact"/>
            </w:pPr>
            <w:r>
              <w:t xml:space="preserve">Hybrid fiat-crypto compliance</w:t>
            </w:r>
          </w:p>
        </w:tc>
      </w:tr>
      <w:tr>
        <w:tc>
          <w:tcPr/>
          <w:p>
            <w:pPr>
              <w:pStyle w:val="Compact"/>
            </w:pPr>
            <w:hyperlink r:id="rId13">
              <w:r>
                <w:rPr>
                  <w:rStyle w:val="Hyperlink"/>
                </w:rPr>
                <w:t xml:space="preserve">BetConstruct</w:t>
              </w:r>
            </w:hyperlink>
          </w:p>
        </w:tc>
        <w:tc>
          <w:tcPr/>
          <w:p>
            <w:pPr>
              <w:pStyle w:val="Compact"/>
            </w:pPr>
            <w:r>
              <w:t xml:space="preserve">15+ including Brazil-ready</w:t>
            </w:r>
          </w:p>
        </w:tc>
        <w:tc>
          <w:tcPr/>
          <w:p>
            <w:pPr>
              <w:pStyle w:val="Compact"/>
            </w:pPr>
            <w:r>
              <w:t xml:space="preserve">Platform-integrated</w:t>
            </w:r>
          </w:p>
        </w:tc>
        <w:tc>
          <w:tcPr/>
          <w:p>
            <w:pPr>
              <w:pStyle w:val="Compact"/>
            </w:pPr>
            <w:r>
              <w:t xml:space="preserve">Emerging market focus</w:t>
            </w:r>
          </w:p>
        </w:tc>
        <w:tc>
          <w:tcPr/>
          <w:p>
            <w:pPr>
              <w:pStyle w:val="Compact"/>
            </w:pPr>
            <w:r>
              <w:t xml:space="preserve">Growing coverage</w:t>
            </w:r>
          </w:p>
        </w:tc>
        <w:tc>
          <w:tcPr/>
          <w:p>
            <w:pPr>
              <w:pStyle w:val="Compact"/>
            </w:pPr>
            <w:r>
              <w:t xml:space="preserve">New regulated markets</w:t>
            </w:r>
          </w:p>
        </w:tc>
      </w:tr>
      <w:tr>
        <w:tc>
          <w:tcPr/>
          <w:p>
            <w:pPr>
              <w:pStyle w:val="Compact"/>
            </w:pPr>
            <w:hyperlink r:id="rId14">
              <w:r>
                <w:rPr>
                  <w:rStyle w:val="Hyperlink"/>
                </w:rPr>
                <w:t xml:space="preserve">Pragmatic Solutions</w:t>
              </w:r>
            </w:hyperlink>
          </w:p>
        </w:tc>
        <w:tc>
          <w:tcPr/>
          <w:p>
            <w:pPr>
              <w:pStyle w:val="Compact"/>
            </w:pPr>
            <w:r>
              <w:t xml:space="preserve">Multiple European</w:t>
            </w:r>
          </w:p>
        </w:tc>
        <w:tc>
          <w:tcPr/>
          <w:p>
            <w:pPr>
              <w:pStyle w:val="Compact"/>
            </w:pPr>
            <w:r>
              <w:t xml:space="preserve">Developer-managed</w:t>
            </w:r>
          </w:p>
        </w:tc>
        <w:tc>
          <w:tcPr/>
          <w:p>
            <w:pPr>
              <w:pStyle w:val="Compact"/>
            </w:pPr>
            <w:r>
              <w:t xml:space="preserve">API-driven tools</w:t>
            </w:r>
          </w:p>
        </w:tc>
        <w:tc>
          <w:tcPr/>
          <w:p>
            <w:pPr>
              <w:pStyle w:val="Compact"/>
            </w:pPr>
            <w:r>
              <w:t xml:space="preserve">Strong European coverage</w:t>
            </w:r>
          </w:p>
        </w:tc>
        <w:tc>
          <w:tcPr/>
          <w:p>
            <w:pPr>
              <w:pStyle w:val="Compact"/>
            </w:pPr>
            <w:r>
              <w:t xml:space="preserve">Custom compliance builds</w:t>
            </w:r>
          </w:p>
        </w:tc>
      </w:tr>
      <w:tr>
        <w:tc>
          <w:tcPr/>
          <w:p>
            <w:pPr>
              <w:pStyle w:val="Compact"/>
            </w:pPr>
            <w:hyperlink r:id="rId15">
              <w:r>
                <w:rPr>
                  <w:rStyle w:val="Hyperlink"/>
                </w:rPr>
                <w:t xml:space="preserve">Soft2Bet</w:t>
              </w:r>
            </w:hyperlink>
          </w:p>
        </w:tc>
        <w:tc>
          <w:tcPr/>
          <w:p>
            <w:pPr>
              <w:pStyle w:val="Compact"/>
            </w:pPr>
            <w:r>
              <w:t xml:space="preserve">MGA + core markets</w:t>
            </w:r>
          </w:p>
        </w:tc>
        <w:tc>
          <w:tcPr/>
          <w:p>
            <w:pPr>
              <w:pStyle w:val="Compact"/>
            </w:pPr>
            <w:r>
              <w:t xml:space="preserve">Standard reporting</w:t>
            </w:r>
          </w:p>
        </w:tc>
        <w:tc>
          <w:tcPr/>
          <w:p>
            <w:pPr>
              <w:pStyle w:val="Compact"/>
            </w:pPr>
            <w:r>
              <w:t xml:space="preserve">Gamification-integrated RG</w:t>
            </w:r>
          </w:p>
        </w:tc>
        <w:tc>
          <w:tcPr/>
          <w:p>
            <w:pPr>
              <w:pStyle w:val="Compact"/>
            </w:pPr>
            <w:r>
              <w:t xml:space="preserve">Selective coverage</w:t>
            </w:r>
          </w:p>
        </w:tc>
        <w:tc>
          <w:tcPr/>
          <w:p>
            <w:pPr>
              <w:pStyle w:val="Compact"/>
            </w:pPr>
            <w:r>
              <w:t xml:space="preserve">Retention-focused compliance</w:t>
            </w:r>
          </w:p>
        </w:tc>
      </w:tr>
    </w:tbl>
    <w:bookmarkEnd w:id="16"/>
    <w:bookmarkStart w:id="17" w:name="X9a458ad6b1958f5f59ec832974e2add4760d267"/>
    <w:p>
      <w:pPr>
        <w:pStyle w:val="Heading2"/>
      </w:pPr>
      <w:r>
        <w:t xml:space="preserve">License Portfolio and Renewal Track Record</w:t>
      </w:r>
    </w:p>
    <w:p>
      <w:pPr>
        <w:pStyle w:val="FirstParagraph"/>
      </w:pPr>
      <w:r>
        <w:t xml:space="preserve">Your platform’s license portfolio determines which markets you can enter and how quickly. But license count misleads. Three deep licenses in target markets beat fifteen shallow ones in irrelevant jurisdictions. Renewal track record matters more than initial approvals.</w:t>
      </w:r>
    </w:p>
    <w:p>
      <w:pPr>
        <w:pStyle w:val="BodyText"/>
      </w:pPr>
      <w:r>
        <w:t xml:space="preserve">Playtech dominates. They hold over 170 licenses across regulated markets. Their portfolio includes tier-one jurisdictions like UK, Germany, Sweden, Netherlands, and multiple US states. What sets them apart? They’ve maintained these licenses through regulatory changes. When Germany shifted requirements in 2021, Playtech clients stayed live. When Sweden tightened responsible gaming in 2019, there were no re-certification delays. That operational continuity justifies the platform’s premium pricing.</w:t>
      </w:r>
    </w:p>
    <w:p>
      <w:pPr>
        <w:pStyle w:val="BodyText"/>
      </w:pPr>
      <w:r>
        <w:t xml:space="preserve">EveryMatrix covers core European markets strategically. MGA licensing anchors their European passport. They hold direct licenses in Sweden, Netherlands, and have positioned for Germany’s evolving framework. Their approach is deep compliance in fewer markets, rather than broad, shallow coverage. This works for operators targeting three to five regulated markets instead of global expansion.</w:t>
      </w:r>
    </w:p>
    <w:p>
      <w:pPr>
        <w:pStyle w:val="BodyText"/>
      </w:pPr>
      <w:r>
        <w:t xml:space="preserve">SOFTSWISS holds an MGA license, plus certifications across 24 jurisdictions. Their Estonia operations provide EU legitimacy for crypto-native operators entering traditional regulated markets. They’ve prepared for markets that blend fiat and crypto operations, positioning for regulatory frameworks that allow both.</w:t>
      </w:r>
    </w:p>
    <w:p>
      <w:pPr>
        <w:pStyle w:val="BodyText"/>
      </w:pPr>
      <w:r>
        <w:t xml:space="preserve">BetConstruct prepared early for emerging regulated markets. Their Brazil modules launched in Q4 2025. These include PIX payment integration and Portuguese compliance tools. They also cover Eastern European markets where other platforms struggle with local regulatory relationships.</w:t>
      </w:r>
    </w:p>
    <w:p>
      <w:pPr>
        <w:pStyle w:val="BodyText"/>
      </w:pPr>
      <w:r>
        <w:t xml:space="preserve">The renewal reality check: ask vendors for their license renewal success rate over the past five years. Playtech and EveryMatrix demonstrate consistent renewals. Newer platforms may lack this track record, creating uncertainty for your operational planning.</w:t>
      </w:r>
    </w:p>
    <w:p>
      <w:pPr>
        <w:pStyle w:val="BodyText"/>
      </w:pPr>
      <w:r>
        <w:t xml:space="preserve">License depth varies dramatically. An MGA license enables EU passporting. However, it doesn’t automatically satisfy every member state’s local requirements. Germany requires additional responsible gaming certifications. Sweden demands Spelpaus integration. The Netherlands requires specific bonus restrictions. Verify that your platform handles these jurisdiction-specific overlays, not just the base license.</w:t>
      </w:r>
    </w:p>
    <w:p>
      <w:pPr>
        <w:pStyle w:val="BodyText"/>
      </w:pPr>
      <w:r>
        <w:t xml:space="preserve">What to verify before signing: request actual license numbers and renewal dates for your target markets. Generic</w:t>
      </w:r>
      <w:r>
        <w:t xml:space="preserve"> </w:t>
      </w:r>
      <w:r>
        <w:t xml:space="preserve">‘we’re licensed in X’</w:t>
      </w:r>
      <w:r>
        <w:t xml:space="preserve"> </w:t>
      </w:r>
      <w:r>
        <w:t xml:space="preserve">isn’t enough. Get the MGA license number, the renewal date, and the compliance officer’s contact information.</w:t>
      </w:r>
    </w:p>
    <w:p>
      <w:pPr>
        <w:pStyle w:val="BodyText"/>
      </w:pPr>
      <w:r>
        <w:t xml:space="preserve">Trap question for vendors:</w:t>
      </w:r>
      <w:r>
        <w:t xml:space="preserve"> </w:t>
      </w:r>
      <w:r>
        <w:t xml:space="preserve">‘Provide the license number for [your target market] and its renewal date. What’s your renewal track record over the last five years?’</w:t>
      </w:r>
      <w:r>
        <w:t xml:space="preserve"> </w:t>
      </w:r>
      <w:r>
        <w:t xml:space="preserve">Good vendors provide specific numbers immediately. Red flags include vague responses or</w:t>
      </w:r>
      <w:r>
        <w:t xml:space="preserve"> </w:t>
      </w:r>
      <w:r>
        <w:t xml:space="preserve">‘we’ll get back to you’</w:t>
      </w:r>
      <w:r>
        <w:t xml:space="preserve"> </w:t>
      </w:r>
      <w:r>
        <w:t xml:space="preserve">on basic license information.</w:t>
      </w:r>
    </w:p>
    <w:bookmarkEnd w:id="17"/>
    <w:bookmarkStart w:id="18" w:name="compliance-reporting-and-audit-trail"/>
    <w:p>
      <w:pPr>
        <w:pStyle w:val="Heading2"/>
      </w:pPr>
      <w:r>
        <w:t xml:space="preserve">Compliance Reporting and Audit Trail</w:t>
      </w:r>
    </w:p>
    <w:p>
      <w:pPr>
        <w:pStyle w:val="FirstParagraph"/>
      </w:pPr>
      <w:r>
        <w:t xml:space="preserve">Automated compliance reporting separates platforms built for regulated markets from those retrofitted for them. Manual regulator submissions create operational overhead and increase error risk. Your platform should generate regulator-ready reports without custom development.</w:t>
      </w:r>
    </w:p>
    <w:p>
      <w:pPr>
        <w:pStyle w:val="BodyText"/>
      </w:pPr>
      <w:r>
        <w:t xml:space="preserve">Playtech’s IMS platform leads automated compliance reporting. Their system generates jurisdiction-specific reports for tax authorities, responsible gaming bodies, and licensing regulators. When Swedish regulators require monthly responsible gaming data, IMS produces it automatically. When German tax authorities need transaction-level reporting, the system handles formatting and submission protocols.</w:t>
      </w:r>
    </w:p>
    <w:p>
      <w:pPr>
        <w:pStyle w:val="BodyText"/>
      </w:pPr>
      <w:r>
        <w:t xml:space="preserve">EveryMatrix offers modular compliance through their platform components. Their approach involves compliance tools that integrate with their PAM and payment systems. These can also work with third-party components. This flexibility helps when entering markets with unique reporting requirements that don’t fit standard templates.</w:t>
      </w:r>
    </w:p>
    <w:p>
      <w:pPr>
        <w:pStyle w:val="BodyText"/>
      </w:pPr>
      <w:r>
        <w:t xml:space="preserve">SOFTSWISS provides automated submissions for their certified markets. Their compliance team handles routine regulator interactions, reducing operator overhead. The trade-off: you depend on their compliance interpretation, rather than controlling regulator relationships directly.</w:t>
      </w:r>
    </w:p>
    <w:p>
      <w:pPr>
        <w:pStyle w:val="BodyText"/>
      </w:pPr>
      <w:r>
        <w:t xml:space="preserve">BetConstruct integrates compliance reporting into their Spring Platform. Their strength is simplicity: one system handles casino, sportsbook, and regulatory reporting. The limitation: less flexibility when regulators require custom reporting formats or third-party audit integrations.</w:t>
      </w:r>
    </w:p>
    <w:p>
      <w:pPr>
        <w:pStyle w:val="BodyText"/>
      </w:pPr>
      <w:r>
        <w:t xml:space="preserve">Audit trail integrity matters more than most operators realize. Regulators increasingly focus on data tamper-resistance and transaction traceability. Platforms with proper audit architecture maintain immutable logs of all player actions, financial transactions, and system changes. Platforms without this struggle during compliance audits.</w:t>
      </w:r>
    </w:p>
    <w:p>
      <w:pPr>
        <w:pStyle w:val="BodyText"/>
      </w:pPr>
      <w:r>
        <w:t xml:space="preserve">The reporting automation reality: vendors promise</w:t>
      </w:r>
      <w:r>
        <w:t xml:space="preserve"> </w:t>
      </w:r>
      <w:r>
        <w:t xml:space="preserve">‘automated regulator submissions’</w:t>
      </w:r>
      <w:r>
        <w:t xml:space="preserve"> </w:t>
      </w:r>
      <w:r>
        <w:t xml:space="preserve">but deliver different levels of automation. True automation requires no operator intervention for routine reports. Semi-automation requires operator review and submission. Manual systems require operators to extract data and format reports themselves.</w:t>
      </w:r>
    </w:p>
    <w:p>
      <w:pPr>
        <w:pStyle w:val="BodyText"/>
      </w:pPr>
      <w:r>
        <w:t xml:space="preserve">What separates compliance-ready platforms from basic ones? Integration with third-party compliance tools like GamCare, Gamban, and jurisdiction-specific self-exclusion databases. Platforms built for regulated markets handle these integrations natively. Others require custom development that extends launch timelines.</w:t>
      </w:r>
    </w:p>
    <w:p>
      <w:pPr>
        <w:pStyle w:val="BodyText"/>
      </w:pPr>
      <w:r>
        <w:t xml:space="preserve">What to verify before signing: request the last regulatory audit findings from your target market. Every regulated provider has an audit history. Those with nothing to share hide problems or lack regulatory relationships.</w:t>
      </w:r>
    </w:p>
    <w:p>
      <w:pPr>
        <w:pStyle w:val="BodyText"/>
      </w:pPr>
      <w:r>
        <w:t xml:space="preserve">Trap question for vendors:</w:t>
      </w:r>
      <w:r>
        <w:t xml:space="preserve"> </w:t>
      </w:r>
      <w:r>
        <w:t xml:space="preserve">‘Show us the findings from your last regulatory audit in [target market]. What was remediated, and what is still open?’</w:t>
      </w:r>
      <w:r>
        <w:t xml:space="preserve"> </w:t>
      </w:r>
      <w:r>
        <w:t xml:space="preserve">Vendors with mature compliance programs provide audit reports readily. Those avoiding this question lack regulatory depth.</w:t>
      </w:r>
    </w:p>
    <w:bookmarkEnd w:id="18"/>
    <w:bookmarkStart w:id="19" w:name="Xc5462981a6b824f95d94186b2a01cf8c2728bad"/>
    <w:p>
      <w:pPr>
        <w:pStyle w:val="Heading2"/>
      </w:pPr>
      <w:r>
        <w:t xml:space="preserve">Responsible Gaming Toolkit by Jurisdiction</w:t>
      </w:r>
    </w:p>
    <w:p>
      <w:pPr>
        <w:pStyle w:val="FirstParagraph"/>
      </w:pPr>
      <w:r>
        <w:t xml:space="preserve">Responsible gaming requirements vary dramatically across jurisdictions. UK operators need GAMSTOP integration. German operators face €1,000 monthly deposit limits. Swedish operators must integrate with Spelpaus. Your platform needs jurisdiction-specific tools, not generic RG features.</w:t>
      </w:r>
    </w:p>
    <w:p>
      <w:pPr>
        <w:pStyle w:val="BodyText"/>
      </w:pPr>
      <w:r>
        <w:t xml:space="preserve">Playtech offers the most comprehensive, jurisdiction-specific responsible gaming toolkit. Their system handles UK self-exclusion through GAMSTOP, German deposit limits with automatic enforcement, Swedish Spelpaus integration, and Netherlands bonus restrictions. When regulators update requirements, Playtech builds compliance into their platform rather than requiring operator-side development.</w:t>
      </w:r>
    </w:p>
    <w:p>
      <w:pPr>
        <w:pStyle w:val="BodyText"/>
      </w:pPr>
      <w:r>
        <w:t xml:space="preserve">SOFTSWISS built responsible gaming tools that handle crypto-fiat hybrid scenarios. Their system tracks responsible gaming limits across cryptocurrency and traditional transactions. This matters in markets where players can deposit crypto but withdraw fiat, ensuring responsible gaming limits apply regardless of transaction type.</w:t>
      </w:r>
    </w:p>
    <w:p>
      <w:pPr>
        <w:pStyle w:val="BodyText"/>
      </w:pPr>
      <w:r>
        <w:t xml:space="preserve">EveryMatrix provides modular responsible gaming components. Their approach lets operators customize RG workflows while maintaining compliance. When Sweden updated Spelpaus requirements in 2025, operators could update their RG module without changing payment or content systems.</w:t>
      </w:r>
    </w:p>
    <w:p>
      <w:pPr>
        <w:pStyle w:val="BodyText"/>
      </w:pPr>
      <w:r>
        <w:t xml:space="preserve">BetConstruct offers responsible gaming tools optimized for emerging markets. Their Spring Platform includes tools designed for markets developing responsible gaming frameworks. As Brazil’s 2026 regulations evolve, BetConstruct can adapt their RG modules without platform rebuilds.</w:t>
      </w:r>
    </w:p>
    <w:p>
      <w:pPr>
        <w:pStyle w:val="BodyText"/>
      </w:pPr>
      <w:r>
        <w:t xml:space="preserve">The jurisdiction-specific reality: generic responsible gaming tools fail compliance audits. UK regulators expect GAMSTOP integration, not generic self-exclusion. German authorities require automatic deposit limit enforcement, not operator-managed controls. Swedish regulators audit Spelpaus integration logs, not alternative self-exclusion systems.</w:t>
      </w:r>
    </w:p>
    <w:p>
      <w:pPr>
        <w:pStyle w:val="BodyText"/>
      </w:pPr>
      <w:r>
        <w:t xml:space="preserve">Responsible gaming automation reduces operator liability. Platforms with automated RG enforcement handle limit violations, exclusion violations, and cool-off periods without operator intervention. This reduces compliance risk and operational overhead. Platforms requiring operator management of RG events increase liability and workload.</w:t>
      </w:r>
    </w:p>
    <w:p>
      <w:pPr>
        <w:pStyle w:val="BodyText"/>
      </w:pPr>
      <w:r>
        <w:t xml:space="preserve">Cross-border responsible gaming creates compliance complexity. Players who self-exclude in Germany should remain excluded when traveling to Netherlands casinos. Platforms with integrated RG databases handle this automatically. Those with jurisdiction-specific silos require manual coordination.</w:t>
      </w:r>
    </w:p>
    <w:p>
      <w:pPr>
        <w:pStyle w:val="BodyText"/>
      </w:pPr>
      <w:r>
        <w:t xml:space="preserve">What separates compliance-ready RG from basic tools? Real-time limit enforcement, automatic exclusion database synchronization, regulator-specific reporting formats, and integration with national self-exclusion schemes. Basic platforms offer deposit limits and time limits. Compliance-ready platforms integrate with national responsible gaming infrastructure.</w:t>
      </w:r>
    </w:p>
    <w:p>
      <w:pPr>
        <w:pStyle w:val="BodyText"/>
      </w:pPr>
      <w:r>
        <w:t xml:space="preserve">What to verify before signing: test responsible gaming workflows for your target markets. Verify integration with national self-exclusion databases. Confirm that RG limits apply across all transaction types, including crypto if relevant.</w:t>
      </w:r>
    </w:p>
    <w:p>
      <w:pPr>
        <w:pStyle w:val="BodyText"/>
      </w:pPr>
      <w:r>
        <w:t xml:space="preserve">Trap question for vendors:</w:t>
      </w:r>
      <w:r>
        <w:t xml:space="preserve"> </w:t>
      </w:r>
      <w:r>
        <w:t xml:space="preserve">‘When [target market] updates RG requirements, how long from regulator publication to your platform supporting them?’</w:t>
      </w:r>
      <w:r>
        <w:t xml:space="preserve"> </w:t>
      </w:r>
      <w:r>
        <w:t xml:space="preserve">Compliance-ready vendors track regulatory changes and build updates proactively. Reactive vendors wait for client requests and charge for custom development.</w:t>
      </w:r>
    </w:p>
    <w:bookmarkEnd w:id="19"/>
    <w:bookmarkStart w:id="20" w:name="rgs-certification-coverage"/>
    <w:p>
      <w:pPr>
        <w:pStyle w:val="Heading2"/>
      </w:pPr>
      <w:r>
        <w:t xml:space="preserve">RGS Certification Coverage</w:t>
      </w:r>
    </w:p>
    <w:p>
      <w:pPr>
        <w:pStyle w:val="FirstParagraph"/>
      </w:pPr>
      <w:r>
        <w:t xml:space="preserve">Random Number Generator (RNG) certification determines which games you can launch in each market. Incomplete RGS coverage creates gaps between your content library and live game selection. These gaps extend launch timelines and limit competitive positioning.</w:t>
      </w:r>
    </w:p>
    <w:p>
      <w:pPr>
        <w:pStyle w:val="BodyText"/>
      </w:pPr>
      <w:r>
        <w:t xml:space="preserve">Playtech maintains complete RGS certification across their target markets. Their certification team ensures every game in their library carries proper RGS certificates for each jurisdiction. When launching in a new market, operators get their full content library immediately rather than waiting for retroactive certifications.</w:t>
      </w:r>
    </w:p>
    <w:p>
      <w:pPr>
        <w:pStyle w:val="BodyText"/>
      </w:pPr>
      <w:r>
        <w:t xml:space="preserve">EveryMatrix provides extensive RGS certification through their CasinoEngine platform. Their certification coverage spans over 12,500 games from over 250 providers across regulated markets. The vendor-agnostic approach means they maintain certifications for third-party content providers, not just their own games.</w:t>
      </w:r>
    </w:p>
    <w:p>
      <w:pPr>
        <w:pStyle w:val="BodyText"/>
      </w:pPr>
      <w:r>
        <w:t xml:space="preserve">SOFTSWISS offers certified content for their 24 regulated jurisdictions. Their certification team works with game providers to ensure RGS compliance before content integration. This prevents the common problem of launching with gaps in popular content.</w:t>
      </w:r>
    </w:p>
    <w:p>
      <w:pPr>
        <w:pStyle w:val="BodyText"/>
      </w:pPr>
      <w:r>
        <w:t xml:space="preserve">BetConstruct maintains growing RGS coverage as they expand into new regulated markets. Their approach: build certification coverage alongside market entry, rather than retroactively certifying content. This works for operators entering markets simultaneously with BetConstruct but creates risk for operators targeting markets where BetConstruct lacks depth.</w:t>
      </w:r>
    </w:p>
    <w:p>
      <w:pPr>
        <w:pStyle w:val="BodyText"/>
      </w:pPr>
      <w:r>
        <w:t xml:space="preserve">The RGS certification reality: game providers handle initial RGS certification, but platforms must maintain jurisdiction-specific certification records. Platforms without proper certification tracking create compliance gaps that surface during regulatory audits.</w:t>
      </w:r>
    </w:p>
    <w:p>
      <w:pPr>
        <w:pStyle w:val="BodyText"/>
      </w:pPr>
      <w:r>
        <w:t xml:space="preserve">Certification gaps impact competitive positioning. If your platform lacks RGS certification for Pragmatic Play slots in Germany, competitors with certified content have immediate advantage. Players expect popular content. Gaps in certification mean gaps in player acquisition.</w:t>
      </w:r>
    </w:p>
    <w:p>
      <w:pPr>
        <w:pStyle w:val="BodyText"/>
      </w:pPr>
      <w:r>
        <w:t xml:space="preserve">Cross-jurisdiction certification complexity increases with market expansion. A game certified for UK play may require separate certification for German market entry. Platforms with robust certification programs handle this automatically. Others require operators to manage certification projects for each market.</w:t>
      </w:r>
    </w:p>
    <w:p>
      <w:pPr>
        <w:pStyle w:val="BodyText"/>
      </w:pPr>
      <w:r>
        <w:t xml:space="preserve">What separates certification-ready platforms from basic ones? Proactive certification management, comprehensive certification databases, and established relationships with testing labs like iTech Labs, GLI, and eCOGRA. Basic platforms handle certification reactively, creating launch delays.</w:t>
      </w:r>
    </w:p>
    <w:p>
      <w:pPr>
        <w:pStyle w:val="BodyText"/>
      </w:pPr>
      <w:r>
        <w:t xml:space="preserve">What to verify before signing: request RGS certification coverage for your target markets and planned content library. Identify certification gaps and understand who handles gap resolution - the platform or the operator.</w:t>
      </w:r>
    </w:p>
    <w:p>
      <w:pPr>
        <w:pStyle w:val="BodyText"/>
      </w:pPr>
      <w:r>
        <w:t xml:space="preserve">Trap question for vendors:</w:t>
      </w:r>
      <w:r>
        <w:t xml:space="preserve"> </w:t>
      </w:r>
      <w:r>
        <w:t xml:space="preserve">‘How many of your games have current RGS certification for [target market]? What’s the gap between your catalog and what we can launch?’</w:t>
      </w:r>
      <w:r>
        <w:t xml:space="preserve"> </w:t>
      </w:r>
      <w:r>
        <w:t xml:space="preserve">Certification-ready vendors provide specific numbers and gap analysis. Those without certification depth avoid specifics or claim</w:t>
      </w:r>
      <w:r>
        <w:t xml:space="preserve"> </w:t>
      </w:r>
      <w:r>
        <w:t xml:space="preserve">‘most’</w:t>
      </w:r>
      <w:r>
        <w:t xml:space="preserve"> </w:t>
      </w:r>
      <w:r>
        <w:t xml:space="preserve">games are certified.</w:t>
      </w:r>
    </w:p>
    <w:bookmarkEnd w:id="20"/>
    <w:bookmarkStart w:id="21" w:name="regulator-references-and-engagement"/>
    <w:p>
      <w:pPr>
        <w:pStyle w:val="Heading2"/>
      </w:pPr>
      <w:r>
        <w:t xml:space="preserve">Regulator References and Engagement</w:t>
      </w:r>
    </w:p>
    <w:p>
      <w:pPr>
        <w:pStyle w:val="FirstParagraph"/>
      </w:pPr>
      <w:r>
        <w:t xml:space="preserve">License certificates prove compliance. Regulator references prove relationships. Working relationships with regulator compliance teams accelerate problem resolution and provide insight into regulatory evolution. Some platforms maintain regulatory contacts; others just hold licenses.</w:t>
      </w:r>
    </w:p>
    <w:p>
      <w:pPr>
        <w:pStyle w:val="BodyText"/>
      </w:pPr>
      <w:r>
        <w:t xml:space="preserve">Playtech maintains direct relationships with key European regulators. Their compliance teams work directly with UK Gambling Commission, German gaming authorities, and Swedish Spelinspektionen. When regulatory interpretations evolve, Playtech gets clarity directly rather than through legal intermediaries.</w:t>
      </w:r>
    </w:p>
    <w:p>
      <w:pPr>
        <w:pStyle w:val="BodyText"/>
      </w:pPr>
      <w:r>
        <w:t xml:space="preserve">EveryMatrix built regulator relationships through their European expansion. Their compliance leads can provide regulator contacts in their covered markets. These relationships help during licensing applications and operational issues that require regulator clarification.</w:t>
      </w:r>
    </w:p>
    <w:p>
      <w:pPr>
        <w:pStyle w:val="BodyText"/>
      </w:pPr>
      <w:r>
        <w:t xml:space="preserve">SOFTSWISS leverages their Estonian operations for EU regulator engagement. Their compliance team maintains relationships with European gaming authorities, providing legitimacy for crypto-native operators entering traditional regulated markets.</w:t>
      </w:r>
    </w:p>
    <w:p>
      <w:pPr>
        <w:pStyle w:val="BodyText"/>
      </w:pPr>
      <w:r>
        <w:t xml:space="preserve">BetConstruct builds regulator relationships in emerging markets. Their approach: enter markets early, building compliance relationships alongside regulatory framework development. This works for operators targeting emerging markets but provides less value for established jurisdictions.</w:t>
      </w:r>
    </w:p>
    <w:p>
      <w:pPr>
        <w:pStyle w:val="BodyText"/>
      </w:pPr>
      <w:r>
        <w:t xml:space="preserve">The regulator relationship reality: platforms with established regulator relationships resolve compliance questions faster and navigate regulatory changes more smoothly. Those without direct relationships depend on legal counsel for regulator interaction, increasing resolution time and cost.</w:t>
      </w:r>
    </w:p>
    <w:p>
      <w:pPr>
        <w:pStyle w:val="BodyText"/>
      </w:pPr>
      <w:r>
        <w:t xml:space="preserve">Regulator references matter during licensing applications. When applying for operational licenses, regulator references from your platform provider carry weight. Regulators prefer working with known compliance-focused platforms over unknown providers requiring extensive due diligence.</w:t>
      </w:r>
    </w:p>
    <w:p>
      <w:pPr>
        <w:pStyle w:val="BodyText"/>
      </w:pPr>
      <w:r>
        <w:t xml:space="preserve">Regulatory change management separates relationship-driven platforms from transactional ones. When Germany updated responsible gaming requirements in 2025, platforms with regulator relationships got advance guidance. Others learned about changes through legal counsel or industry publications, creating compliance lag.</w:t>
      </w:r>
    </w:p>
    <w:p>
      <w:pPr>
        <w:pStyle w:val="BodyText"/>
      </w:pPr>
      <w:r>
        <w:t xml:space="preserve">What to verify before signing: request named regulator contacts from your platform’s compliance team. Verify that the platform can facilitate regulator introductions during your licensing process.</w:t>
      </w:r>
    </w:p>
    <w:p>
      <w:pPr>
        <w:pStyle w:val="BodyText"/>
      </w:pPr>
      <w:r>
        <w:t xml:space="preserve">Trap question for vendors:</w:t>
      </w:r>
      <w:r>
        <w:t xml:space="preserve"> </w:t>
      </w:r>
      <w:r>
        <w:t xml:space="preserve">‘Put us in touch with your compliance lead at [target regulator]. We want a regulator reference, not just a license certificate.’</w:t>
      </w:r>
      <w:r>
        <w:t xml:space="preserve"> </w:t>
      </w:r>
      <w:r>
        <w:t xml:space="preserve">Platforms with real regulator relationships provide contacts readily. Those without relationships avoid this request or provide only legal counsel contacts.</w:t>
      </w:r>
    </w:p>
    <w:bookmarkEnd w:id="21"/>
    <w:bookmarkStart w:id="28" w:name="vendor-profiles-for-regulated-markets"/>
    <w:p>
      <w:pPr>
        <w:pStyle w:val="Heading2"/>
      </w:pPr>
      <w:r>
        <w:t xml:space="preserve">Vendor Profiles for Regulated Markets</w:t>
      </w:r>
    </w:p>
    <w:bookmarkStart w:id="22" w:name="X22943e733af3fd3332f8547ed2970487f9a3d83"/>
    <w:p>
      <w:pPr>
        <w:pStyle w:val="Heading3"/>
      </w:pPr>
      <w:hyperlink r:id="rId10">
        <w:r>
          <w:rPr>
            <w:rStyle w:val="Hyperlink"/>
          </w:rPr>
          <w:t xml:space="preserve">Playtech</w:t>
        </w:r>
      </w:hyperlink>
      <w:r>
        <w:t xml:space="preserve">: The Enterprise Regulatory Gold Standard</w:t>
      </w:r>
    </w:p>
    <w:p>
      <w:pPr>
        <w:pStyle w:val="FirstParagraph"/>
      </w:pPr>
      <w:r>
        <w:t xml:space="preserve">Playtech’s reputation is built on 25 years of regulatory compliance across over 170 licenses. Their IMS platform handles enterprise-scale compliance with automated regulator reporting, jurisdiction-specific responsible gaming, and complete audit trail management. This comes with an enterprise complexity that smaller operators often find overwhelming.</w:t>
      </w:r>
    </w:p>
    <w:p>
      <w:pPr>
        <w:pStyle w:val="Compact"/>
        <w:numPr>
          <w:ilvl w:val="0"/>
          <w:numId w:val="1001"/>
        </w:numPr>
      </w:pPr>
      <w:r>
        <w:rPr>
          <w:b/>
          <w:bCs/>
        </w:rPr>
        <w:t xml:space="preserve">Standout for regulated markets:</w:t>
      </w:r>
      <w:r>
        <w:t xml:space="preserve"> </w:t>
      </w:r>
      <w:r>
        <w:t xml:space="preserve">Automated compliance reporting that generates regulator-ready submissions for tax authorities, responsible gaming bodies, and licensing regulators — no operator intervention needed.</w:t>
      </w:r>
    </w:p>
    <w:p>
      <w:pPr>
        <w:pStyle w:val="Compact"/>
        <w:numPr>
          <w:ilvl w:val="0"/>
          <w:numId w:val="1001"/>
        </w:numPr>
      </w:pPr>
      <w:r>
        <w:rPr>
          <w:b/>
          <w:bCs/>
        </w:rPr>
        <w:t xml:space="preserve">Proof points:</w:t>
      </w:r>
      <w:r>
        <w:t xml:space="preserve"> </w:t>
      </w:r>
      <w:r>
        <w:t xml:space="preserve">Powers William Hill, Paddy Power, and Sky Bet through multiple regulatory transitions including UK’s 2005 expansion, Germany’s 2021 opening, and ongoing US state launches without compliance issues. Their Q1 2026 results showed strong growth driven by regulated market performance, especially in Mexico.</w:t>
      </w:r>
    </w:p>
    <w:p>
      <w:pPr>
        <w:pStyle w:val="Compact"/>
        <w:numPr>
          <w:ilvl w:val="0"/>
          <w:numId w:val="1001"/>
        </w:numPr>
      </w:pPr>
      <w:r>
        <w:rPr>
          <w:b/>
          <w:bCs/>
        </w:rPr>
        <w:t xml:space="preserve">Trade-off:</w:t>
      </w:r>
      <w:r>
        <w:t xml:space="preserve"> </w:t>
      </w:r>
      <w:r>
        <w:t xml:space="preserve">Regulatory thoroughness creates operational bureaucracy. Simple changes require approval processes that agile competitors handle in hours, not days.</w:t>
      </w:r>
    </w:p>
    <w:p>
      <w:pPr>
        <w:pStyle w:val="Compact"/>
        <w:numPr>
          <w:ilvl w:val="0"/>
          <w:numId w:val="1001"/>
        </w:numPr>
      </w:pPr>
      <w:r>
        <w:rPr>
          <w:b/>
          <w:bCs/>
        </w:rPr>
        <w:t xml:space="preserve">Best for:</w:t>
      </w:r>
      <w:r>
        <w:t xml:space="preserve"> </w:t>
      </w:r>
      <w:r>
        <w:t xml:space="preserve">Large operators prioritizing regulatory security over operational agility, enterprises with dedicated compliance teams.</w:t>
      </w:r>
    </w:p>
    <w:p>
      <w:pPr>
        <w:pStyle w:val="Compact"/>
        <w:numPr>
          <w:ilvl w:val="0"/>
          <w:numId w:val="1001"/>
        </w:numPr>
      </w:pPr>
      <w:r>
        <w:rPr>
          <w:b/>
          <w:bCs/>
        </w:rPr>
        <w:t xml:space="preserve">Not for:</w:t>
      </w:r>
      <w:r>
        <w:t xml:space="preserve"> </w:t>
      </w:r>
      <w:r>
        <w:t xml:space="preserve">Startup operators needing rapid iteration, crypto-focused casinos, or teams prioritizing speed over compliance depth. If your CTO left last quarter and you’re running on contractors, this is not the platform for you right now. Come back when you have a team.</w:t>
      </w:r>
    </w:p>
    <w:bookmarkEnd w:id="22"/>
    <w:bookmarkStart w:id="23" w:name="X5bc85ad6ea2fee40a836998530a28e68e196189"/>
    <w:p>
      <w:pPr>
        <w:pStyle w:val="Heading3"/>
      </w:pPr>
      <w:hyperlink r:id="rId11">
        <w:r>
          <w:rPr>
            <w:rStyle w:val="Hyperlink"/>
          </w:rPr>
          <w:t xml:space="preserve">EveryMatrix</w:t>
        </w:r>
      </w:hyperlink>
      <w:r>
        <w:t xml:space="preserve">: Modular Regulatory Flexibility</w:t>
      </w:r>
    </w:p>
    <w:p>
      <w:pPr>
        <w:pStyle w:val="FirstParagraph"/>
      </w:pPr>
      <w:r>
        <w:t xml:space="preserve">EveryMatrix provides regulatory compliance through a modular architecture that adapts to different market requirements. Their MGA licensing anchors European operations while modular components handle jurisdiction-specific overlays. You can swap compliance modules without rebuilding your entire platform.</w:t>
      </w:r>
    </w:p>
    <w:p>
      <w:pPr>
        <w:pStyle w:val="Compact"/>
        <w:numPr>
          <w:ilvl w:val="0"/>
          <w:numId w:val="1002"/>
        </w:numPr>
      </w:pPr>
      <w:r>
        <w:rPr>
          <w:b/>
          <w:bCs/>
        </w:rPr>
        <w:t xml:space="preserve">Standout for regulated markets:</w:t>
      </w:r>
      <w:r>
        <w:t xml:space="preserve"> </w:t>
      </w:r>
      <w:r>
        <w:t xml:space="preserve">Modular compliance architecture that lets operators customize responsible gaming workflows and reporting while maintaining core compliance infrastructure.</w:t>
      </w:r>
    </w:p>
    <w:p>
      <w:pPr>
        <w:pStyle w:val="Compact"/>
        <w:numPr>
          <w:ilvl w:val="0"/>
          <w:numId w:val="1002"/>
        </w:numPr>
      </w:pPr>
      <w:r>
        <w:rPr>
          <w:b/>
          <w:bCs/>
        </w:rPr>
        <w:t xml:space="preserve">Proof points:</w:t>
      </w:r>
      <w:r>
        <w:t xml:space="preserve"> </w:t>
      </w:r>
      <w:r>
        <w:t xml:space="preserve">Secured licensing approval in Alberta, Canada in May 2026, powered Betsson Africa’s Cameroon launch, processes billions of game rounds annually with sub-100ms API response times.</w:t>
      </w:r>
    </w:p>
    <w:p>
      <w:pPr>
        <w:pStyle w:val="Compact"/>
        <w:numPr>
          <w:ilvl w:val="0"/>
          <w:numId w:val="1002"/>
        </w:numPr>
      </w:pPr>
      <w:r>
        <w:rPr>
          <w:b/>
          <w:bCs/>
        </w:rPr>
        <w:t xml:space="preserve">Trade-off:</w:t>
      </w:r>
      <w:r>
        <w:t xml:space="preserve"> </w:t>
      </w:r>
      <w:r>
        <w:t xml:space="preserve">Modular flexibility requires technical resources to manage multiple compliance components and optimize regulatory workflows. If you don’t have a dedicated integration team, you’ll spend more time wrangling vendors than building your business.</w:t>
      </w:r>
    </w:p>
    <w:p>
      <w:pPr>
        <w:pStyle w:val="Compact"/>
        <w:numPr>
          <w:ilvl w:val="0"/>
          <w:numId w:val="1002"/>
        </w:numPr>
      </w:pPr>
      <w:r>
        <w:rPr>
          <w:b/>
          <w:bCs/>
        </w:rPr>
        <w:t xml:space="preserve">Best for:</w:t>
      </w:r>
      <w:r>
        <w:t xml:space="preserve"> </w:t>
      </w:r>
      <w:r>
        <w:t xml:space="preserve">Multi-market European operators with technical teams who need regulatory flexibility without vendor lock-in.</w:t>
      </w:r>
    </w:p>
    <w:p>
      <w:pPr>
        <w:pStyle w:val="Compact"/>
        <w:numPr>
          <w:ilvl w:val="0"/>
          <w:numId w:val="1002"/>
        </w:numPr>
      </w:pPr>
      <w:r>
        <w:rPr>
          <w:b/>
          <w:bCs/>
        </w:rPr>
        <w:t xml:space="preserve">Not for:</w:t>
      </w:r>
      <w:r>
        <w:t xml:space="preserve"> </w:t>
      </w:r>
      <w:r>
        <w:t xml:space="preserve">Operators wanting single-vendor compliance management or those without technical resources for modular platform management.</w:t>
      </w:r>
    </w:p>
    <w:bookmarkEnd w:id="23"/>
    <w:bookmarkStart w:id="24" w:name="softswiss-crypto-fiat-regulatory-bridge"/>
    <w:p>
      <w:pPr>
        <w:pStyle w:val="Heading3"/>
      </w:pPr>
      <w:hyperlink r:id="rId12">
        <w:r>
          <w:rPr>
            <w:rStyle w:val="Hyperlink"/>
          </w:rPr>
          <w:t xml:space="preserve">SOFTSWISS</w:t>
        </w:r>
      </w:hyperlink>
      <w:r>
        <w:t xml:space="preserve">: Crypto-Fiat Regulatory Bridge</w:t>
      </w:r>
    </w:p>
    <w:p>
      <w:pPr>
        <w:pStyle w:val="FirstParagraph"/>
      </w:pPr>
      <w:r>
        <w:t xml:space="preserve">SOFTSWISS handles the complex regulatory scenario where crypto meets traditional gambling compliance. Their MGA license, plus 24-jurisdiction coverage, enables crypto-native operators to enter regulated markets while maintaining blockchain capabilities.</w:t>
      </w:r>
    </w:p>
    <w:p>
      <w:pPr>
        <w:pStyle w:val="Compact"/>
        <w:numPr>
          <w:ilvl w:val="0"/>
          <w:numId w:val="1003"/>
        </w:numPr>
      </w:pPr>
      <w:r>
        <w:rPr>
          <w:b/>
          <w:bCs/>
        </w:rPr>
        <w:t xml:space="preserve">Standout for regulated markets:</w:t>
      </w:r>
      <w:r>
        <w:t xml:space="preserve"> </w:t>
      </w:r>
      <w:r>
        <w:t xml:space="preserve">Crypto-fiat hybrid compliance that tracks responsible gaming limits across cryptocurrency and traditional transactions, ensuring regulatory compliance regardless of transaction type.</w:t>
      </w:r>
    </w:p>
    <w:p>
      <w:pPr>
        <w:pStyle w:val="Compact"/>
        <w:numPr>
          <w:ilvl w:val="0"/>
          <w:numId w:val="1003"/>
        </w:numPr>
      </w:pPr>
      <w:r>
        <w:rPr>
          <w:b/>
          <w:bCs/>
        </w:rPr>
        <w:t xml:space="preserve">Proof points:</w:t>
      </w:r>
      <w:r>
        <w:t xml:space="preserve"> </w:t>
      </w:r>
      <w:r>
        <w:t xml:space="preserve">MGA licensed with certifications across 24 jurisdictions, serves over 1,400 brands, maintains 99.9% uptime worldwide, won</w:t>
      </w:r>
      <w:r>
        <w:t xml:space="preserve"> </w:t>
      </w:r>
      <w:r>
        <w:t xml:space="preserve">‘Best Aggregator’</w:t>
      </w:r>
      <w:r>
        <w:t xml:space="preserve"> </w:t>
      </w:r>
      <w:r>
        <w:t xml:space="preserve">at GamingTECH CEE Awards 2025. In early 2026, they announced new game content partnerships with over 50 providers, significantly expanding their game aggregation offering.</w:t>
      </w:r>
    </w:p>
    <w:p>
      <w:pPr>
        <w:pStyle w:val="Compact"/>
        <w:numPr>
          <w:ilvl w:val="0"/>
          <w:numId w:val="1003"/>
        </w:numPr>
      </w:pPr>
      <w:r>
        <w:rPr>
          <w:b/>
          <w:bCs/>
        </w:rPr>
        <w:t xml:space="preserve">Trade-off:</w:t>
      </w:r>
      <w:r>
        <w:t xml:space="preserve"> </w:t>
      </w:r>
      <w:r>
        <w:t xml:space="preserve">Ecosystem commitment is a factor. While modular in theory, their compliance tools work best together, making component replacement difficult without losing functionality.</w:t>
      </w:r>
    </w:p>
    <w:p>
      <w:pPr>
        <w:pStyle w:val="Compact"/>
        <w:numPr>
          <w:ilvl w:val="0"/>
          <w:numId w:val="1003"/>
        </w:numPr>
      </w:pPr>
      <w:r>
        <w:rPr>
          <w:b/>
          <w:bCs/>
        </w:rPr>
        <w:t xml:space="preserve">Best for:</w:t>
      </w:r>
      <w:r>
        <w:t xml:space="preserve"> </w:t>
      </w:r>
      <w:r>
        <w:t xml:space="preserve">Crypto-native operators entering regulated markets, hybrid casinos serving both crypto and traditional players.</w:t>
      </w:r>
    </w:p>
    <w:p>
      <w:pPr>
        <w:pStyle w:val="Compact"/>
        <w:numPr>
          <w:ilvl w:val="0"/>
          <w:numId w:val="1003"/>
        </w:numPr>
      </w:pPr>
      <w:r>
        <w:rPr>
          <w:b/>
          <w:bCs/>
        </w:rPr>
        <w:t xml:space="preserve">Not for:</w:t>
      </w:r>
      <w:r>
        <w:t xml:space="preserve"> </w:t>
      </w:r>
      <w:r>
        <w:t xml:space="preserve">Operators focused exclusively on traditional fiat markets or those needing extensive custom compliance development.</w:t>
      </w:r>
    </w:p>
    <w:bookmarkEnd w:id="24"/>
    <w:bookmarkStart w:id="25" w:name="Xe69c500ea539fbe149c5e94bde4e05ade128246"/>
    <w:p>
      <w:pPr>
        <w:pStyle w:val="Heading3"/>
      </w:pPr>
      <w:hyperlink r:id="rId13">
        <w:r>
          <w:rPr>
            <w:rStyle w:val="Hyperlink"/>
          </w:rPr>
          <w:t xml:space="preserve">BetConstruct</w:t>
        </w:r>
      </w:hyperlink>
      <w:r>
        <w:t xml:space="preserve">: Emerging Market Regulatory Pioneer</w:t>
      </w:r>
    </w:p>
    <w:p>
      <w:pPr>
        <w:pStyle w:val="FirstParagraph"/>
      </w:pPr>
      <w:r>
        <w:t xml:space="preserve">BetConstruct prepared early for emerging regulated markets, including Brazil’s 2026 framework. Their Spring Platform integrates compliance across casino and sportsbook operations with emerging market-specific tools. These include PIX payment integration and Portuguese compliance modules.</w:t>
      </w:r>
    </w:p>
    <w:p>
      <w:pPr>
        <w:pStyle w:val="Compact"/>
        <w:numPr>
          <w:ilvl w:val="0"/>
          <w:numId w:val="1004"/>
        </w:numPr>
      </w:pPr>
      <w:r>
        <w:rPr>
          <w:b/>
          <w:bCs/>
        </w:rPr>
        <w:t xml:space="preserve">Standout for regulated markets:</w:t>
      </w:r>
      <w:r>
        <w:t xml:space="preserve"> </w:t>
      </w:r>
      <w:r>
        <w:t xml:space="preserve">Early preparation for emerging regulated markets with Brazil-specific compliance modules, PIX integration, and Portuguese localization ready for 2026 framework implementation.</w:t>
      </w:r>
    </w:p>
    <w:p>
      <w:pPr>
        <w:pStyle w:val="Compact"/>
        <w:numPr>
          <w:ilvl w:val="0"/>
          <w:numId w:val="1004"/>
        </w:numPr>
      </w:pPr>
      <w:r>
        <w:rPr>
          <w:b/>
          <w:bCs/>
        </w:rPr>
        <w:t xml:space="preserve">Proof points:</w:t>
      </w:r>
      <w:r>
        <w:t xml:space="preserve"> </w:t>
      </w:r>
      <w:r>
        <w:t xml:space="preserve">Covers 15+ regulated markets including Brazil preparation, expanded across Eastern European markets in 2025-2026, introduced</w:t>
      </w:r>
      <w:r>
        <w:t xml:space="preserve"> </w:t>
      </w:r>
      <w:r>
        <w:t xml:space="preserve">‘Choice Gaming’</w:t>
      </w:r>
      <w:r>
        <w:t xml:space="preserve"> </w:t>
      </w:r>
      <w:r>
        <w:t xml:space="preserve">and</w:t>
      </w:r>
      <w:r>
        <w:t xml:space="preserve"> </w:t>
      </w:r>
      <w:r>
        <w:t xml:space="preserve">‘KISS AI Live Casino’</w:t>
      </w:r>
      <w:r>
        <w:t xml:space="preserve"> </w:t>
      </w:r>
      <w:r>
        <w:t xml:space="preserve">in 2026.</w:t>
      </w:r>
    </w:p>
    <w:p>
      <w:pPr>
        <w:pStyle w:val="Compact"/>
        <w:numPr>
          <w:ilvl w:val="0"/>
          <w:numId w:val="1004"/>
        </w:numPr>
      </w:pPr>
      <w:r>
        <w:rPr>
          <w:b/>
          <w:bCs/>
        </w:rPr>
        <w:t xml:space="preserve">Trade-off:</w:t>
      </w:r>
      <w:r>
        <w:t xml:space="preserve"> </w:t>
      </w:r>
      <w:r>
        <w:t xml:space="preserve">Broader coverage across multiple verticals may lag behind specialists in specific compliance areas, especially in established regulated markets. If you need hyper-specific MGA audit reports, you might find their general approach falls short.</w:t>
      </w:r>
    </w:p>
    <w:p>
      <w:pPr>
        <w:pStyle w:val="Compact"/>
        <w:numPr>
          <w:ilvl w:val="0"/>
          <w:numId w:val="1004"/>
        </w:numPr>
      </w:pPr>
      <w:r>
        <w:rPr>
          <w:b/>
          <w:bCs/>
        </w:rPr>
        <w:t xml:space="preserve">Best for:</w:t>
      </w:r>
      <w:r>
        <w:t xml:space="preserve"> </w:t>
      </w:r>
      <w:r>
        <w:t xml:space="preserve">Operators entering emerging regulated markets, multi-vertical casinos needing integrated sportsbook compliance.</w:t>
      </w:r>
    </w:p>
    <w:p>
      <w:pPr>
        <w:pStyle w:val="Compact"/>
        <w:numPr>
          <w:ilvl w:val="0"/>
          <w:numId w:val="1004"/>
        </w:numPr>
      </w:pPr>
      <w:r>
        <w:rPr>
          <w:b/>
          <w:bCs/>
        </w:rPr>
        <w:t xml:space="preserve">Not for:</w:t>
      </w:r>
      <w:r>
        <w:t xml:space="preserve"> </w:t>
      </w:r>
      <w:r>
        <w:t xml:space="preserve">Operators targeting only established European markets or those needing best-in-class compliance for specific jurisdictions.</w:t>
      </w:r>
    </w:p>
    <w:bookmarkEnd w:id="25"/>
    <w:bookmarkStart w:id="26" w:name="Xbd105325a1e69d99469f855d5de7fd1329e92fa"/>
    <w:p>
      <w:pPr>
        <w:pStyle w:val="Heading3"/>
      </w:pPr>
      <w:hyperlink r:id="rId14">
        <w:r>
          <w:rPr>
            <w:rStyle w:val="Hyperlink"/>
          </w:rPr>
          <w:t xml:space="preserve">Pragmatic Solutions</w:t>
        </w:r>
      </w:hyperlink>
      <w:r>
        <w:t xml:space="preserve">: Developer-Controlled Compliance Architecture</w:t>
      </w:r>
    </w:p>
    <w:p>
      <w:pPr>
        <w:pStyle w:val="FirstParagraph"/>
      </w:pPr>
      <w:r>
        <w:t xml:space="preserve">Pragmatic Solutions offers a headless compliance architecture. Developers control regulatory workflows while relying on Pragmatic’s compliance infrastructure. Their API-first design enables custom responsible gaming implementations that meet specific regulatory requirements.</w:t>
      </w:r>
    </w:p>
    <w:p>
      <w:pPr>
        <w:pStyle w:val="Compact"/>
        <w:numPr>
          <w:ilvl w:val="0"/>
          <w:numId w:val="1005"/>
        </w:numPr>
      </w:pPr>
      <w:r>
        <w:rPr>
          <w:b/>
          <w:bCs/>
        </w:rPr>
        <w:t xml:space="preserve">Standout for regulated markets:</w:t>
      </w:r>
      <w:r>
        <w:t xml:space="preserve"> </w:t>
      </w:r>
      <w:r>
        <w:t xml:space="preserve">Headless compliance architecture that separates compliance backend from operator-controlled workflows, enabling custom responsible gaming implementations for unique regulatory scenarios.</w:t>
      </w:r>
    </w:p>
    <w:p>
      <w:pPr>
        <w:pStyle w:val="Compact"/>
        <w:numPr>
          <w:ilvl w:val="0"/>
          <w:numId w:val="1005"/>
        </w:numPr>
      </w:pPr>
      <w:r>
        <w:rPr>
          <w:b/>
          <w:bCs/>
        </w:rPr>
        <w:t xml:space="preserve">Proof points:</w:t>
      </w:r>
      <w:r>
        <w:t xml:space="preserve"> </w:t>
      </w:r>
      <w:r>
        <w:t xml:space="preserve">Powers DAZN BET’s sports-casino compliance integration, maintains sub-50ms API response times, provides complete documentation that matches implementation reality. They recently partnered with a major European lottery operator for a new online casino launch in Q3 2026.</w:t>
      </w:r>
    </w:p>
    <w:p>
      <w:pPr>
        <w:pStyle w:val="Compact"/>
        <w:numPr>
          <w:ilvl w:val="0"/>
          <w:numId w:val="1005"/>
        </w:numPr>
      </w:pPr>
      <w:r>
        <w:rPr>
          <w:b/>
          <w:bCs/>
        </w:rPr>
        <w:t xml:space="preserve">Trade-off:</w:t>
      </w:r>
      <w:r>
        <w:t xml:space="preserve"> </w:t>
      </w:r>
      <w:r>
        <w:t xml:space="preserve">This platform requires significant development resources to build custom compliance workflows. It’s not about using pre-built regulatory tools.</w:t>
      </w:r>
    </w:p>
    <w:p>
      <w:pPr>
        <w:pStyle w:val="Compact"/>
        <w:numPr>
          <w:ilvl w:val="0"/>
          <w:numId w:val="1005"/>
        </w:numPr>
      </w:pPr>
      <w:r>
        <w:rPr>
          <w:b/>
          <w:bCs/>
        </w:rPr>
        <w:t xml:space="preserve">Best for:</w:t>
      </w:r>
      <w:r>
        <w:t xml:space="preserve"> </w:t>
      </w:r>
      <w:r>
        <w:t xml:space="preserve">Operators with strong technical teams building custom compliance experiences, brands requiring unique regulatory implementations.</w:t>
      </w:r>
    </w:p>
    <w:p>
      <w:pPr>
        <w:pStyle w:val="Compact"/>
        <w:numPr>
          <w:ilvl w:val="0"/>
          <w:numId w:val="1005"/>
        </w:numPr>
      </w:pPr>
      <w:r>
        <w:rPr>
          <w:b/>
          <w:bCs/>
        </w:rPr>
        <w:t xml:space="preserve">Not for:</w:t>
      </w:r>
      <w:r>
        <w:t xml:space="preserve"> </w:t>
      </w:r>
      <w:r>
        <w:t xml:space="preserve">Non-technical operators, teams needing turnkey regulatory solutions, or operators without modern web development experience.</w:t>
      </w:r>
    </w:p>
    <w:bookmarkEnd w:id="26"/>
    <w:bookmarkStart w:id="27" w:name="Xfc2a2aa0a7fb1049ae311d44baf226855387133"/>
    <w:p>
      <w:pPr>
        <w:pStyle w:val="Heading3"/>
      </w:pPr>
      <w:hyperlink r:id="rId15">
        <w:r>
          <w:rPr>
            <w:rStyle w:val="Hyperlink"/>
          </w:rPr>
          <w:t xml:space="preserve">Soft2Bet</w:t>
        </w:r>
      </w:hyperlink>
      <w:r>
        <w:t xml:space="preserve">: Gamification-Integrated Regulatory Compliance</w:t>
      </w:r>
    </w:p>
    <w:p>
      <w:pPr>
        <w:pStyle w:val="FirstParagraph"/>
      </w:pPr>
      <w:r>
        <w:t xml:space="preserve">Soft2Bet built their MEGA platform while operating casino brands. This created compliance tools that integrate with their retention systems. Their responsible gaming features work with gamification tools to create compliant player engagement.</w:t>
      </w:r>
    </w:p>
    <w:p>
      <w:pPr>
        <w:pStyle w:val="Compact"/>
        <w:numPr>
          <w:ilvl w:val="0"/>
          <w:numId w:val="1006"/>
        </w:numPr>
      </w:pPr>
      <w:r>
        <w:rPr>
          <w:b/>
          <w:bCs/>
        </w:rPr>
        <w:t xml:space="preserve">Standout for regulated markets:</w:t>
      </w:r>
      <w:r>
        <w:t xml:space="preserve"> </w:t>
      </w:r>
      <w:r>
        <w:t xml:space="preserve">Gamification-integrated responsible gaming that applies regulatory limits across tournament participation, achievement systems, and loyalty programs without breaking player engagement.</w:t>
      </w:r>
    </w:p>
    <w:p>
      <w:pPr>
        <w:pStyle w:val="Compact"/>
        <w:numPr>
          <w:ilvl w:val="0"/>
          <w:numId w:val="1006"/>
        </w:numPr>
      </w:pPr>
      <w:r>
        <w:rPr>
          <w:b/>
          <w:bCs/>
        </w:rPr>
        <w:t xml:space="preserve">Proof points:</w:t>
      </w:r>
      <w:r>
        <w:t xml:space="preserve"> </w:t>
      </w:r>
      <w:r>
        <w:t xml:space="preserve">Launched five new brands in early 2026 including Lodur in Sweden, submitted Alberta license application, reports notable retention improvements with integrated RG-gamification.</w:t>
      </w:r>
    </w:p>
    <w:p>
      <w:pPr>
        <w:pStyle w:val="Compact"/>
        <w:numPr>
          <w:ilvl w:val="0"/>
          <w:numId w:val="1006"/>
        </w:numPr>
      </w:pPr>
      <w:r>
        <w:rPr>
          <w:b/>
          <w:bCs/>
        </w:rPr>
        <w:t xml:space="preserve">Trade-off:</w:t>
      </w:r>
      <w:r>
        <w:t xml:space="preserve"> </w:t>
      </w:r>
      <w:r>
        <w:t xml:space="preserve">Platform capabilities beyond gamification may lag behind compliance specialists. Content aggregation and payment features work, but they lack depth.</w:t>
      </w:r>
    </w:p>
    <w:p>
      <w:pPr>
        <w:pStyle w:val="Compact"/>
        <w:numPr>
          <w:ilvl w:val="0"/>
          <w:numId w:val="1006"/>
        </w:numPr>
      </w:pPr>
      <w:r>
        <w:rPr>
          <w:b/>
          <w:bCs/>
        </w:rPr>
        <w:t xml:space="preserve">Best for:</w:t>
      </w:r>
      <w:r>
        <w:t xml:space="preserve"> </w:t>
      </w:r>
      <w:r>
        <w:t xml:space="preserve">Retention-focused operators in regulated markets, brands competing where responsible gaming compliance integrates with player engagement.</w:t>
      </w:r>
    </w:p>
    <w:p>
      <w:pPr>
        <w:pStyle w:val="Compact"/>
        <w:numPr>
          <w:ilvl w:val="0"/>
          <w:numId w:val="1006"/>
        </w:numPr>
      </w:pPr>
      <w:r>
        <w:rPr>
          <w:b/>
          <w:bCs/>
        </w:rPr>
        <w:t xml:space="preserve">Not for:</w:t>
      </w:r>
      <w:r>
        <w:t xml:space="preserve"> </w:t>
      </w:r>
      <w:r>
        <w:t xml:space="preserve">Operators prioritizing content variety over retention, platforms needing advanced regulatory reporting beyond standard requirements.</w:t>
      </w:r>
    </w:p>
    <w:bookmarkEnd w:id="27"/>
    <w:bookmarkEnd w:id="28"/>
    <w:bookmarkStart w:id="33" w:name="runners-up-for-regulated-market-entry"/>
    <w:p>
      <w:pPr>
        <w:pStyle w:val="Heading2"/>
      </w:pPr>
      <w:r>
        <w:t xml:space="preserve">Runners-Up for Regulated Market Entry</w:t>
      </w:r>
    </w:p>
    <w:p>
      <w:pPr>
        <w:pStyle w:val="FirstParagraph"/>
      </w:pPr>
      <w:hyperlink r:id="rId29">
        <w:r>
          <w:rPr>
            <w:rStyle w:val="Hyperlink"/>
          </w:rPr>
          <w:t xml:space="preserve">Slotegrator</w:t>
        </w:r>
      </w:hyperlink>
      <w:r>
        <w:t xml:space="preserve"> </w:t>
      </w:r>
      <w:r>
        <w:t xml:space="preserve">offers strong content aggregation with MGA licensing but lighter compliance features compared to full-platform specialists.</w:t>
      </w:r>
      <w:r>
        <w:t xml:space="preserve"> </w:t>
      </w:r>
      <w:hyperlink r:id="rId30">
        <w:r>
          <w:rPr>
            <w:rStyle w:val="Hyperlink"/>
          </w:rPr>
          <w:t xml:space="preserve">Kambi</w:t>
        </w:r>
      </w:hyperlink>
      <w:r>
        <w:t xml:space="preserve"> </w:t>
      </w:r>
      <w:r>
        <w:t xml:space="preserve">brings sportsbook regulatory expertise to casino through developing PAM capabilities.</w:t>
      </w:r>
      <w:r>
        <w:t xml:space="preserve"> </w:t>
      </w:r>
      <w:hyperlink r:id="rId31">
        <w:r>
          <w:rPr>
            <w:rStyle w:val="Hyperlink"/>
          </w:rPr>
          <w:t xml:space="preserve">NuxGame</w:t>
        </w:r>
      </w:hyperlink>
      <w:r>
        <w:t xml:space="preserve"> </w:t>
      </w:r>
      <w:r>
        <w:t xml:space="preserve">covers basic regulated market requirements through Curacao and Anjouan licensing and offers support for Malta licensing, but lacks depth for complex compliance scenarios.</w:t>
      </w:r>
    </w:p>
    <w:p>
      <w:pPr>
        <w:pStyle w:val="BodyText"/>
      </w:pPr>
      <w:r>
        <w:t xml:space="preserve">Browse the complete</w:t>
      </w:r>
      <w:r>
        <w:t xml:space="preserve"> </w:t>
      </w:r>
      <w:hyperlink r:id="rId32">
        <w:r>
          <w:rPr>
            <w:rStyle w:val="Hyperlink"/>
          </w:rPr>
          <w:t xml:space="preserve">directory of casino platform providers</w:t>
        </w:r>
      </w:hyperlink>
      <w:r>
        <w:t xml:space="preserve"> </w:t>
      </w:r>
      <w:r>
        <w:t xml:space="preserve">for additional regulated market options.</w:t>
      </w:r>
    </w:p>
    <w:bookmarkEnd w:id="33"/>
    <w:bookmarkStart w:id="34" w:name="regulated-market-readiness-signals"/>
    <w:p>
      <w:pPr>
        <w:pStyle w:val="Heading2"/>
      </w:pPr>
      <w:r>
        <w:t xml:space="preserve">Regulated Market Readiness Signals</w:t>
      </w:r>
    </w:p>
    <w:p>
      <w:pPr>
        <w:pStyle w:val="FirstParagraph"/>
      </w:pPr>
      <w:r>
        <w:t xml:space="preserve">This compliance-focused approach suits you if you’re targeting markets where regulatory relationships matter more than raw feature velocity. Not every operator needs enterprise-grade compliance.</w:t>
      </w:r>
    </w:p>
    <w:p>
      <w:pPr>
        <w:pStyle w:val="BodyText"/>
      </w:pPr>
      <w:r>
        <w:rPr>
          <w:b/>
          <w:bCs/>
        </w:rPr>
        <w:t xml:space="preserve">This angle is right for you if:</w:t>
      </w:r>
      <w:r>
        <w:t xml:space="preserve"> </w:t>
      </w:r>
      <w:r>
        <w:t xml:space="preserve">- You’re launching in three or more regulated European markets with different compliance requirements.</w:t>
      </w:r>
      <w:r>
        <w:t xml:space="preserve"> </w:t>
      </w:r>
      <w:r>
        <w:t xml:space="preserve">- Your business model depends on maintaining operational licenses through regulatory changes.</w:t>
      </w:r>
      <w:r>
        <w:t xml:space="preserve"> </w:t>
      </w:r>
      <w:r>
        <w:t xml:space="preserve">- You need automated regulator reporting to reduce compliance overhead and error risk.</w:t>
      </w:r>
      <w:r>
        <w:t xml:space="preserve"> </w:t>
      </w:r>
      <w:r>
        <w:t xml:space="preserve">- Responsible gaming compliance integrates with your player engagement strategy.</w:t>
      </w:r>
      <w:r>
        <w:t xml:space="preserve"> </w:t>
      </w:r>
      <w:r>
        <w:t xml:space="preserve">- You’re entering emerging regulated markets like Brazil where early regulatory relationships provide competitive advantage.</w:t>
      </w:r>
    </w:p>
    <w:p>
      <w:pPr>
        <w:pStyle w:val="BodyText"/>
      </w:pPr>
      <w:r>
        <w:rPr>
          <w:b/>
          <w:bCs/>
        </w:rPr>
        <w:t xml:space="preserve">Look elsewhere if:</w:t>
      </w:r>
      <w:r>
        <w:t xml:space="preserve"> </w:t>
      </w:r>
      <w:r>
        <w:t xml:space="preserve">- You’re testing market concepts in unregulated jurisdictions where compliance overhead outweighs benefits.</w:t>
      </w:r>
      <w:r>
        <w:t xml:space="preserve"> </w:t>
      </w:r>
      <w:r>
        <w:t xml:space="preserve">- Your technical team can build custom compliance tools faster than integrating enterprise platforms.</w:t>
      </w:r>
      <w:r>
        <w:t xml:space="preserve"> </w:t>
      </w:r>
      <w:r>
        <w:t xml:space="preserve">- You’re targeting crypto-only markets where traditional regulatory frameworks don’t apply.</w:t>
      </w:r>
      <w:r>
        <w:t xml:space="preserve"> </w:t>
      </w:r>
      <w:r>
        <w:t xml:space="preserve">- Speed to market matters more than compliance depth for your competitive positioning.</w:t>
      </w:r>
      <w:r>
        <w:t xml:space="preserve"> </w:t>
      </w:r>
      <w:r>
        <w:t xml:space="preserve">- You’re operating below $500K monthly GGR where enterprise compliance costs exceed benefits.</w:t>
      </w:r>
    </w:p>
    <w:bookmarkEnd w:id="34"/>
    <w:bookmarkStart w:id="35" w:name="X91f3a2accd90161bdee286116b79f022a3c20ba"/>
    <w:p>
      <w:pPr>
        <w:pStyle w:val="Heading2"/>
      </w:pPr>
      <w:r>
        <w:t xml:space="preserve">What to Verify Before Signing and Trap Questions</w:t>
      </w:r>
    </w:p>
    <w:p>
      <w:pPr>
        <w:pStyle w:val="FirstParagraph"/>
      </w:pPr>
      <w:r>
        <w:t xml:space="preserve">Regulated market platforms make promises that sound identical. However, they deliver different compliance realities. These verification checks separate platforms built for compliance from those retrofitted for it.</w:t>
      </w:r>
    </w:p>
    <w:p>
      <w:pPr>
        <w:pStyle w:val="BodyText"/>
      </w:pPr>
      <w:r>
        <w:rPr>
          <w:b/>
          <w:bCs/>
        </w:rPr>
        <w:t xml:space="preserve">License verification beyond certificates:</w:t>
      </w:r>
      <w:r>
        <w:t xml:space="preserve"> </w:t>
      </w:r>
      <w:r>
        <w:t xml:space="preserve">-</w:t>
      </w:r>
      <w:r>
        <w:t xml:space="preserve"> </w:t>
      </w:r>
      <w:r>
        <w:rPr>
          <w:b/>
          <w:bCs/>
        </w:rPr>
        <w:t xml:space="preserve">Get specific license numbers and renewal dates:</w:t>
      </w:r>
      <w:r>
        <w:t xml:space="preserve"> </w:t>
      </w:r>
      <w:r>
        <w:t xml:space="preserve">‘Provide the MGA license number and its renewal date. What’s your renewal track record over the last five years?’</w:t>
      </w:r>
      <w:r>
        <w:t xml:space="preserve"> </w:t>
      </w:r>
      <w:r>
        <w:t xml:space="preserve">Good answers include specific numbers and renewal history. Red flags include generic</w:t>
      </w:r>
      <w:r>
        <w:t xml:space="preserve"> </w:t>
      </w:r>
      <w:r>
        <w:t xml:space="preserve">‘we’re licensed’</w:t>
      </w:r>
      <w:r>
        <w:t xml:space="preserve"> </w:t>
      </w:r>
      <w:r>
        <w:t xml:space="preserve">responses without documentation.</w:t>
      </w:r>
    </w:p>
    <w:p>
      <w:pPr>
        <w:pStyle w:val="BodyText"/>
      </w:pPr>
      <w:r>
        <w:rPr>
          <w:b/>
          <w:bCs/>
        </w:rPr>
        <w:t xml:space="preserve">Compliance automation depth:</w:t>
      </w:r>
      <w:r>
        <w:t xml:space="preserve"> </w:t>
      </w:r>
      <w:r>
        <w:t xml:space="preserve">-</w:t>
      </w:r>
      <w:r>
        <w:t xml:space="preserve"> </w:t>
      </w:r>
      <w:r>
        <w:rPr>
          <w:b/>
          <w:bCs/>
        </w:rPr>
        <w:t xml:space="preserve">Request a demonstration of automated regulator submissions:</w:t>
      </w:r>
      <w:r>
        <w:t xml:space="preserve"> </w:t>
      </w:r>
      <w:r>
        <w:t xml:space="preserve">‘Show us how your platform generates [specific regulator] reporting without operator intervention.’</w:t>
      </w:r>
      <w:r>
        <w:t xml:space="preserve"> </w:t>
      </w:r>
      <w:r>
        <w:t xml:space="preserve">Truly automated platforms demonstrate report generation immediately. Semi-automated platforms require operator data entry or review steps.</w:t>
      </w:r>
    </w:p>
    <w:p>
      <w:pPr>
        <w:pStyle w:val="BodyText"/>
      </w:pPr>
      <w:r>
        <w:rPr>
          <w:b/>
          <w:bCs/>
        </w:rPr>
        <w:t xml:space="preserve">Responsible gaming integration testing:</w:t>
      </w:r>
      <w:r>
        <w:t xml:space="preserve"> </w:t>
      </w:r>
      <w:r>
        <w:t xml:space="preserve">-</w:t>
      </w:r>
      <w:r>
        <w:t xml:space="preserve"> </w:t>
      </w:r>
      <w:r>
        <w:rPr>
          <w:b/>
          <w:bCs/>
        </w:rPr>
        <w:t xml:space="preserve">Verify jurisdiction-specific RG tools:</w:t>
      </w:r>
      <w:r>
        <w:t xml:space="preserve"> </w:t>
      </w:r>
      <w:r>
        <w:t xml:space="preserve">‘Walk us through German deposit limit enforcement, from player attempt to automatic rejection.’</w:t>
      </w:r>
      <w:r>
        <w:t xml:space="preserve"> </w:t>
      </w:r>
      <w:r>
        <w:t xml:space="preserve">Compliance-ready platforms demonstrate automated enforcement. Basic platforms show manual override capabilities that create compliance gaps.</w:t>
      </w:r>
    </w:p>
    <w:p>
      <w:pPr>
        <w:pStyle w:val="BodyText"/>
      </w:pPr>
      <w:r>
        <w:rPr>
          <w:b/>
          <w:bCs/>
        </w:rPr>
        <w:t xml:space="preserve">RGS certification gap analysis:</w:t>
      </w:r>
      <w:r>
        <w:t xml:space="preserve"> </w:t>
      </w:r>
      <w:r>
        <w:t xml:space="preserve">-</w:t>
      </w:r>
      <w:r>
        <w:t xml:space="preserve"> </w:t>
      </w:r>
      <w:r>
        <w:rPr>
          <w:b/>
          <w:bCs/>
        </w:rPr>
        <w:t xml:space="preserve">Identify specific certification coverage:</w:t>
      </w:r>
      <w:r>
        <w:t xml:space="preserve"> </w:t>
      </w:r>
      <w:r>
        <w:t xml:space="preserve">‘How many of your games have current RGS certification for [target market]? What’s the gap between your catalog and what we can launch?’</w:t>
      </w:r>
      <w:r>
        <w:t xml:space="preserve"> </w:t>
      </w:r>
      <w:r>
        <w:t xml:space="preserve">Certification-ready vendors provide specific numbers and gap timelines. Those without depth avoid specifics or claim</w:t>
      </w:r>
      <w:r>
        <w:t xml:space="preserve"> </w:t>
      </w:r>
      <w:r>
        <w:t xml:space="preserve">‘most’</w:t>
      </w:r>
      <w:r>
        <w:t xml:space="preserve"> </w:t>
      </w:r>
      <w:r>
        <w:t xml:space="preserve">games are certified.</w:t>
      </w:r>
    </w:p>
    <w:p>
      <w:pPr>
        <w:pStyle w:val="BodyText"/>
      </w:pPr>
      <w:r>
        <w:rPr>
          <w:b/>
          <w:bCs/>
        </w:rPr>
        <w:t xml:space="preserve">Regulator relationship verification:</w:t>
      </w:r>
      <w:r>
        <w:t xml:space="preserve"> </w:t>
      </w:r>
      <w:r>
        <w:t xml:space="preserve">-</w:t>
      </w:r>
      <w:r>
        <w:t xml:space="preserve"> </w:t>
      </w:r>
      <w:r>
        <w:rPr>
          <w:b/>
          <w:bCs/>
        </w:rPr>
        <w:t xml:space="preserve">Request actual regulator contacts:</w:t>
      </w:r>
      <w:r>
        <w:t xml:space="preserve"> </w:t>
      </w:r>
      <w:r>
        <w:t xml:space="preserve">‘Put us in touch with your compliance lead at [target regulator]. We want a regulator reference, not just a license certificate.’</w:t>
      </w:r>
      <w:r>
        <w:t xml:space="preserve"> </w:t>
      </w:r>
      <w:r>
        <w:t xml:space="preserve">Platforms with real regulator relationships provide contacts readily. Those without relationships offer only legal counsel contacts.</w:t>
      </w:r>
    </w:p>
    <w:p>
      <w:pPr>
        <w:pStyle w:val="BodyText"/>
      </w:pPr>
      <w:r>
        <w:rPr>
          <w:b/>
          <w:bCs/>
        </w:rPr>
        <w:t xml:space="preserve">Regulatory change responsiveness:</w:t>
      </w:r>
      <w:r>
        <w:t xml:space="preserve"> </w:t>
      </w:r>
      <w:r>
        <w:t xml:space="preserve">-</w:t>
      </w:r>
      <w:r>
        <w:t xml:space="preserve"> </w:t>
      </w:r>
      <w:r>
        <w:rPr>
          <w:b/>
          <w:bCs/>
        </w:rPr>
        <w:t xml:space="preserve">Test adaptation timeline:</w:t>
      </w:r>
      <w:r>
        <w:t xml:space="preserve"> </w:t>
      </w:r>
      <w:r>
        <w:t xml:space="preserve">‘When [target market] updates RG requirements, how long from regulator publication to your platform supporting them?’</w:t>
      </w:r>
      <w:r>
        <w:t xml:space="preserve"> </w:t>
      </w:r>
      <w:r>
        <w:t xml:space="preserve">Proactive platforms track regulatory changes and build updates automatically. Reactive platforms wait for client requests and charge for custom development.</w:t>
      </w:r>
    </w:p>
    <w:bookmarkEnd w:id="35"/>
    <w:bookmarkStart w:id="42" w:name="common-questions"/>
    <w:p>
      <w:pPr>
        <w:pStyle w:val="Heading2"/>
      </w:pPr>
      <w:r>
        <w:t xml:space="preserve">Common Questions</w:t>
      </w:r>
    </w:p>
    <w:bookmarkStart w:id="36" w:name="X096cae8a3c31e8595b5a79eb3bb04fd3b1498b3"/>
    <w:p>
      <w:pPr>
        <w:pStyle w:val="Heading3"/>
      </w:pPr>
      <w:r>
        <w:t xml:space="preserve">What is the best casino platform for regulated markets?</w:t>
      </w:r>
    </w:p>
    <w:p>
      <w:pPr>
        <w:pStyle w:val="FirstParagraph"/>
      </w:pPr>
      <w:r>
        <w:t xml:space="preserve">Playtech leads with over 170 licenses and automated compliance reporting, spanning 25 years of regulatory operations. Their IMS platform generates regulator-ready reports automatically and maintains jurisdiction-specific responsible gaming tools. EveryMatrix offers strong modular compliance for European markets. SOFTSWISS handles crypto-fiat hybrid scenarios while maintaining MGA licensing and 24-jurisdiction coverage.</w:t>
      </w:r>
    </w:p>
    <w:bookmarkEnd w:id="36"/>
    <w:bookmarkStart w:id="37" w:name="X507f72f81853dfb701e9633f72c0a20706429b5"/>
    <w:p>
      <w:pPr>
        <w:pStyle w:val="Heading3"/>
      </w:pPr>
      <w:r>
        <w:t xml:space="preserve">Which casino platforms are licensed for regulated markets?</w:t>
      </w:r>
    </w:p>
    <w:p>
      <w:pPr>
        <w:pStyle w:val="FirstParagraph"/>
      </w:pPr>
      <w:r>
        <w:t xml:space="preserve">All major platforms hold MGA licenses for European passporting. Playtech operates across 170+ jurisdictions including UK, Germany, Sweden, Netherlands, and multiple US states. EveryMatrix covers core European markets strategically. SOFTSWISS holds MGA plus 24 jurisdictions with crypto capabilities. BetConstruct prepared early for Brazil’s 2026 framework with PIX integration and Portuguese compliance modules.</w:t>
      </w:r>
    </w:p>
    <w:bookmarkEnd w:id="37"/>
    <w:bookmarkStart w:id="38" w:name="Xa929c950fec3e14c29913a2fcbee878f91d1a24"/>
    <w:p>
      <w:pPr>
        <w:pStyle w:val="Heading3"/>
      </w:pPr>
      <w:r>
        <w:t xml:space="preserve">What casino platform has the best regulatory coverage?</w:t>
      </w:r>
    </w:p>
    <w:p>
      <w:pPr>
        <w:pStyle w:val="FirstParagraph"/>
      </w:pPr>
      <w:r>
        <w:t xml:space="preserve">Playtech maintains the deepest license portfolio: over 170 jurisdictions and 25 years of renewal track record. They’ve kept clients operational through major regulatory transitions in UK, Germany, and Sweden. EveryMatrix focuses on fewer markets with deeper compliance rather than broad coverage. SOFTSWISS combines traditional licensing with crypto compliance for hybrid markets.</w:t>
      </w:r>
    </w:p>
    <w:bookmarkEnd w:id="38"/>
    <w:bookmarkStart w:id="39" w:name="Xdb52bca49e43bfa04f974635e432060b2016170"/>
    <w:p>
      <w:pPr>
        <w:pStyle w:val="Heading3"/>
      </w:pPr>
      <w:r>
        <w:t xml:space="preserve">How do I choose a casino platform for a newly regulated market?</w:t>
      </w:r>
    </w:p>
    <w:p>
      <w:pPr>
        <w:pStyle w:val="FirstParagraph"/>
      </w:pPr>
      <w:r>
        <w:t xml:space="preserve">Focus on platforms with early preparation for your target market. Request specific license numbers, renewal dates, and compliance officer contacts. Verify automated regulator reporting, jurisdiction-specific responsible gaming tools, and RGS certification coverage. Ask for regulator references, not just license certificates. BetConstruct prepared early for Brazil 2026, while established platforms like Playtech handle regulatory transitions smoothly.</w:t>
      </w:r>
    </w:p>
    <w:bookmarkEnd w:id="39"/>
    <w:bookmarkStart w:id="40" w:name="X8bcc12b05dbe981edbfeffbe5e790e4d6a2bd4c"/>
    <w:p>
      <w:pPr>
        <w:pStyle w:val="Heading3"/>
      </w:pPr>
      <w:r>
        <w:t xml:space="preserve">Which casino platform has the best provider aggregation and content release speed?</w:t>
      </w:r>
    </w:p>
    <w:p>
      <w:pPr>
        <w:pStyle w:val="FirstParagraph"/>
      </w:pPr>
      <w:r>
        <w:t xml:space="preserve">EveryMatrix CasinoEngine aggregates over 12,500 games from over 250 providers with extensive RGS certification across regulated markets. Playtech maintains complete certification coverage for their content library per jurisdiction. SOFTSWISS ensures RGS compliance before content integration across 24 regulated markets. Certification gaps create launch delays and competitive disadvantages in content availability.</w:t>
      </w:r>
    </w:p>
    <w:bookmarkEnd w:id="40"/>
    <w:bookmarkStart w:id="41" w:name="X0d6964e5b3a407a614a1c8c79699695859e786b"/>
    <w:p>
      <w:pPr>
        <w:pStyle w:val="Heading3"/>
      </w:pPr>
      <w:r>
        <w:t xml:space="preserve">How long does casino platform integration take?</w:t>
      </w:r>
    </w:p>
    <w:p>
      <w:pPr>
        <w:pStyle w:val="FirstParagraph"/>
      </w:pPr>
      <w:r>
        <w:t xml:space="preserve">Compliance adds four to eight weeks to basic platform integration. This is for licensing notifications, RGS certifications, and regulator testing requirements. Platforms built for regulated markets like Playtech and EveryMatrix include compliance workflows in standard integration. Platforms retrofitted for compliance require additional certification projects that extend timelines significantly beyond basic technical integration.</w:t>
      </w:r>
    </w:p>
    <w:bookmarkEnd w:id="41"/>
    <w:bookmarkEnd w:id="42"/>
    <w:bookmarkStart w:id="43" w:name="choosing-your-regulated-market-platform"/>
    <w:p>
      <w:pPr>
        <w:pStyle w:val="Heading2"/>
      </w:pPr>
      <w:r>
        <w:t xml:space="preserve">Choosing Your Regulated Market Platform</w:t>
      </w:r>
    </w:p>
    <w:p>
      <w:pPr>
        <w:pStyle w:val="FirstParagraph"/>
      </w:pPr>
      <w:r>
        <w:t xml:space="preserve">Platform selection for regulated markets requires balancing compliance depth with operational flexibility. Enterprise operators targeting multiple jurisdictions benefit from Playtech’s comprehensive compliance infrastructure despite higher costs and operational complexity. Multi-market European operators should evaluate EveryMatrix for modular compliance that adapts to different regulatory requirements.</w:t>
      </w:r>
    </w:p>
    <w:p>
      <w:pPr>
        <w:pStyle w:val="BodyText"/>
      </w:pPr>
      <w:r>
        <w:t xml:space="preserve">Crypto-native operators entering regulated markets have a clear choice in SOFTSWISS. It handles the complex scenario where cryptocurrency meets traditional gambling regulation. Operators entering emerging markets like Brazil should consider BetConstruct’s early preparation including PIX integration and Portuguese compliance modules.</w:t>
      </w:r>
    </w:p>
    <w:p>
      <w:pPr>
        <w:pStyle w:val="BodyText"/>
      </w:pPr>
      <w:r>
        <w:rPr>
          <w:b/>
          <w:bCs/>
        </w:rPr>
        <w:t xml:space="preserve">For the full platform comparison across all dimensions including game aggregation, payment flexibility, and gamification tools, see our</w:t>
      </w:r>
      <w:r>
        <w:rPr>
          <w:b/>
          <w:bCs/>
        </w:rPr>
        <w:t xml:space="preserve"> </w:t>
      </w:r>
      <w:hyperlink r:id="rId9">
        <w:r>
          <w:rPr>
            <w:rStyle w:val="Hyperlink"/>
            <w:b/>
            <w:bCs/>
          </w:rPr>
          <w:t xml:space="preserve">complete casino platforms guide</w:t>
        </w:r>
      </w:hyperlink>
      <w:r>
        <w:rPr>
          <w:b/>
          <w:bCs/>
        </w:rPr>
        <w:t xml:space="preserve">.</w:t>
      </w:r>
    </w:p>
    <w:p>
      <w:pPr>
        <w:pStyle w:val="BodyText"/>
      </w:pPr>
      <w:r>
        <w:rPr>
          <w:b/>
          <w:bCs/>
        </w:rPr>
        <w:t xml:space="preserve">Take concrete action:</w:t>
      </w:r>
      <w:r>
        <w:t xml:space="preserve"> </w:t>
      </w:r>
      <w:r>
        <w:t xml:space="preserve">request sandbox access from your top two platform choices. Test their compliance workflows with actual regulatory scenarios from your target markets. Verify that automated compliance tools generate reports that match regulator requirements rather than generic compliance documentation.</w:t>
      </w:r>
    </w:p>
    <w:p>
      <w:pPr>
        <w:pStyle w:val="BodyText"/>
      </w:pPr>
      <w:r>
        <w:rPr>
          <w:b/>
          <w:bCs/>
        </w:rPr>
        <w:t xml:space="preserve">Explore regulated market platforms:</w:t>
      </w:r>
      <w:r>
        <w:t xml:space="preserve"> </w:t>
      </w:r>
      <w:r>
        <w:t xml:space="preserve">Browse our</w:t>
      </w:r>
      <w:r>
        <w:t xml:space="preserve"> </w:t>
      </w:r>
      <w:hyperlink r:id="rId32">
        <w:r>
          <w:rPr>
            <w:rStyle w:val="Hyperlink"/>
          </w:rPr>
          <w:t xml:space="preserve">directory of casino platform providers</w:t>
        </w:r>
      </w:hyperlink>
      <w:r>
        <w:t xml:space="preserve"> </w:t>
      </w:r>
      <w:r>
        <w:t xml:space="preserve">for detailed profiles, licensing information, and operator reviews. Share your experience with regulated market compliance to help other operators make informed decisions.</w:t>
      </w:r>
    </w:p>
    <w:p>
      <w:pPr>
        <w:pStyle w:val="BodyText"/>
      </w:pPr>
      <w:r>
        <w:rPr>
          <w:i/>
          <w:iCs/>
        </w:rPr>
        <w:t xml:space="preserve">Last verified: June 2, 2026. OnlyiGaming maintains editorial independence and receives no compensation from platform providers for coverage decisions or recommendations.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uides/best-casino-platforms-2026" TargetMode="External" /><Relationship Type="http://schemas.openxmlformats.org/officeDocument/2006/relationships/hyperlink" Id="rId13" Target="https://onlyigaming.com/companies/betconstruct" TargetMode="External" /><Relationship Type="http://schemas.openxmlformats.org/officeDocument/2006/relationships/hyperlink" Id="rId11" Target="https://onlyigaming.com/companies/everymatrix" TargetMode="External" /><Relationship Type="http://schemas.openxmlformats.org/officeDocument/2006/relationships/hyperlink" Id="rId30" Target="https://onlyigaming.com/companies/kambi" TargetMode="External" /><Relationship Type="http://schemas.openxmlformats.org/officeDocument/2006/relationships/hyperlink" Id="rId31" Target="https://onlyigaming.com/companies/nuxgame" TargetMode="External" /><Relationship Type="http://schemas.openxmlformats.org/officeDocument/2006/relationships/hyperlink" Id="rId10" Target="https://onlyigaming.com/companies/playtech" TargetMode="External" /><Relationship Type="http://schemas.openxmlformats.org/officeDocument/2006/relationships/hyperlink" Id="rId14" Target="https://onlyigaming.com/companies/pragmatic-solutions" TargetMode="External" /><Relationship Type="http://schemas.openxmlformats.org/officeDocument/2006/relationships/hyperlink" Id="rId29" Target="https://onlyigaming.com/companies/slotegrator" TargetMode="External" /><Relationship Type="http://schemas.openxmlformats.org/officeDocument/2006/relationships/hyperlink" Id="rId15" Target="https://onlyigaming.com/companies/soft2bet" TargetMode="External" /><Relationship Type="http://schemas.openxmlformats.org/officeDocument/2006/relationships/hyperlink" Id="rId12" Target="https://onlyigaming.com/companies/softswiss" TargetMode="External" /><Relationship Type="http://schemas.openxmlformats.org/officeDocument/2006/relationships/hyperlink" Id="rId32" Target="https://onlyigaming.com/companies?category=casino-platforms" TargetMode="External" /></Relationships>
</file>

<file path=word/_rels/footnotes.xml.rels><?xml version="1.0" encoding="UTF-8"?><Relationships xmlns="http://schemas.openxmlformats.org/package/2006/relationships"><Relationship Type="http://schemas.openxmlformats.org/officeDocument/2006/relationships/hyperlink" Id="rId9" Target="/guides/best-casino-platforms-2026" TargetMode="External" /><Relationship Type="http://schemas.openxmlformats.org/officeDocument/2006/relationships/hyperlink" Id="rId13" Target="https://onlyigaming.com/companies/betconstruct" TargetMode="External" /><Relationship Type="http://schemas.openxmlformats.org/officeDocument/2006/relationships/hyperlink" Id="rId11" Target="https://onlyigaming.com/companies/everymatrix" TargetMode="External" /><Relationship Type="http://schemas.openxmlformats.org/officeDocument/2006/relationships/hyperlink" Id="rId30" Target="https://onlyigaming.com/companies/kambi" TargetMode="External" /><Relationship Type="http://schemas.openxmlformats.org/officeDocument/2006/relationships/hyperlink" Id="rId31" Target="https://onlyigaming.com/companies/nuxgame" TargetMode="External" /><Relationship Type="http://schemas.openxmlformats.org/officeDocument/2006/relationships/hyperlink" Id="rId10" Target="https://onlyigaming.com/companies/playtech" TargetMode="External" /><Relationship Type="http://schemas.openxmlformats.org/officeDocument/2006/relationships/hyperlink" Id="rId14" Target="https://onlyigaming.com/companies/pragmatic-solutions" TargetMode="External" /><Relationship Type="http://schemas.openxmlformats.org/officeDocument/2006/relationships/hyperlink" Id="rId29" Target="https://onlyigaming.com/companies/slotegrator" TargetMode="External" /><Relationship Type="http://schemas.openxmlformats.org/officeDocument/2006/relationships/hyperlink" Id="rId15" Target="https://onlyigaming.com/companies/soft2bet" TargetMode="External" /><Relationship Type="http://schemas.openxmlformats.org/officeDocument/2006/relationships/hyperlink" Id="rId12" Target="https://onlyigaming.com/companies/softswiss" TargetMode="External" /><Relationship Type="http://schemas.openxmlformats.org/officeDocument/2006/relationships/hyperlink" Id="rId32" Target="https://onlyigaming.com/companies?category=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Casino Platforms for Regulated Markets in 2026</dc:title>
  <dc:creator>OnlyiGaming Editorial</dc:creator>
  <cp:category>Guides</cp:category>
  <cp:keywords/>
  <dcterms:created xsi:type="dcterms:W3CDTF">2026-06-03T07:26:48Z</dcterms:created>
  <dcterms:modified xsi:type="dcterms:W3CDTF">2026-06-03T07:26:48Z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Best Casino Platforms for Regulated Markets</vt:lpwstr>
  </property>
  <property fmtid="{D5CDD505-2E9C-101B-9397-08002B2CF9AE}" pid="3" name="card_subheadline">
    <vt:lpwstr>Compare platforms by license depth, compliance automation, responsible gaming tools, and regulator relationships. Built for operators in regulated jurisdictions.</vt:lpwstr>
  </property>
  <property fmtid="{D5CDD505-2E9C-101B-9397-08002B2CF9AE}" pid="4" name="date">
    <vt:lpwstr>2026-06-02</vt:lpwstr>
  </property>
  <property fmtid="{D5CDD505-2E9C-101B-9397-08002B2CF9AE}" pid="5" name="faq_schema">
    <vt:lpwstr>True</vt:lpwstr>
  </property>
  <property fmtid="{D5CDD505-2E9C-101B-9397-08002B2CF9AE}" pid="6" name="last_updated">
    <vt:lpwstr>2026-06-02</vt:lpwstr>
  </property>
  <property fmtid="{D5CDD505-2E9C-101B-9397-08002B2CF9AE}" pid="7" name="last_verified">
    <vt:lpwstr>2026-06-02</vt:lpwstr>
  </property>
  <property fmtid="{D5CDD505-2E9C-101B-9397-08002B2CF9AE}" pid="8" name="meta_description">
    <vt:lpwstr>Find the best casino platform for regulated markets. Compare license portfolios, compliance tools, RGS certifications, and regulator relationships for operators in 2026.</vt:lpwstr>
  </property>
  <property fmtid="{D5CDD505-2E9C-101B-9397-08002B2CF9AE}" pid="9" name="meta_title">
    <vt:lpwstr>Best Regulated Casino Platform Software 2026 | OnlyiGaming</vt:lpwstr>
  </property>
  <property fmtid="{D5CDD505-2E9C-101B-9397-08002B2CF9AE}" pid="10" name="parent_pillar">
    <vt:lpwstr>/guides/best-casino-platforms-2026</vt:lpwstr>
  </property>
  <property fmtid="{D5CDD505-2E9C-101B-9397-08002B2CF9AE}" pid="11" name="primary_keyword">
    <vt:lpwstr>best casino platform for regulated markets</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casino-platforms-best-for-regulated-markets</vt:lpwstr>
  </property>
  <property fmtid="{D5CDD505-2E9C-101B-9397-08002B2CF9AE}" pid="16" name="type">
    <vt:lpwstr>satellite-best-for</vt:lpwstr>
  </property>
</Properties>
</file>