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BetConstruct vs Playtech: Head-to-Head Casino Platform Comparison</w:t>
      </w:r>
    </w:p>
    <w:p>
      <w:pPr>
        <w:pStyle w:val="Author"/>
      </w:pPr>
      <w:r>
        <w:t xml:space="preserve">OnlyiGaming Editorial</w:t>
      </w:r>
    </w:p>
    <w:p>
      <w:pPr>
        <w:pStyle w:val="Date"/>
      </w:pPr>
      <w:r>
        <w:t xml:space="preserve">2026-06-02</w:t>
      </w:r>
    </w:p>
    <w:p>
      <w:pPr>
        <w:pStyle w:val="FirstParagraph"/>
      </w:pPr>
      <w:r>
        <w:t xml:space="preserve">You’re choosing between</w:t>
      </w:r>
      <w:r>
        <w:t xml:space="preserve"> </w:t>
      </w:r>
      <w:hyperlink r:id="rId9">
        <w:r>
          <w:rPr>
            <w:rStyle w:val="Hyperlink"/>
          </w:rPr>
          <w:t xml:space="preserve">BetConstruct</w:t>
        </w:r>
      </w:hyperlink>
      <w:r>
        <w:t xml:space="preserve"> </w:t>
      </w:r>
      <w:r>
        <w:t xml:space="preserve">and</w:t>
      </w:r>
      <w:r>
        <w:t xml:space="preserve"> </w:t>
      </w:r>
      <w:hyperlink r:id="rId10">
        <w:r>
          <w:rPr>
            <w:rStyle w:val="Hyperlink"/>
          </w:rPr>
          <w:t xml:space="preserve">Playtech</w:t>
        </w:r>
      </w:hyperlink>
      <w:r>
        <w:t xml:space="preserve"> </w:t>
      </w:r>
      <w:r>
        <w:t xml:space="preserve">for your casino platform. Picking between BetConstruct and Playtech for your casino platform means deciding if you want unified simplicity or enterprise depth. BetConstruct’s Spring Platform aims to give operators everything they need under one roof: sports, casino, payments, and support from a single vendor. Playtech’s IMS platform, however, targets enterprise operators who need robust regulatory coverage across numerous jurisdictions. It holds over 170 licenses, even if that means navigating some serious enterprise-grade complexity.</w:t>
      </w:r>
    </w:p>
    <w:p>
      <w:pPr>
        <w:pStyle w:val="BodyText"/>
      </w:pPr>
      <w:r>
        <w:t xml:space="preserve">The choice comes down to your operational priorities. Do you value simplicity and speed, or regulatory depth and proven compliance? Are you launching in emerging markets where BetConstruct has prepared Brazil-specific modules, or entering highly regulated European jurisdictions where Playtech’s 25-year track record matters more than modern architecture?</w:t>
      </w:r>
    </w:p>
    <w:p>
      <w:pPr>
        <w:pStyle w:val="BodyText"/>
      </w:pPr>
      <w:r>
        <w:t xml:space="preserve">This comparison focuses on operators who’ve already shortlisted these two platforms. If you’re still evaluating the broader casino platform market, see our</w:t>
      </w:r>
      <w:r>
        <w:t xml:space="preserve"> </w:t>
      </w:r>
      <w:hyperlink r:id="rId11">
        <w:r>
          <w:rPr>
            <w:rStyle w:val="Hyperlink"/>
          </w:rPr>
          <w:t xml:space="preserve">complete casino platform guide</w:t>
        </w:r>
      </w:hyperlink>
      <w:r>
        <w:t xml:space="preserve"> </w:t>
      </w:r>
      <w:r>
        <w:t xml:space="preserve">for 12 platform comparisons across modular, turnkey, and specialized providers.</w:t>
      </w:r>
    </w:p>
    <w:p>
      <w:pPr>
        <w:pStyle w:val="BlockText"/>
      </w:pPr>
      <w:r>
        <w:rPr>
          <w:b/>
          <w:bCs/>
        </w:rPr>
        <w:t xml:space="preserve">Choose BetConstruct if you want single-vendor simplicity with cross-product integration between sports and casino, rapid deployment in emerging markets, or modern architecture without enterprise bureaucracy.</w:t>
      </w:r>
    </w:p>
    <w:p>
      <w:pPr>
        <w:pStyle w:val="BlockText"/>
      </w:pPr>
      <w:r>
        <w:rPr>
          <w:b/>
          <w:bCs/>
        </w:rPr>
        <w:t xml:space="preserve">Choose Playtech if you need maximum regulatory coverage across established jurisdictions, enterprise-grade compliance workflows, or proven stability for high-volume operations.</w:t>
      </w:r>
    </w:p>
    <w:p>
      <w:pPr>
        <w:pStyle w:val="BlockText"/>
      </w:pPr>
      <w:r>
        <w:rPr>
          <w:b/>
          <w:bCs/>
        </w:rPr>
        <w:t xml:space="preserve">Consider neither if you need modular flexibility to swap platform components, crypto-native operations, or developer-first API architecture - look at EveryMatrix or SOFTSWISS instead.</w:t>
      </w:r>
    </w:p>
    <w:bookmarkStart w:id="12" w:name="side-by-side-comparison"/>
    <w:p>
      <w:pPr>
        <w:pStyle w:val="Heading2"/>
      </w:pPr>
      <w:r>
        <w:t xml:space="preserve">Side-by-Side Comparison</w:t>
      </w:r>
    </w:p>
    <w:tbl>
      <w:tblPr>
        <w:tblStyle w:val="Table"/>
        <w:tblW w:type="pct" w:w="5000"/>
        <w:tblLayout w:type="fixed"/>
        <w:tblLook w:firstRow="1" w:lastRow="0" w:firstColumn="0" w:lastColumn="0" w:noHBand="0" w:noVBand="0" w:val="0020"/>
      </w:tblPr>
      <w:tblGrid>
        <w:gridCol w:w="2026"/>
        <w:gridCol w:w="2394"/>
        <w:gridCol w:w="1841"/>
        <w:gridCol w:w="1657"/>
      </w:tblGrid>
      <w:tr>
        <w:trPr>
          <w:tblHeader w:val="on"/>
        </w:trPr>
        <w:tc>
          <w:tcPr/>
          <w:p>
            <w:pPr>
              <w:pStyle w:val="Compact"/>
            </w:pPr>
            <w:r>
              <w:t xml:space="preserve">Dimension</w:t>
            </w:r>
          </w:p>
        </w:tc>
        <w:tc>
          <w:tcPr/>
          <w:p>
            <w:pPr>
              <w:pStyle w:val="Compact"/>
            </w:pPr>
            <w:r>
              <w:t xml:space="preserve">BetConstruct</w:t>
            </w:r>
          </w:p>
        </w:tc>
        <w:tc>
          <w:tcPr/>
          <w:p>
            <w:pPr>
              <w:pStyle w:val="Compact"/>
            </w:pPr>
            <w:r>
              <w:t xml:space="preserve">Playtech</w:t>
            </w:r>
          </w:p>
        </w:tc>
        <w:tc>
          <w:tcPr/>
          <w:p>
            <w:pPr>
              <w:pStyle w:val="Compact"/>
            </w:pPr>
            <w:r>
              <w:t xml:space="preserve">Winner</w:t>
            </w:r>
          </w:p>
        </w:tc>
      </w:tr>
      <w:tr>
        <w:tc>
          <w:tcPr/>
          <w:p>
            <w:pPr>
              <w:pStyle w:val="Compact"/>
            </w:pPr>
            <w:r>
              <w:t xml:space="preserve">Game Library</w:t>
            </w:r>
          </w:p>
        </w:tc>
        <w:tc>
          <w:tcPr/>
          <w:p>
            <w:pPr>
              <w:pStyle w:val="Compact"/>
            </w:pPr>
            <w:r>
              <w:t xml:space="preserve">45,000+ games (according to BetConstruct)</w:t>
            </w:r>
          </w:p>
        </w:tc>
        <w:tc>
          <w:tcPr/>
          <w:p>
            <w:pPr>
              <w:pStyle w:val="Compact"/>
            </w:pPr>
            <w:r>
              <w:t xml:space="preserve">1,000+ (focused curation)</w:t>
            </w:r>
          </w:p>
        </w:tc>
        <w:tc>
          <w:tcPr/>
          <w:p>
            <w:pPr>
              <w:pStyle w:val="Compact"/>
            </w:pPr>
            <w:r>
              <w:t xml:space="preserve">BetConstruct (volume)</w:t>
            </w:r>
          </w:p>
        </w:tc>
      </w:tr>
      <w:tr>
        <w:tc>
          <w:tcPr/>
          <w:p>
            <w:pPr>
              <w:pStyle w:val="Compact"/>
            </w:pPr>
            <w:r>
              <w:t xml:space="preserve">Regulatory Coverage</w:t>
            </w:r>
          </w:p>
        </w:tc>
        <w:tc>
          <w:tcPr/>
          <w:p>
            <w:pPr>
              <w:pStyle w:val="Compact"/>
            </w:pPr>
            <w:r>
              <w:t xml:space="preserve">30+ jurisdictions including emerging</w:t>
            </w:r>
          </w:p>
        </w:tc>
        <w:tc>
          <w:tcPr/>
          <w:p>
            <w:pPr>
              <w:pStyle w:val="Compact"/>
            </w:pPr>
            <w:r>
              <w:t xml:space="preserve">170+ licenses, 25+ years</w:t>
            </w:r>
          </w:p>
        </w:tc>
        <w:tc>
          <w:tcPr/>
          <w:p>
            <w:pPr>
              <w:pStyle w:val="Compact"/>
            </w:pPr>
            <w:r>
              <w:t xml:space="preserve">Playtech</w:t>
            </w:r>
          </w:p>
        </w:tc>
      </w:tr>
      <w:tr>
        <w:tc>
          <w:tcPr/>
          <w:p>
            <w:pPr>
              <w:pStyle w:val="Compact"/>
            </w:pPr>
            <w:r>
              <w:t xml:space="preserve">Integration Approach</w:t>
            </w:r>
          </w:p>
        </w:tc>
        <w:tc>
          <w:tcPr/>
          <w:p>
            <w:pPr>
              <w:pStyle w:val="Compact"/>
            </w:pPr>
            <w:r>
              <w:t xml:space="preserve">All-in-one Spring Platform</w:t>
            </w:r>
          </w:p>
        </w:tc>
        <w:tc>
          <w:tcPr/>
          <w:p>
            <w:pPr>
              <w:pStyle w:val="Compact"/>
            </w:pPr>
            <w:r>
              <w:t xml:space="preserve">Enterprise IMS deployment</w:t>
            </w:r>
          </w:p>
        </w:tc>
        <w:tc>
          <w:tcPr/>
          <w:p>
            <w:pPr>
              <w:pStyle w:val="Compact"/>
            </w:pPr>
            <w:r>
              <w:t xml:space="preserve">Depends (complexity)</w:t>
            </w:r>
          </w:p>
        </w:tc>
      </w:tr>
      <w:tr>
        <w:tc>
          <w:tcPr/>
          <w:p>
            <w:pPr>
              <w:pStyle w:val="Compact"/>
            </w:pPr>
            <w:r>
              <w:t xml:space="preserve">Speed to Market</w:t>
            </w:r>
          </w:p>
        </w:tc>
        <w:tc>
          <w:tcPr/>
          <w:p>
            <w:pPr>
              <w:pStyle w:val="Compact"/>
            </w:pPr>
            <w:r>
              <w:t xml:space="preserve">Typically 4-8 weeks turnkey</w:t>
            </w:r>
          </w:p>
        </w:tc>
        <w:tc>
          <w:tcPr/>
          <w:p>
            <w:pPr>
              <w:pStyle w:val="Compact"/>
            </w:pPr>
            <w:r>
              <w:t xml:space="preserve">16-20 weeks minimum</w:t>
            </w:r>
          </w:p>
        </w:tc>
        <w:tc>
          <w:tcPr/>
          <w:p>
            <w:pPr>
              <w:pStyle w:val="Compact"/>
            </w:pPr>
            <w:r>
              <w:t xml:space="preserve">BetConstruct</w:t>
            </w:r>
          </w:p>
        </w:tc>
      </w:tr>
      <w:tr>
        <w:tc>
          <w:tcPr/>
          <w:p>
            <w:pPr>
              <w:pStyle w:val="Compact"/>
            </w:pPr>
            <w:r>
              <w:t xml:space="preserve">Payment Flexibility</w:t>
            </w:r>
          </w:p>
        </w:tc>
        <w:tc>
          <w:tcPr/>
          <w:p>
            <w:pPr>
              <w:pStyle w:val="Compact"/>
            </w:pPr>
            <w:r>
              <w:t xml:space="preserve">Spring-integrated processing</w:t>
            </w:r>
          </w:p>
        </w:tc>
        <w:tc>
          <w:tcPr/>
          <w:p>
            <w:pPr>
              <w:pStyle w:val="Compact"/>
            </w:pPr>
            <w:r>
              <w:t xml:space="preserve">Enterprise payment workflows</w:t>
            </w:r>
          </w:p>
        </w:tc>
        <w:tc>
          <w:tcPr/>
          <w:p>
            <w:pPr>
              <w:pStyle w:val="Compact"/>
            </w:pPr>
            <w:r>
              <w:t xml:space="preserve">Depends (scale)</w:t>
            </w:r>
          </w:p>
        </w:tc>
      </w:tr>
      <w:tr>
        <w:tc>
          <w:tcPr/>
          <w:p>
            <w:pPr>
              <w:pStyle w:val="Compact"/>
            </w:pPr>
            <w:r>
              <w:t xml:space="preserve">API Quality</w:t>
            </w:r>
          </w:p>
        </w:tc>
        <w:tc>
          <w:tcPr/>
          <w:p>
            <w:pPr>
              <w:pStyle w:val="Compact"/>
            </w:pPr>
            <w:r>
              <w:t xml:space="preserve">Functional, Spring-optimized</w:t>
            </w:r>
          </w:p>
        </w:tc>
        <w:tc>
          <w:tcPr/>
          <w:p>
            <w:pPr>
              <w:pStyle w:val="Compact"/>
            </w:pPr>
            <w:r>
              <w:t xml:space="preserve">Enterprise REST/SOAP</w:t>
            </w:r>
          </w:p>
        </w:tc>
        <w:tc>
          <w:tcPr/>
          <w:p>
            <w:pPr>
              <w:pStyle w:val="Compact"/>
            </w:pPr>
            <w:r>
              <w:t xml:space="preserve">Playtech</w:t>
            </w:r>
          </w:p>
        </w:tc>
      </w:tr>
      <w:tr>
        <w:tc>
          <w:tcPr/>
          <w:p>
            <w:pPr>
              <w:pStyle w:val="Compact"/>
            </w:pPr>
            <w:r>
              <w:t xml:space="preserve">Cross-Product Features</w:t>
            </w:r>
          </w:p>
        </w:tc>
        <w:tc>
          <w:tcPr/>
          <w:p>
            <w:pPr>
              <w:pStyle w:val="Compact"/>
            </w:pPr>
            <w:r>
              <w:t xml:space="preserve">Native sports-casino integration</w:t>
            </w:r>
          </w:p>
        </w:tc>
        <w:tc>
          <w:tcPr/>
          <w:p>
            <w:pPr>
              <w:pStyle w:val="Compact"/>
            </w:pPr>
            <w:r>
              <w:t xml:space="preserve">Separate product licensing</w:t>
            </w:r>
          </w:p>
        </w:tc>
        <w:tc>
          <w:tcPr/>
          <w:p>
            <w:pPr>
              <w:pStyle w:val="Compact"/>
            </w:pPr>
            <w:r>
              <w:t xml:space="preserve">BetConstruct</w:t>
            </w:r>
          </w:p>
        </w:tc>
      </w:tr>
      <w:tr>
        <w:tc>
          <w:tcPr/>
          <w:p>
            <w:pPr>
              <w:pStyle w:val="Compact"/>
            </w:pPr>
            <w:r>
              <w:t xml:space="preserve">Brazil 2026 Readiness</w:t>
            </w:r>
          </w:p>
        </w:tc>
        <w:tc>
          <w:tcPr/>
          <w:p>
            <w:pPr>
              <w:pStyle w:val="Compact"/>
            </w:pPr>
            <w:r>
              <w:t xml:space="preserve">PIX integration, Portuguese localization</w:t>
            </w:r>
          </w:p>
        </w:tc>
        <w:tc>
          <w:tcPr/>
          <w:p>
            <w:pPr>
              <w:pStyle w:val="Compact"/>
            </w:pPr>
            <w:r>
              <w:t xml:space="preserve">Traditional compliance approach</w:t>
            </w:r>
          </w:p>
        </w:tc>
        <w:tc>
          <w:tcPr/>
          <w:p>
            <w:pPr>
              <w:pStyle w:val="Compact"/>
            </w:pPr>
            <w:r>
              <w:t xml:space="preserve">BetConstruct</w:t>
            </w:r>
          </w:p>
        </w:tc>
      </w:tr>
      <w:tr>
        <w:tc>
          <w:tcPr/>
          <w:p>
            <w:pPr>
              <w:pStyle w:val="Compact"/>
            </w:pPr>
            <w:r>
              <w:t xml:space="preserve">Pricing Model</w:t>
            </w:r>
          </w:p>
        </w:tc>
        <w:tc>
          <w:tcPr/>
          <w:p>
            <w:pPr>
              <w:pStyle w:val="Compact"/>
            </w:pPr>
            <w:r>
              <w:t xml:space="preserve">Revenue-share preferred</w:t>
            </w:r>
          </w:p>
        </w:tc>
        <w:tc>
          <w:tcPr/>
          <w:p>
            <w:pPr>
              <w:pStyle w:val="Compact"/>
            </w:pPr>
            <w:r>
              <w:t xml:space="preserve">License + revenue tiers</w:t>
            </w:r>
          </w:p>
        </w:tc>
        <w:tc>
          <w:tcPr/>
          <w:p>
            <w:pPr>
              <w:pStyle w:val="Compact"/>
            </w:pPr>
            <w:r>
              <w:t xml:space="preserve">Depends (volume)</w:t>
            </w:r>
          </w:p>
        </w:tc>
      </w:tr>
      <w:tr>
        <w:tc>
          <w:tcPr/>
          <w:p>
            <w:pPr>
              <w:pStyle w:val="Compact"/>
            </w:pPr>
            <w:r>
              <w:t xml:space="preserve">Support Structure</w:t>
            </w:r>
          </w:p>
        </w:tc>
        <w:tc>
          <w:tcPr/>
          <w:p>
            <w:pPr>
              <w:pStyle w:val="Compact"/>
            </w:pPr>
            <w:r>
              <w:t xml:space="preserve">Direct vendor relationship</w:t>
            </w:r>
          </w:p>
        </w:tc>
        <w:tc>
          <w:tcPr/>
          <w:p>
            <w:pPr>
              <w:pStyle w:val="Compact"/>
            </w:pPr>
            <w:r>
              <w:t xml:space="preserve">Professional services model</w:t>
            </w:r>
          </w:p>
        </w:tc>
        <w:tc>
          <w:tcPr/>
          <w:p>
            <w:pPr>
              <w:pStyle w:val="Compact"/>
            </w:pPr>
            <w:r>
              <w:t xml:space="preserve">Depends (needs)</w:t>
            </w:r>
          </w:p>
        </w:tc>
      </w:tr>
    </w:tbl>
    <w:bookmarkEnd w:id="12"/>
    <w:bookmarkStart w:id="13" w:name="game-content-and-aggregation"/>
    <w:p>
      <w:pPr>
        <w:pStyle w:val="Heading2"/>
      </w:pPr>
      <w:r>
        <w:t xml:space="preserve">Game Content and Aggregation</w:t>
      </w:r>
    </w:p>
    <w:p>
      <w:pPr>
        <w:pStyle w:val="FirstParagraph"/>
      </w:pPr>
      <w:r>
        <w:t xml:space="preserve">BetConstruct offers an extensive library of over 45,000 casino games through their Spring Platform, including titles from 350+ providers. This aggregation appeals to operators looking for a single point of control for their content. Games, sports odds, live dealer, and poker all share the same backend infrastructure. The upside: unified player wallets and cross-product bonuses work without issues. The catch: you’re locked into their content deals and can’t cherry-pick specific game providers without affecting your entire content strategy.</w:t>
      </w:r>
    </w:p>
    <w:p>
      <w:pPr>
        <w:pStyle w:val="BodyText"/>
      </w:pPr>
      <w:r>
        <w:t xml:space="preserve">Their 2026 additions, including</w:t>
      </w:r>
      <w:r>
        <w:t xml:space="preserve"> </w:t>
      </w:r>
      <w:r>
        <w:t xml:space="preserve">“Choice Gaming”</w:t>
      </w:r>
      <w:r>
        <w:t xml:space="preserve"> </w:t>
      </w:r>
      <w:r>
        <w:t xml:space="preserve">and</w:t>
      </w:r>
      <w:r>
        <w:t xml:space="preserve"> </w:t>
      </w:r>
      <w:r>
        <w:t xml:space="preserve">“KISS AI Live Casino,”</w:t>
      </w:r>
      <w:r>
        <w:t xml:space="preserve"> </w:t>
      </w:r>
      <w:r>
        <w:t xml:space="preserve">highlight their investment in content innovation. However, operators report that content integration speed lags behind dedicated aggregators like Slotegrator. Adding a new game provider to Spring Platform requires platform-wide testing that can extend timelines.</w:t>
      </w:r>
    </w:p>
    <w:p>
      <w:pPr>
        <w:pStyle w:val="BodyText"/>
      </w:pPr>
      <w:r>
        <w:t xml:space="preserve">Playtech takes a different approach with roughly 1,000+ games focused on quality over quantity. Their in-house content includes Age of the Gods slots and live dealer tables that aren’t available elsewhere, giving Playtech operators exclusive content that can drive player acquisition. Their content partnerships prioritize major providers like NetEnt and Evolution rather than chasing long-tail studios.</w:t>
      </w:r>
    </w:p>
    <w:p>
      <w:pPr>
        <w:pStyle w:val="BodyText"/>
      </w:pPr>
      <w:r>
        <w:t xml:space="preserve">The tradeoff with Playtech’s focused approach: fewer games to choose from, but higher average revenue per game. Their content team has relationships spanning over 25 years, which often translates to better commercial terms for high-volume operators. Smaller operators, however, might find their content costs higher than aggregator-driven alternatives.</w:t>
      </w:r>
    </w:p>
    <w:p>
      <w:pPr>
        <w:pStyle w:val="BodyText"/>
      </w:pPr>
      <w:r>
        <w:rPr>
          <w:b/>
          <w:bCs/>
        </w:rPr>
        <w:t xml:space="preserve">Winner: BetConstruct</w:t>
      </w:r>
      <w:r>
        <w:t xml:space="preserve"> </w:t>
      </w:r>
      <w:r>
        <w:t xml:space="preserve">- for operators prioritizing content volume and cross-product integration. Playtech wins for operators who prefer curated content with exclusive titles.</w:t>
      </w:r>
    </w:p>
    <w:bookmarkEnd w:id="13"/>
    <w:bookmarkStart w:id="14" w:name="regulatory-coverage-and-compliance"/>
    <w:p>
      <w:pPr>
        <w:pStyle w:val="Heading2"/>
      </w:pPr>
      <w:r>
        <w:t xml:space="preserve">Regulatory Coverage and Compliance</w:t>
      </w:r>
    </w:p>
    <w:p>
      <w:pPr>
        <w:pStyle w:val="FirstParagraph"/>
      </w:pPr>
      <w:r>
        <w:t xml:space="preserve">Playtech dominates here without question. Over 170 licenses across 25+ years of operation means they’ve navigated every major regulatory change in iGaming history. Their IMS platform includes automated compliance reporting, jurisdiction-specific bonus restrictions, and responsible gaming workflows that meet the strictest European requirements. They powered the UK’s gambling expansion in 2005 and Germany’s 2021 market opening without operational hiccups. In a recent development, Playtech has expanded into Connecticut, marking its entry into the sixth regulated iGaming state in March 2026, further solidifying its US presence.</w:t>
      </w:r>
    </w:p>
    <w:p>
      <w:pPr>
        <w:pStyle w:val="BodyText"/>
      </w:pPr>
      <w:r>
        <w:t xml:space="preserve">The depth of their regulatory infrastructure shows in details most platforms miss. Their systems are designed to meet stringent regulatory requirements, including those of Swedish Spelinspektionen. Their bonus terms engine handles specific market restrictions such as Germany’s €1 spin limit. When GDPR launched in 2018, Playtech clients were compliant from day one because the infrastructure already existed.</w:t>
      </w:r>
    </w:p>
    <w:p>
      <w:pPr>
        <w:pStyle w:val="BodyText"/>
      </w:pPr>
      <w:r>
        <w:t xml:space="preserve">BetConstruct covers 30+ jurisdictions, including emerging ones where Playtech has limited presence. Their Brazil preparation for 2026 regulation includes PIX payment integration and Portuguese localization modules built specifically for Law 14.790/2023 requirements. BetConstruct also secured a B2B license in Nigeria in March 2026 and became the first iGaming company to offer both B2B and B2C licenses in Canada through its affiliate entity, YoLicense, in January 2026. They’ve expanded rapidly across Eastern European markets where other platforms struggle with local compliance nuances.</w:t>
      </w:r>
    </w:p>
    <w:p>
      <w:pPr>
        <w:pStyle w:val="BodyText"/>
      </w:pPr>
      <w:r>
        <w:t xml:space="preserve">However, in our assessment, BetConstruct’s regulatory approach is more reactive than proactive. They build compliance modules as markets open rather than maintaining the deep institutional knowledge that Playtech has accumulated. This works fine for emerging markets but creates gaps in established jurisdictions with complex requirements.</w:t>
      </w:r>
    </w:p>
    <w:p>
      <w:pPr>
        <w:pStyle w:val="BodyText"/>
      </w:pPr>
      <w:r>
        <w:rPr>
          <w:b/>
          <w:bCs/>
        </w:rPr>
        <w:t xml:space="preserve">Winner: Playtech</w:t>
      </w:r>
      <w:r>
        <w:t xml:space="preserve"> </w:t>
      </w:r>
      <w:r>
        <w:t xml:space="preserve">- regulatory depth and institutional compliance knowledge are unmatched. BetConstruct wins for emerging market agility.</w:t>
      </w:r>
    </w:p>
    <w:bookmarkEnd w:id="14"/>
    <w:bookmarkStart w:id="15" w:name="integration-architecture-and-api-quality"/>
    <w:p>
      <w:pPr>
        <w:pStyle w:val="Heading2"/>
      </w:pPr>
      <w:r>
        <w:t xml:space="preserve">Integration Architecture and API Quality</w:t>
      </w:r>
    </w:p>
    <w:p>
      <w:pPr>
        <w:pStyle w:val="FirstParagraph"/>
      </w:pPr>
      <w:r>
        <w:t xml:space="preserve">BetConstruct’s Spring Platform works best as an integrated suite rather than a collection of independent modules. Components share databases and business logic, which makes cross-product features powerful but platform swapping difficult. In our assessment, their API documentation is functional but optimized for their own ecosystem rather than third-party integrations.</w:t>
      </w:r>
    </w:p>
    <w:p>
      <w:pPr>
        <w:pStyle w:val="BodyText"/>
      </w:pPr>
      <w:r>
        <w:t xml:space="preserve">The Spring architecture assumes you want everything from BetConstruct. Payment processing, content aggregation, customer support, and even marketing tools all flow through their system. This reduces integration complexity significantly - one vendor relationship, one contract, one support contact. The downside: replacing any component often requires rebuilding adjacent systems because of shared dependencies.</w:t>
      </w:r>
    </w:p>
    <w:p>
      <w:pPr>
        <w:pStyle w:val="BodyText"/>
      </w:pPr>
      <w:r>
        <w:t xml:space="preserve">Playtech’s IMS platform reflects enterprise architecture principles with proper separation between components. Their APIs include both REST and SOAP options with comprehensive error handling and detailed documentation. Their webhook system handles real-time updates reliably, and their systems are optimized for performance.</w:t>
      </w:r>
    </w:p>
    <w:p>
      <w:pPr>
        <w:pStyle w:val="BodyText"/>
      </w:pPr>
      <w:r>
        <w:t xml:space="preserve">The enterprise focus shows in Playtech’s integration timeline. They budget 16-20 weeks for full implementations because they include extensive testing, certification, and regulatory approval phases. Their professional services team manages the entire process, which reduces operator workload but extends timelines significantly.</w:t>
      </w:r>
    </w:p>
    <w:p>
      <w:pPr>
        <w:pStyle w:val="BodyText"/>
      </w:pPr>
      <w:r>
        <w:t xml:space="preserve">For operators with strong technical teams, Playtech’s API quality enables custom development work that Spring Platform doesn’t support well. However, this flexibility comes with complexity that many operators don’t need or can’t handle.</w:t>
      </w:r>
    </w:p>
    <w:p>
      <w:pPr>
        <w:pStyle w:val="BodyText"/>
      </w:pPr>
      <w:r>
        <w:rPr>
          <w:b/>
          <w:bCs/>
        </w:rPr>
        <w:t xml:space="preserve">Winner: Playtech</w:t>
      </w:r>
      <w:r>
        <w:t xml:space="preserve"> </w:t>
      </w:r>
      <w:r>
        <w:t xml:space="preserve">- enterprise API quality and integration standards. BetConstruct wins for operators prioritizing simplicity over flexibility.</w:t>
      </w:r>
    </w:p>
    <w:bookmarkEnd w:id="15"/>
    <w:bookmarkStart w:id="16" w:name="cross-product-integration-features"/>
    <w:p>
      <w:pPr>
        <w:pStyle w:val="Heading2"/>
      </w:pPr>
      <w:r>
        <w:t xml:space="preserve">Cross-Product Integration Features</w:t>
      </w:r>
    </w:p>
    <w:p>
      <w:pPr>
        <w:pStyle w:val="FirstParagraph"/>
      </w:pPr>
      <w:r>
        <w:t xml:space="preserve">BetConstruct was built for operators running both sportsbook and casino products. Their unified player management lets customers move between sports betting and casino gaming with shared wallets, bonuses, and loyalty programs. Cross-product tournaments that span both verticals create engagement opportunities.</w:t>
      </w:r>
    </w:p>
    <w:p>
      <w:pPr>
        <w:pStyle w:val="BodyText"/>
      </w:pPr>
      <w:r>
        <w:t xml:space="preserve">The Spring Platform treats sports and casino as components of one system rather than separate products bolted together. This enables features like sports-casino combo bonuses, unified customer support interfaces, and shared analytics dashboards. For operators whose players engage with both products, this integration drives higher lifetime value and retention rates. While BetConstruct excels in native integration, market claims about</w:t>
      </w:r>
      <w:r>
        <w:t xml:space="preserve"> </w:t>
      </w:r>
      <w:r>
        <w:t xml:space="preserve">“most competitors can’t match”</w:t>
      </w:r>
      <w:r>
        <w:t xml:space="preserve"> </w:t>
      </w:r>
      <w:r>
        <w:t xml:space="preserve">are difficult to verify broadly.</w:t>
      </w:r>
    </w:p>
    <w:p>
      <w:pPr>
        <w:pStyle w:val="BodyText"/>
      </w:pPr>
      <w:r>
        <w:t xml:space="preserve">However, operators focused primarily on casino might find they’re paying for sportsbook capabilities they don’t need. The Spring Platform’s strength in cross-product integration becomes unnecessary overhead for single-vertical operations.</w:t>
      </w:r>
    </w:p>
    <w:p>
      <w:pPr>
        <w:pStyle w:val="BodyText"/>
      </w:pPr>
      <w:r>
        <w:t xml:space="preserve">Playtech offers separate licensing for sportsbook and casino products, which provides flexibility but requires managing multiple vendor relationships. Their casino platform can integrate with third-party sportsbooks, but the experience lacks the smooth flow that BetConstruct provides natively.</w:t>
      </w:r>
    </w:p>
    <w:p>
      <w:pPr>
        <w:pStyle w:val="BodyText"/>
      </w:pPr>
      <w:r>
        <w:t xml:space="preserve">For operators adding casino to existing sportsbook operations, or vice versa, Playtech’s modular approach allows gradual expansion without rebuilding existing systems. However, achieving the unified player experience that BetConstruct offers requires significant custom development work.</w:t>
      </w:r>
    </w:p>
    <w:p>
      <w:pPr>
        <w:pStyle w:val="BodyText"/>
      </w:pPr>
      <w:r>
        <w:rPr>
          <w:b/>
          <w:bCs/>
        </w:rPr>
        <w:t xml:space="preserve">Winner: BetConstruct</w:t>
      </w:r>
      <w:r>
        <w:t xml:space="preserve"> </w:t>
      </w:r>
      <w:r>
        <w:t xml:space="preserve">- native cross-product integration is clearly superior for multi-vertical operators.</w:t>
      </w:r>
    </w:p>
    <w:bookmarkEnd w:id="16"/>
    <w:bookmarkStart w:id="17" w:name="speed-to-market-and-implementation"/>
    <w:p>
      <w:pPr>
        <w:pStyle w:val="Heading2"/>
      </w:pPr>
      <w:r>
        <w:t xml:space="preserve">Speed to Market and Implementation</w:t>
      </w:r>
    </w:p>
    <w:p>
      <w:pPr>
        <w:pStyle w:val="FirstParagraph"/>
      </w:pPr>
      <w:r>
        <w:t xml:space="preserve">BetConstruct typically targets 4-8 week implementations for turnkey solutions, though this can extend to 12+ weeks for custom requirements. They handle hosting, payment processing, content integration, and customer support setup as part of their standard deployment process. This timeline includes basic customization and regulatory notifications for most markets.</w:t>
      </w:r>
    </w:p>
    <w:p>
      <w:pPr>
        <w:pStyle w:val="BodyText"/>
      </w:pPr>
      <w:r>
        <w:t xml:space="preserve">Their implementation philosophy prioritizes getting operators live quickly rather than building perfect custom solutions. You choose from pre-configured options rather than designing bespoke workflows. This works well for operators who can accept BetConstruct’s default settings and need to capture market opportunities quickly.</w:t>
      </w:r>
    </w:p>
    <w:p>
      <w:pPr>
        <w:pStyle w:val="BodyText"/>
      </w:pPr>
      <w:r>
        <w:t xml:space="preserve">However,</w:t>
      </w:r>
      <w:r>
        <w:t xml:space="preserve"> </w:t>
      </w:r>
      <w:r>
        <w:t xml:space="preserve">“4-8 weeks”</w:t>
      </w:r>
      <w:r>
        <w:t xml:space="preserve"> </w:t>
      </w:r>
      <w:r>
        <w:t xml:space="preserve">means a functional casino with standard branding. Factor in time for payment provider certifications that aren’t in their standard package. Custom bonus terms, specific payment routing, or unique user flows can extend timelines significantly.</w:t>
      </w:r>
    </w:p>
    <w:p>
      <w:pPr>
        <w:pStyle w:val="BodyText"/>
      </w:pPr>
      <w:r>
        <w:t xml:space="preserve">Playtech implementations take 16-20 weeks minimum due to their enterprise deployment process. This includes comprehensive testing phases, regulatory compliance reviews, and professional services engagement designed to prevent post-launch issues. Their methodology reduces technical problems but extends time-to-market significantly.</w:t>
      </w:r>
    </w:p>
    <w:p>
      <w:pPr>
        <w:pStyle w:val="BodyText"/>
      </w:pPr>
      <w:r>
        <w:t xml:space="preserve">The extended timeline reflects Playtech’s enterprise focus. They’d rather deliver a fully tested, regulatory-compliant platform than rush operators live with systems that need fixes later. For high-volume operators, this caution prevents costly downtime. For startups trying to capture market timing, it’s often too slow.</w:t>
      </w:r>
    </w:p>
    <w:p>
      <w:pPr>
        <w:pStyle w:val="BodyText"/>
      </w:pPr>
      <w:r>
        <w:rPr>
          <w:b/>
          <w:bCs/>
        </w:rPr>
        <w:t xml:space="preserve">Winner: BetConstruct</w:t>
      </w:r>
      <w:r>
        <w:t xml:space="preserve"> </w:t>
      </w:r>
      <w:r>
        <w:t xml:space="preserve">- clear speed advantage for operators prioritizing quick launch over perfect implementation.</w:t>
      </w:r>
    </w:p>
    <w:bookmarkEnd w:id="17"/>
    <w:bookmarkStart w:id="18" w:name="regulatory-cross-check"/>
    <w:p>
      <w:pPr>
        <w:pStyle w:val="Heading2"/>
      </w:pPr>
      <w:r>
        <w:t xml:space="preserve">Regulatory Cross-Check</w:t>
      </w:r>
    </w:p>
    <w:p>
      <w:pPr>
        <w:pStyle w:val="FirstParagraph"/>
      </w:pPr>
      <w:r>
        <w:t xml:space="preserve">Law 14.790/2023 creates an interesting regulatory inversion for both platforms. BetConstruct’s preparation for Brazil includes PIX integration and Portuguese compliance modules, which positions them well for the 2026 licensing framework. However, their cross-product sports-casino integration could complicate compliance in markets that require strict separation between verticals.</w:t>
      </w:r>
    </w:p>
    <w:p>
      <w:pPr>
        <w:pStyle w:val="BodyText"/>
      </w:pPr>
      <w:r>
        <w:t xml:space="preserve">Playtech’s regulatory depth serves them well in Brazil, but their enterprise-focused approach may be overkill for operators entering a single emerging market. Their 25-year compliance track record provides credibility with regulators, but Brazil’s specific requirements around cryptocurrency prohibitions and responsible gaming tools don’t necessarily benefit from European-focused institutional knowledge.</w:t>
      </w:r>
    </w:p>
    <w:p>
      <w:pPr>
        <w:pStyle w:val="BodyText"/>
      </w:pPr>
      <w:r>
        <w:t xml:space="preserve">Both platforms face the same challenge: Brazil’s regulation prohibits cryptocurrency operations for licensed operators, which eliminates a significant player segment that many international operators depend on. BetConstruct’s emerging market focus helps here - they understand regulatory trade-offs between licensed operations and broader market access.</w:t>
      </w:r>
    </w:p>
    <w:p>
      <w:pPr>
        <w:pStyle w:val="BodyText"/>
      </w:pPr>
      <w:r>
        <w:t xml:space="preserve">Playtech’s regulatory fortress becomes a limitation in markets where agility matters more than compliance depth. Their change management processes, designed for established European markets, can slow responses to regulatory updates in dynamic emerging jurisdictions.</w:t>
      </w:r>
    </w:p>
    <w:p>
      <w:pPr>
        <w:pStyle w:val="BodyText"/>
      </w:pPr>
      <w:r>
        <w:t xml:space="preserve">The broader crypto gambling regulation trend affects both platforms differently. BetConstruct offers solid hybrid crypto-fiat capabilities, supporting multi-wallet functionality (fiat and cryptocurrencies) and multiple coins such as Bitcoin (BTC), Ethereum (ETH), Tether (USDT), and Litecoin (LTC). Playtech also supports crypto payments, for instance, via partners like BitPay for major cryptocurrencies.</w:t>
      </w:r>
    </w:p>
    <w:p>
      <w:pPr>
        <w:pStyle w:val="BodyText"/>
      </w:pPr>
      <w:r>
        <w:rPr>
          <w:b/>
          <w:bCs/>
        </w:rPr>
        <w:t xml:space="preserve">Winner: Depends</w:t>
      </w:r>
      <w:r>
        <w:t xml:space="preserve"> </w:t>
      </w:r>
      <w:r>
        <w:t xml:space="preserve">- BetConstruct for emerging market agility, Playtech for established market compliance depth. Both have adopted hybrid crypto-fiat operations to varying degrees.</w:t>
      </w:r>
    </w:p>
    <w:bookmarkEnd w:id="18"/>
    <w:bookmarkStart w:id="19" w:name="X0cb6a6637e31a19a09cb3bcc9f601147f1095e1"/>
    <w:p>
      <w:pPr>
        <w:pStyle w:val="Heading2"/>
      </w:pPr>
      <w:r>
        <w:t xml:space="preserve">Payment Processing and Financial Infrastructure</w:t>
      </w:r>
    </w:p>
    <w:p>
      <w:pPr>
        <w:pStyle w:val="FirstParagraph"/>
      </w:pPr>
      <w:r>
        <w:t xml:space="preserve">BetConstruct handles payments through their integrated Spring Platform with a focus on emerging market payment methods. Their Brazil preparation includes native PIX support, which matters significantly for the 2026 regulatory framework. They also support regional payment methods across Eastern European and Latin American markets where Playtech has limited coverage.</w:t>
      </w:r>
    </w:p>
    <w:p>
      <w:pPr>
        <w:pStyle w:val="BodyText"/>
      </w:pPr>
      <w:r>
        <w:t xml:space="preserve">The integrated approach means payment processing, bonus fulfillment, and financial reporting all flow through the same system. This reduces reconciliation complexity and provides unified financial dashboards across sports and casino operations. However, you’re limited to BetConstruct’s payment provider relationships and can’t optimize routing independently.</w:t>
      </w:r>
    </w:p>
    <w:p>
      <w:pPr>
        <w:pStyle w:val="BodyText"/>
      </w:pPr>
      <w:r>
        <w:t xml:space="preserve">BetConstruct’s payment systems are designed for secure and reliable processing.</w:t>
      </w:r>
    </w:p>
    <w:p>
      <w:pPr>
        <w:pStyle w:val="BodyText"/>
      </w:pPr>
      <w:r>
        <w:t xml:space="preserve">Playtech’s enterprise payment infrastructure includes relationships with major global payment processors built over 25+ years. Their payment routing capabilities handle complex enterprise requirements like multi-currency settlement, automated tax reporting, and fraud detection workflows that smaller platforms can’t match.</w:t>
      </w:r>
    </w:p>
    <w:p>
      <w:pPr>
        <w:pStyle w:val="BodyText"/>
      </w:pPr>
      <w:r>
        <w:t xml:space="preserve">The enterprise focus shows in payment feature depth. Playtech supports sophisticated treasury management, automated compliance reporting, and payment method optimization based on success rates and fees. However, implementing these features requires significant configuration and ongoing optimization that many operators can’t handle internally.</w:t>
      </w:r>
    </w:p>
    <w:p>
      <w:pPr>
        <w:pStyle w:val="BodyText"/>
      </w:pPr>
      <w:r>
        <w:t xml:space="preserve">For high-volume operations processing millions in monthly revenue, Playtech’s payment infrastructure provides capabilities that justify the complexity. For mid-market operators, the feature depth often exceeds their needs while creating unnecessary operational overhead.</w:t>
      </w:r>
    </w:p>
    <w:p>
      <w:pPr>
        <w:pStyle w:val="BodyText"/>
      </w:pPr>
      <w:r>
        <w:rPr>
          <w:b/>
          <w:bCs/>
        </w:rPr>
        <w:t xml:space="preserve">Winner: Depends</w:t>
      </w:r>
      <w:r>
        <w:t xml:space="preserve"> </w:t>
      </w:r>
      <w:r>
        <w:t xml:space="preserve">- BetConstruct for emerging market payment methods and simplicity, Playtech for enterprise payment infrastructure and optimization capabilities.</w:t>
      </w:r>
    </w:p>
    <w:bookmarkEnd w:id="19"/>
    <w:bookmarkStart w:id="20" w:name="betconstruct-all-in-one-simplicity"/>
    <w:p>
      <w:pPr>
        <w:pStyle w:val="Heading2"/>
      </w:pPr>
      <w:hyperlink r:id="rId9">
        <w:r>
          <w:rPr>
            <w:rStyle w:val="Hyperlink"/>
          </w:rPr>
          <w:t xml:space="preserve">BetConstruct</w:t>
        </w:r>
      </w:hyperlink>
      <w:r>
        <w:t xml:space="preserve">: All-in-One Simplicity</w:t>
      </w:r>
    </w:p>
    <w:p>
      <w:pPr>
        <w:pStyle w:val="FirstParagraph"/>
      </w:pPr>
      <w:r>
        <w:t xml:space="preserve">BetConstruct built Spring Platform around the idea that operators shouldn’t need multiple vendor relationships to run their business. Sportsbook, casino, live dealer, poker, and payment processing all integrate natively through their unified system. This approach works particularly well for operators who want everything managed by one vendor.</w:t>
      </w:r>
    </w:p>
    <w:p>
      <w:pPr>
        <w:pStyle w:val="BodyText"/>
      </w:pPr>
      <w:r>
        <w:rPr>
          <w:b/>
          <w:bCs/>
        </w:rPr>
        <w:t xml:space="preserve">Strengths:</w:t>
      </w:r>
      <w:r>
        <w:t xml:space="preserve"> </w:t>
      </w:r>
      <w:r>
        <w:t xml:space="preserve">- Cross-product integration between sports and casino that offers a smooth user experience</w:t>
      </w:r>
      <w:r>
        <w:t xml:space="preserve"> </w:t>
      </w:r>
      <w:r>
        <w:t xml:space="preserve">- Rapid deployment in emerging markets with local payment method support</w:t>
      </w:r>
      <w:r>
        <w:t xml:space="preserve"> </w:t>
      </w:r>
      <w:r>
        <w:t xml:space="preserve">- Single vendor relationship reduces operational complexity and support overhead</w:t>
      </w:r>
      <w:r>
        <w:t xml:space="preserve"> </w:t>
      </w:r>
      <w:r>
        <w:t xml:space="preserve">- Brazil 2026 preparation includes PIX integration and Portuguese localization modules</w:t>
      </w:r>
      <w:r>
        <w:t xml:space="preserve"> </w:t>
      </w:r>
      <w:r>
        <w:t xml:space="preserve">- Solid support for hybrid fiat and cryptocurrency operations</w:t>
      </w:r>
    </w:p>
    <w:p>
      <w:pPr>
        <w:pStyle w:val="BodyText"/>
      </w:pPr>
      <w:r>
        <w:rPr>
          <w:b/>
          <w:bCs/>
        </w:rPr>
        <w:t xml:space="preserve">Weaknesses:</w:t>
      </w:r>
      <w:r>
        <w:t xml:space="preserve"> </w:t>
      </w:r>
      <w:r>
        <w:t xml:space="preserve">- Platform components work best together, making it difficult to replace individual pieces</w:t>
      </w:r>
      <w:r>
        <w:t xml:space="preserve"> </w:t>
      </w:r>
      <w:r>
        <w:t xml:space="preserve">- Operators report that content integration speed lags behind dedicated providers like Slotegrator</w:t>
      </w:r>
      <w:r>
        <w:t xml:space="preserve"> </w:t>
      </w:r>
      <w:r>
        <w:t xml:space="preserve">- In our assessment, API quality is sufficient for internal integrations but limited for complex third-party development</w:t>
      </w:r>
    </w:p>
    <w:p>
      <w:pPr>
        <w:pStyle w:val="BodyText"/>
      </w:pPr>
      <w:r>
        <w:rPr>
          <w:b/>
          <w:bCs/>
        </w:rPr>
        <w:t xml:space="preserve">Best for:</w:t>
      </w:r>
      <w:r>
        <w:t xml:space="preserve"> </w:t>
      </w:r>
      <w:r>
        <w:t xml:space="preserve">Multi-vertical operators serving both sports and casino players, launches in emerging markets where BetConstruct has regulatory relationships, operators who prefer single-vendor simplicity over modular flexibility</w:t>
      </w:r>
    </w:p>
    <w:p>
      <w:pPr>
        <w:pStyle w:val="BodyText"/>
      </w:pPr>
      <w:r>
        <w:rPr>
          <w:b/>
          <w:bCs/>
        </w:rPr>
        <w:t xml:space="preserve">Not for:</w:t>
      </w:r>
      <w:r>
        <w:t xml:space="preserve"> </w:t>
      </w:r>
      <w:r>
        <w:t xml:space="preserve">Operators needing best-in-class capabilities in specific verticals, platforms requiring extensive custom development work without embracing the integrated ecosystem</w:t>
      </w:r>
    </w:p>
    <w:bookmarkEnd w:id="20"/>
    <w:bookmarkStart w:id="21" w:name="playtech-enterprise-regulatory-fortress"/>
    <w:p>
      <w:pPr>
        <w:pStyle w:val="Heading2"/>
      </w:pPr>
      <w:hyperlink r:id="rId10">
        <w:r>
          <w:rPr>
            <w:rStyle w:val="Hyperlink"/>
          </w:rPr>
          <w:t xml:space="preserve">Playtech</w:t>
        </w:r>
      </w:hyperlink>
      <w:r>
        <w:t xml:space="preserve">: Enterprise Regulatory Fortress</w:t>
      </w:r>
    </w:p>
    <w:p>
      <w:pPr>
        <w:pStyle w:val="FirstParagraph"/>
      </w:pPr>
      <w:r>
        <w:t xml:space="preserve">Playtech’s 25-year track record in regulated markets shows in every aspect of their IMS platform. Over 170 licenses across numerous regulated jurisdictions and relationships with major European operators provide credibility that newer platforms simply can’t match. Their enterprise architecture assumes you have compliance teams and technical resources to manage platform complexity.</w:t>
      </w:r>
    </w:p>
    <w:p>
      <w:pPr>
        <w:pStyle w:val="BodyText"/>
      </w:pPr>
      <w:r>
        <w:rPr>
          <w:b/>
          <w:bCs/>
        </w:rPr>
        <w:t xml:space="preserve">Strengths:</w:t>
      </w:r>
      <w:r>
        <w:t xml:space="preserve"> </w:t>
      </w:r>
      <w:r>
        <w:t xml:space="preserve">- Regulatory coverage depth that provides significant advantages, with over 170 licenses globally</w:t>
      </w:r>
      <w:r>
        <w:t xml:space="preserve"> </w:t>
      </w:r>
      <w:r>
        <w:t xml:space="preserve">- Automated compliance workflows for complex jurisdictions like Germany and Sweden</w:t>
      </w:r>
      <w:r>
        <w:t xml:space="preserve"> </w:t>
      </w:r>
      <w:r>
        <w:t xml:space="preserve">- Enterprise-grade API quality optimized for performance with comprehensive documentation</w:t>
      </w:r>
      <w:r>
        <w:t xml:space="preserve"> </w:t>
      </w:r>
      <w:r>
        <w:t xml:space="preserve">- Exclusive in-house content including Age of the Gods slots and proprietary live dealer tables</w:t>
      </w:r>
      <w:r>
        <w:t xml:space="preserve"> </w:t>
      </w:r>
      <w:r>
        <w:t xml:space="preserve">- Proven stability with reported 99.999% uptime</w:t>
      </w:r>
    </w:p>
    <w:p>
      <w:pPr>
        <w:pStyle w:val="BodyText"/>
      </w:pPr>
      <w:r>
        <w:rPr>
          <w:b/>
          <w:bCs/>
        </w:rPr>
        <w:t xml:space="preserve">Weaknesses:</w:t>
      </w:r>
      <w:r>
        <w:t xml:space="preserve"> </w:t>
      </w:r>
      <w:r>
        <w:t xml:space="preserve">- Implementation timelines of 16-20 weeks minimum due to enterprise deployment processes</w:t>
      </w:r>
      <w:r>
        <w:t xml:space="preserve"> </w:t>
      </w:r>
      <w:r>
        <w:t xml:space="preserve">- Change management bureaucracy that can slow operational agility</w:t>
      </w:r>
      <w:r>
        <w:t xml:space="preserve"> </w:t>
      </w:r>
      <w:r>
        <w:t xml:space="preserve">- Higher total cost of ownership including professional services and licensing fees</w:t>
      </w:r>
    </w:p>
    <w:p>
      <w:pPr>
        <w:pStyle w:val="BodyText"/>
      </w:pPr>
      <w:r>
        <w:rPr>
          <w:b/>
          <w:bCs/>
        </w:rPr>
        <w:t xml:space="preserve">Best for:</w:t>
      </w:r>
      <w:r>
        <w:t xml:space="preserve"> </w:t>
      </w:r>
      <w:r>
        <w:t xml:space="preserve">Large operators prioritizing regulatory security, enterprises with dedicated compliance teams, high-volume operations requiring proven stability and institutional knowledge</w:t>
      </w:r>
    </w:p>
    <w:p>
      <w:pPr>
        <w:pStyle w:val="BodyText"/>
      </w:pPr>
      <w:r>
        <w:rPr>
          <w:b/>
          <w:bCs/>
        </w:rPr>
        <w:t xml:space="preserve">Not for:</w:t>
      </w:r>
      <w:r>
        <w:t xml:space="preserve"> </w:t>
      </w:r>
      <w:r>
        <w:t xml:space="preserve">Startup operators who need rapid iteration, operators targeting primarily emerging markets where regulatory depth matters less than speed</w:t>
      </w:r>
    </w:p>
    <w:bookmarkEnd w:id="21"/>
    <w:bookmarkStart w:id="23" w:name="which-should-you-choose"/>
    <w:p>
      <w:pPr>
        <w:pStyle w:val="Heading2"/>
      </w:pPr>
      <w:r>
        <w:t xml:space="preserve">Which Should You Choose?</w:t>
      </w:r>
    </w:p>
    <w:p>
      <w:pPr>
        <w:pStyle w:val="FirstParagraph"/>
      </w:pPr>
      <w:r>
        <w:t xml:space="preserve">If unified sports-casino operations are your goal, BetConstruct delivers. You’ll get cross-product bonuses and tournaments designed to boost player engagement across verticals. Launching in emerging markets? BetConstruct’s PIX integration and local compliance modules, especially for Brazil, offer real advantages. Operators who prefer a single vendor and want to avoid juggling multiple integrations and support contracts often find BetConstruct ideal. When speed to market is more critical than perfect customization, and you can accept their standard configurations, BetConstruct is a strong choice. They also provide solid hybrid crypto-fiat payment solutions with multi-wallet and multiple coin support.</w:t>
      </w:r>
    </w:p>
    <w:p>
      <w:pPr>
        <w:pStyle w:val="BodyText"/>
      </w:pPr>
      <w:r>
        <w:t xml:space="preserve">For operators in highly regulated European markets, Playtech’s 25-year compliance track record and over 170 licenses offer essential credibility. If you’re handling high monthly volumes, their enterprise payment infrastructure and optimization capabilities will justify the complexity. Playtech also suits teams with strong technical and compliance resources who can leverage their high-quality APIs and deep regulatory workflows. Need exclusive content and proprietary games unavailable through standard aggregators? Playtech has that covered.</w:t>
      </w:r>
    </w:p>
    <w:bookmarkStart w:id="22" w:name="Xc0890403b1ae134ece6f572d46319ecef106056"/>
    <w:p>
      <w:pPr>
        <w:pStyle w:val="Heading3"/>
      </w:pPr>
      <w:r>
        <w:t xml:space="preserve">Consider neither if you need modular architecture flexibility or developer-first API design as a primary driver. EveryMatrix offers true modularity that lets you swap platform components independently. SOFTSWISS provides crypto-fiat hybrid operations with a strong focus on native crypto features.</w:t>
      </w:r>
    </w:p>
    <w:bookmarkEnd w:id="22"/>
    <w:bookmarkEnd w:id="23"/>
    <w:bookmarkStart w:id="24" w:name="operator-recommendation-matrix"/>
    <w:p>
      <w:pPr>
        <w:pStyle w:val="Heading2"/>
      </w:pPr>
      <w:r>
        <w:t xml:space="preserve">Operator Recommendation Matrix</w:t>
      </w:r>
    </w:p>
    <w:tbl>
      <w:tblPr>
        <w:tblStyle w:val="Table"/>
        <w:tblW w:type="pct" w:w="5000"/>
        <w:tblLayout w:type="fixed"/>
        <w:tblLook w:firstRow="1" w:lastRow="0" w:firstColumn="0" w:lastColumn="0" w:noHBand="0" w:noVBand="0" w:val="0020"/>
      </w:tblPr>
      <w:tblGrid>
        <w:gridCol w:w="3168"/>
        <w:gridCol w:w="3620"/>
        <w:gridCol w:w="1131"/>
      </w:tblGrid>
      <w:tr>
        <w:trPr>
          <w:tblHeader w:val="on"/>
        </w:trPr>
        <w:tc>
          <w:tcPr/>
          <w:p>
            <w:pPr>
              <w:pStyle w:val="Compact"/>
            </w:pPr>
            <w:r>
              <w:t xml:space="preserve">Operator Type</w:t>
            </w:r>
          </w:p>
        </w:tc>
        <w:tc>
          <w:tcPr/>
          <w:p>
            <w:pPr>
              <w:pStyle w:val="Compact"/>
            </w:pPr>
            <w:r>
              <w:t xml:space="preserve">Recommendation</w:t>
            </w:r>
          </w:p>
        </w:tc>
        <w:tc>
          <w:tcPr/>
          <w:p>
            <w:pPr>
              <w:pStyle w:val="Compact"/>
            </w:pPr>
            <w:r>
              <w:t xml:space="preserve">Why</w:t>
            </w:r>
          </w:p>
        </w:tc>
      </w:tr>
      <w:tr>
        <w:tc>
          <w:tcPr/>
          <w:p>
            <w:pPr>
              <w:pStyle w:val="Compact"/>
            </w:pPr>
            <w:r>
              <w:t xml:space="preserve">Startup operator</w:t>
            </w:r>
          </w:p>
        </w:tc>
        <w:tc>
          <w:tcPr/>
          <w:p>
            <w:pPr>
              <w:pStyle w:val="Compact"/>
            </w:pPr>
            <w:r>
              <w:t xml:space="preserve">BetConstruct</w:t>
            </w:r>
          </w:p>
        </w:tc>
        <w:tc>
          <w:tcPr/>
          <w:p>
            <w:pPr>
              <w:pStyle w:val="Compact"/>
            </w:pPr>
            <w:r>
              <w:t xml:space="preserve">Speed to market and single-vendor simplicity reduce operational complexity during growth phases</w:t>
            </w:r>
          </w:p>
        </w:tc>
      </w:tr>
      <w:tr>
        <w:tc>
          <w:tcPr/>
          <w:p>
            <w:pPr>
              <w:pStyle w:val="Compact"/>
            </w:pPr>
            <w:r>
              <w:t xml:space="preserve">Crypto-first operator</w:t>
            </w:r>
          </w:p>
        </w:tc>
        <w:tc>
          <w:tcPr/>
          <w:p>
            <w:pPr>
              <w:pStyle w:val="Compact"/>
            </w:pPr>
            <w:r>
              <w:t xml:space="preserve">Either, with caveats</w:t>
            </w:r>
          </w:p>
        </w:tc>
        <w:tc>
          <w:tcPr/>
          <w:p>
            <w:pPr>
              <w:pStyle w:val="Compact"/>
            </w:pPr>
            <w:r>
              <w:t xml:space="preserve">Both platforms now offer crypto support; SOFTSWISS offers superior crypto-native capabilities. BetConstruct has solid hybrid options.</w:t>
            </w:r>
          </w:p>
        </w:tc>
      </w:tr>
      <w:tr>
        <w:tc>
          <w:tcPr/>
          <w:p>
            <w:pPr>
              <w:pStyle w:val="Compact"/>
            </w:pPr>
            <w:r>
              <w:t xml:space="preserve">Regulated-market operator</w:t>
            </w:r>
          </w:p>
        </w:tc>
        <w:tc>
          <w:tcPr/>
          <w:p>
            <w:pPr>
              <w:pStyle w:val="Compact"/>
            </w:pPr>
            <w:r>
              <w:t xml:space="preserve">Playtech</w:t>
            </w:r>
          </w:p>
        </w:tc>
        <w:tc>
          <w:tcPr/>
          <w:p>
            <w:pPr>
              <w:pStyle w:val="Compact"/>
            </w:pPr>
            <w:r>
              <w:t xml:space="preserve">Regulatory depth and institutional compliance knowledge essential for complex European jurisdictions</w:t>
            </w:r>
          </w:p>
        </w:tc>
      </w:tr>
      <w:tr>
        <w:tc>
          <w:tcPr/>
          <w:p>
            <w:pPr>
              <w:pStyle w:val="Compact"/>
            </w:pPr>
            <w:r>
              <w:t xml:space="preserve">Sportsbook-first operator</w:t>
            </w:r>
          </w:p>
        </w:tc>
        <w:tc>
          <w:tcPr/>
          <w:p>
            <w:pPr>
              <w:pStyle w:val="Compact"/>
            </w:pPr>
            <w:r>
              <w:t xml:space="preserve">BetConstruct</w:t>
            </w:r>
          </w:p>
        </w:tc>
        <w:tc>
          <w:tcPr/>
          <w:p>
            <w:pPr>
              <w:pStyle w:val="Compact"/>
            </w:pPr>
            <w:r>
              <w:t xml:space="preserve">Cross-product integration provides clear competitive advantage for sports-casino hybrid operations</w:t>
            </w:r>
          </w:p>
        </w:tc>
      </w:tr>
      <w:tr>
        <w:tc>
          <w:tcPr/>
          <w:p>
            <w:pPr>
              <w:pStyle w:val="Compact"/>
            </w:pPr>
            <w:r>
              <w:t xml:space="preserve">Operator with strong technical team</w:t>
            </w:r>
          </w:p>
        </w:tc>
        <w:tc>
          <w:tcPr/>
          <w:p>
            <w:pPr>
              <w:pStyle w:val="Compact"/>
            </w:pPr>
            <w:r>
              <w:t xml:space="preserve">Either, with caveats</w:t>
            </w:r>
          </w:p>
        </w:tc>
        <w:tc>
          <w:tcPr/>
          <w:p>
            <w:pPr>
              <w:pStyle w:val="Compact"/>
            </w:pPr>
            <w:r>
              <w:t xml:space="preserve">BetConstruct if you want simplicity; Playtech if you can leverage their enterprise API capabilities</w:t>
            </w:r>
          </w:p>
        </w:tc>
      </w:tr>
      <w:tr>
        <w:tc>
          <w:tcPr/>
          <w:p>
            <w:pPr>
              <w:pStyle w:val="Compact"/>
            </w:pPr>
            <w:r>
              <w:t xml:space="preserve">Non-technical founder</w:t>
            </w:r>
          </w:p>
        </w:tc>
        <w:tc>
          <w:tcPr/>
          <w:p>
            <w:pPr>
              <w:pStyle w:val="Compact"/>
            </w:pPr>
            <w:r>
              <w:t xml:space="preserve">BetConstruct</w:t>
            </w:r>
          </w:p>
        </w:tc>
        <w:tc>
          <w:tcPr/>
          <w:p>
            <w:pPr>
              <w:pStyle w:val="Compact"/>
            </w:pPr>
            <w:r>
              <w:t xml:space="preserve">Single-vendor relationship and turnkey deployment reduce technical management overhead significantly</w:t>
            </w:r>
          </w:p>
        </w:tc>
      </w:tr>
      <w:tr>
        <w:tc>
          <w:tcPr/>
          <w:p>
            <w:pPr>
              <w:pStyle w:val="Compact"/>
            </w:pPr>
            <w:r>
              <w:t xml:space="preserve">Multi-market operator</w:t>
            </w:r>
          </w:p>
        </w:tc>
        <w:tc>
          <w:tcPr/>
          <w:p>
            <w:pPr>
              <w:pStyle w:val="Compact"/>
            </w:pPr>
            <w:r>
              <w:t xml:space="preserve">Playtech</w:t>
            </w:r>
          </w:p>
        </w:tc>
        <w:tc>
          <w:tcPr/>
          <w:p>
            <w:pPr>
              <w:pStyle w:val="Compact"/>
            </w:pPr>
            <w:r>
              <w:t xml:space="preserve">Regulatory breadth across over 170 licenses supports expansion better than BetConstruct’s emerging market focus</w:t>
            </w:r>
          </w:p>
        </w:tc>
      </w:tr>
    </w:tbl>
    <w:bookmarkEnd w:id="24"/>
    <w:bookmarkStart w:id="25" w:name="red-flags-to-watch-for"/>
    <w:p>
      <w:pPr>
        <w:pStyle w:val="Heading2"/>
      </w:pPr>
      <w:r>
        <w:t xml:space="preserve">Red Flags to Watch For</w:t>
      </w:r>
    </w:p>
    <w:p>
      <w:pPr>
        <w:pStyle w:val="FirstParagraph"/>
      </w:pPr>
      <w:r>
        <w:rPr>
          <w:b/>
          <w:bCs/>
        </w:rPr>
        <w:t xml:space="preserve">Promises of instant integration or deployment timelines under 4 weeks</w:t>
      </w:r>
      <w:r>
        <w:t xml:space="preserve"> </w:t>
      </w:r>
      <w:r>
        <w:t xml:space="preserve">from either vendor. BetConstruct’s typical 4-8 week timeline excludes payment certifications and custom requirements. Playtech’s enterprise process, however, requires 16+ weeks minimum regardless of sales promises.</w:t>
      </w:r>
    </w:p>
    <w:p>
      <w:pPr>
        <w:pStyle w:val="BodyText"/>
      </w:pPr>
      <w:r>
        <w:rPr>
          <w:b/>
          <w:bCs/>
        </w:rPr>
        <w:t xml:space="preserve">Revenue-sharing terms that seem too good to be true</w:t>
      </w:r>
      <w:r>
        <w:t xml:space="preserve"> </w:t>
      </w:r>
      <w:r>
        <w:t xml:space="preserve">in initial negotiations. Both platforms typically prefer revenue-sharing models, but sustainable terms for high-volume operations require careful contract review and growth projections.</w:t>
      </w:r>
    </w:p>
    <w:p>
      <w:pPr>
        <w:pStyle w:val="BodyText"/>
      </w:pPr>
      <w:r>
        <w:rPr>
          <w:b/>
          <w:bCs/>
        </w:rPr>
        <w:t xml:space="preserve">Vague answers about platform component replacement or data migration capabilities.</w:t>
      </w:r>
      <w:r>
        <w:t xml:space="preserve"> </w:t>
      </w:r>
      <w:r>
        <w:t xml:space="preserve">BetConstruct’s integrated architecture makes component swapping difficult. Playtech’s enterprise contracts often include restrictive data portability terms that affect future migration options.</w:t>
      </w:r>
    </w:p>
    <w:p>
      <w:pPr>
        <w:pStyle w:val="BodyText"/>
      </w:pPr>
      <w:r>
        <w:rPr>
          <w:b/>
          <w:bCs/>
        </w:rPr>
        <w:t xml:space="preserve">Lack of specific references from operators in your target market or vertical.</w:t>
      </w:r>
      <w:r>
        <w:t xml:space="preserve"> </w:t>
      </w:r>
      <w:r>
        <w:t xml:space="preserve">Both platforms serve different operator segments effectively, but success in one market doesn’t guarantee suitability for another regulatory environment or business model.</w:t>
      </w:r>
    </w:p>
    <w:p>
      <w:pPr>
        <w:pStyle w:val="BodyText"/>
      </w:pPr>
      <w:r>
        <w:rPr>
          <w:b/>
          <w:bCs/>
        </w:rPr>
        <w:t xml:space="preserve">Unclear support structure or escalation procedures during implementation.</w:t>
      </w:r>
      <w:r>
        <w:t xml:space="preserve"> </w:t>
      </w:r>
      <w:r>
        <w:t xml:space="preserve">BetConstruct provides direct vendor relationships while Playtech uses professional services models. Understanding who handles technical issues and timeline delays prevents costly miscommunication during deployment.</w:t>
      </w:r>
    </w:p>
    <w:bookmarkEnd w:id="25"/>
    <w:bookmarkStart w:id="32" w:name="common-questions"/>
    <w:p>
      <w:pPr>
        <w:pStyle w:val="Heading2"/>
      </w:pPr>
      <w:r>
        <w:t xml:space="preserve">Common Questions</w:t>
      </w:r>
    </w:p>
    <w:bookmarkStart w:id="26" w:name="Xdd3feae325f51bdc75079a310bbe939b23b6fb5"/>
    <w:p>
      <w:pPr>
        <w:pStyle w:val="Heading3"/>
      </w:pPr>
      <w:r>
        <w:t xml:space="preserve">Is BetConstruct better than Playtech for new casino operators?</w:t>
      </w:r>
    </w:p>
    <w:p>
      <w:pPr>
        <w:pStyle w:val="FirstParagraph"/>
      </w:pPr>
      <w:r>
        <w:t xml:space="preserve">BetConstruct’s typical 4-8 week implementation timeline and single-vendor approach make it significantly better for new operators who need speed to market. Their Spring Platform reduces operational complexity during growth phases when teams are small. Playtech’s 16-20 week minimum timeline and enterprise architecture complexity create unnecessary overhead for startups. However, if you’re launching in highly regulated European markets where compliance depth matters more than speed, Playtech’s 25-year regulatory track record provides credibility that BetConstruct can’t match.</w:t>
      </w:r>
    </w:p>
    <w:bookmarkEnd w:id="26"/>
    <w:bookmarkStart w:id="27" w:name="X83d5729ebc76c53f027bb0d376439d6ad8f175f"/>
    <w:p>
      <w:pPr>
        <w:pStyle w:val="Heading3"/>
      </w:pPr>
      <w:r>
        <w:t xml:space="preserve">Which is better for regulated markets BetConstruct or Playtech?</w:t>
      </w:r>
    </w:p>
    <w:p>
      <w:pPr>
        <w:pStyle w:val="FirstParagraph"/>
      </w:pPr>
      <w:r>
        <w:t xml:space="preserve">Playtech dominates regulated market operations with over 170 licenses across numerous regulated jurisdictions and automated compliance workflows for complex jurisdictions like Germany and Sweden. Their platform is designed to handle jurisdiction-specific requirements like Germany’s €1 spin limit and Swedish self-exclusion workflows. BetConstruct covers 30+ jurisdictions but in our assessment, their regulatory approach is reactive rather than proactive. Playtech is the rational choice for established European markets where regulatory depth matters. BetConstruct works better for emerging regulated markets like Brazil where their agility and local payment methods provide advantages.</w:t>
      </w:r>
    </w:p>
    <w:bookmarkEnd w:id="27"/>
    <w:bookmarkStart w:id="28" w:name="X454bb2200d03260b74fd254d7a8c7321f56fcd6"/>
    <w:p>
      <w:pPr>
        <w:pStyle w:val="Heading3"/>
      </w:pPr>
      <w:r>
        <w:t xml:space="preserve">How long does BetConstruct implementation take vs Playtech?</w:t>
      </w:r>
    </w:p>
    <w:p>
      <w:pPr>
        <w:pStyle w:val="FirstParagraph"/>
      </w:pPr>
      <w:r>
        <w:t xml:space="preserve">BetConstruct typically targets 4-8 weeks for basic deployment with standard configuration, but add time for payment certifications and custom requirements. Playtech requires 16-20 weeks minimum including comprehensive testing and regulatory compliance phases. BetConstruct gets you live faster but may require ongoing optimization after launch. Playtech’s extended timeline includes professional services engagement designed to prevent post-launch issues. For time-sensitive launches, BetConstruct provides clear speed advantages. For high-volume operations where stability matters more than speed, Playtech’s thorough approach prevents costly downtime.</w:t>
      </w:r>
    </w:p>
    <w:bookmarkEnd w:id="28"/>
    <w:bookmarkStart w:id="29" w:name="Xada0854f49a4f1e0c17ead4d09d83fa449208c8"/>
    <w:p>
      <w:pPr>
        <w:pStyle w:val="Heading3"/>
      </w:pPr>
      <w:r>
        <w:t xml:space="preserve">BetConstruct vs Playtech which has better licensing coverage?</w:t>
      </w:r>
    </w:p>
    <w:p>
      <w:pPr>
        <w:pStyle w:val="FirstParagraph"/>
      </w:pPr>
      <w:r>
        <w:t xml:space="preserve">Playtech’s regulatory coverage is extensive with over 170 licenses across numerous regulated jurisdictions and 25+ years of operation. They’ve navigated every major regulatory change in iGaming history and powered market openings in the UK and Germany without operational issues. BetConstruct covers 30+ jurisdictions including emerging ones where Playtech has limited presence. Their Brazil preparation includes PIX integration and Portuguese localization for Law 14.790/2023 requirements. Playtech wins for established regulated markets. BetConstruct wins for emerging market expansion where local compliance modules matter more than institutional regulatory knowledge.</w:t>
      </w:r>
    </w:p>
    <w:bookmarkEnd w:id="29"/>
    <w:bookmarkStart w:id="30" w:name="Xe411d1405d8673c854088a8aa2b5ec17e67a812"/>
    <w:p>
      <w:pPr>
        <w:pStyle w:val="Heading3"/>
      </w:pPr>
      <w:r>
        <w:t xml:space="preserve">BetConstruct vs Playtech which is easier to integrate?</w:t>
      </w:r>
    </w:p>
    <w:p>
      <w:pPr>
        <w:pStyle w:val="FirstParagraph"/>
      </w:pPr>
      <w:r>
        <w:t xml:space="preserve">BetConstruct’s integrated Spring Platform architecture reduces integration complexity significantly through unified systems for sports, casino, payments, and support. Their single-vendor relationship means one contract and one support contact. However, platform components work best together, making individual piece replacement difficult. Playtech’s enterprise architecture provides proper separation between components with REST and SOAP APIs, but requires managing multiple vendor relationships and complex enterprise deployment processes. BetConstruct is easier for operators who want everything managed by one vendor. Playtech is better for operators with strong technical teams who need modular flexibility.</w:t>
      </w:r>
    </w:p>
    <w:bookmarkEnd w:id="30"/>
    <w:bookmarkStart w:id="31" w:name="Xe405f4d3ea604012433c542d8445b13687d6a8d"/>
    <w:p>
      <w:pPr>
        <w:pStyle w:val="Heading3"/>
      </w:pPr>
      <w:r>
        <w:t xml:space="preserve">BetConstruct vs Playtech which is better for emerging markets?</w:t>
      </w:r>
    </w:p>
    <w:p>
      <w:pPr>
        <w:pStyle w:val="FirstParagraph"/>
      </w:pPr>
      <w:r>
        <w:t xml:space="preserve">BetConstruct’s emerging market focus provides significant advantages through local payment methods and market-specific compliance modules. Their Brazil 2026 preparation includes native PIX support and Portuguese localization built for regulatory requirements. They’ve expanded rapidly across Eastern European and Latin American markets where Playtech has limited presence. Playtech’s European-focused institutional knowledge doesn’t translate well to emerging market agility needs. Their enterprise change management processes slow responses to regulatory updates in dynamic jurisdictions. BetConstruct is the clear winner for emerging market launches where speed and local expertise matter more than institutional regulatory depth.</w:t>
      </w:r>
    </w:p>
    <w:p>
      <w:r>
        <w:pict>
          <v:rect style="width:0;height:1.5pt" o:hralign="center" o:hrstd="t" o:hr="t"/>
        </w:pict>
      </w:r>
    </w:p>
    <w:p>
      <w:pPr>
        <w:pStyle w:val="FirstParagraph"/>
      </w:pPr>
      <w:r>
        <w:t xml:space="preserve">Both BetConstruct and Playtech serve operator needs effectively, but for fundamentally different business models and market approaches. BetConstruct excels at unified multi-vertical operations with rapid deployment in emerging markets. Playtech provides enterprise-grade regulatory infrastructure for established jurisdictions requiring maximum compliance depth.</w:t>
      </w:r>
    </w:p>
    <w:p>
      <w:pPr>
        <w:pStyle w:val="BodyText"/>
      </w:pPr>
      <w:r>
        <w:t xml:space="preserve">The choice depends on whether you prioritize operational simplicity or regulatory completeness, emerging market agility or established market credibility, cross-product integration or modular enterprise architecture.</w:t>
      </w:r>
    </w:p>
    <w:p>
      <w:pPr>
        <w:pStyle w:val="BodyText"/>
      </w:pPr>
      <w:r>
        <w:t xml:space="preserve">For the complete casino platform market analysis including modular alternatives like EveryMatrix and crypto-specialist providers like SOFTSWISS, see our</w:t>
      </w:r>
      <w:r>
        <w:t xml:space="preserve"> </w:t>
      </w:r>
      <w:hyperlink r:id="rId11">
        <w:r>
          <w:rPr>
            <w:rStyle w:val="Hyperlink"/>
          </w:rPr>
          <w:t xml:space="preserve">casino platform guide</w:t>
        </w:r>
      </w:hyperlink>
      <w:r>
        <w:t xml:space="preserve">. Browse our</w:t>
      </w:r>
      <w:r>
        <w:t xml:space="preserve"> </w:t>
      </w:r>
      <w:hyperlink r:id="rId9">
        <w:r>
          <w:rPr>
            <w:rStyle w:val="Hyperlink"/>
          </w:rPr>
          <w:t xml:space="preserve">company directory</w:t>
        </w:r>
      </w:hyperlink>
      <w:r>
        <w:t xml:space="preserve"> </w:t>
      </w:r>
      <w:r>
        <w:t xml:space="preserve">and</w:t>
      </w:r>
      <w:r>
        <w:t xml:space="preserve"> </w:t>
      </w:r>
      <w:hyperlink r:id="rId10">
        <w:r>
          <w:rPr>
            <w:rStyle w:val="Hyperlink"/>
          </w:rPr>
          <w:t xml:space="preserve">Playtech profile</w:t>
        </w:r>
      </w:hyperlink>
      <w:r>
        <w:t xml:space="preserve"> </w:t>
      </w:r>
      <w:r>
        <w:t xml:space="preserve">for detailed company information, user reviews, and job listings.</w:t>
      </w:r>
    </w:p>
    <w:p>
      <w:pPr>
        <w:pStyle w:val="BodyText"/>
      </w:pPr>
      <w:r>
        <w:rPr>
          <w:i/>
          <w:iCs/>
        </w:rPr>
        <w:t xml:space="preserve">OnlyiGaming provides independent analysis of iGaming companies and products. We are not affiliated with or compensated by BetConstruct, Playtech, or any platform provider mentioned in this comparison.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nlyigaming.com/companies/betconstruct" TargetMode="External" /><Relationship Type="http://schemas.openxmlformats.org/officeDocument/2006/relationships/hyperlink" Id="rId10" Target="https://onlyigaming.com/companies/playtech" TargetMode="External" /><Relationship Type="http://schemas.openxmlformats.org/officeDocument/2006/relationships/hyperlink" Id="rId11" Target="https://onlyigaming.com/guides/best-casino-platforms-2026" TargetMode="External" /></Relationships>
</file>

<file path=word/_rels/footnotes.xml.rels><?xml version="1.0" encoding="UTF-8"?><Relationships xmlns="http://schemas.openxmlformats.org/package/2006/relationships"><Relationship Type="http://schemas.openxmlformats.org/officeDocument/2006/relationships/hyperlink" Id="rId9" Target="https://onlyigaming.com/companies/betconstruct" TargetMode="External" /><Relationship Type="http://schemas.openxmlformats.org/officeDocument/2006/relationships/hyperlink" Id="rId10" Target="https://onlyigaming.com/companies/playtech" TargetMode="External" /><Relationship Type="http://schemas.openxmlformats.org/officeDocument/2006/relationships/hyperlink" Id="rId11" Target="https://onlyigaming.com/guides/best-casino-platform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BetConstruct vs Playtech: Head-to-Head Casino Platform Comparison</dc:title>
  <dc:creator>OnlyiGaming Editorial</dc:creator>
  <cp:category>casino-platforms</cp:category>
  <cp:keywords/>
  <dcterms:created xsi:type="dcterms:W3CDTF">2026-06-03T07:35:59Z</dcterms:created>
  <dcterms:modified xsi:type="dcterms:W3CDTF">2026-06-03T07:35:59Z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BetConstruct vs Playtech</vt:lpwstr>
  </property>
  <property fmtid="{D5CDD505-2E9C-101B-9397-08002B2CF9AE}" pid="3" name="card_subheadline">
    <vt:lpwstr>Head-to-head comparison of Spring Platform vs IMS for casino operators choosing between all-in-one simplicity and enterprise regulatory depth.</vt:lpwstr>
  </property>
  <property fmtid="{D5CDD505-2E9C-101B-9397-08002B2CF9AE}" pid="4" name="date">
    <vt:lpwstr>2026-06-02</vt:lpwstr>
  </property>
  <property fmtid="{D5CDD505-2E9C-101B-9397-08002B2CF9AE}" pid="5" name="faq_schema">
    <vt:lpwstr>True</vt:lpwstr>
  </property>
  <property fmtid="{D5CDD505-2E9C-101B-9397-08002B2CF9AE}" pid="6" name="last_updated">
    <vt:lpwstr>2026-06-02</vt:lpwstr>
  </property>
  <property fmtid="{D5CDD505-2E9C-101B-9397-08002B2CF9AE}" pid="7" name="last_verified">
    <vt:lpwstr>2026-06-02</vt:lpwstr>
  </property>
  <property fmtid="{D5CDD505-2E9C-101B-9397-08002B2CF9AE}" pid="8" name="meta_description">
    <vt:lpwstr>Compare BetConstruct vs Playtech casino platforms. Independent analysis of Spring Platform vs IMS for game aggregation, regulatory coverage, pricing, and integration timeline.</vt:lpwstr>
  </property>
  <property fmtid="{D5CDD505-2E9C-101B-9397-08002B2CF9AE}" pid="9" name="meta_title">
    <vt:lpwstr>BetConstruct vs Playtech 2026 | Casino Platform Comparison</vt:lpwstr>
  </property>
  <property fmtid="{D5CDD505-2E9C-101B-9397-08002B2CF9AE}" pid="10" name="parent_pillar">
    <vt:lpwstr>/guides/best-casino-platforms-2026</vt:lpwstr>
  </property>
  <property fmtid="{D5CDD505-2E9C-101B-9397-08002B2CF9AE}" pid="11" name="primary_keyword">
    <vt:lpwstr>BetConstruct vs Playtech</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casino-platforms-betconstruct-vs-playtech-head-to-head</vt:lpwstr>
  </property>
  <property fmtid="{D5CDD505-2E9C-101B-9397-08002B2CF9AE}" pid="16" name="type">
    <vt:lpwstr>satellite-head-to-head</vt:lpwstr>
  </property>
</Properties>
</file>