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The casino platform pricing models game is rigged in favor of vendors. Not because they’re dishonest, but because the real costs only surface after you’ve signed. That headline 15% revenue share doesn’t include payment processing, game provider fees, compliance tools, or the integration work that takes twice as long as promised.</w:t>
      </w:r>
    </w:p>
    <w:p>
      <w:pPr>
        <w:pStyle w:val="BodyText"/>
      </w:pPr>
      <w:r>
        <w:t xml:space="preserve">Most operators discover the true cost structure six months into implementation, when the additional invoices start arriving. The platform license was just the entry fee. The real money goes to getting live, staying compliant, and scaling operations. By then, switching costs make you a captive customer.</w:t>
      </w:r>
    </w:p>
    <w:p>
      <w:pPr>
        <w:pStyle w:val="BodyText"/>
      </w:pPr>
      <w:r>
        <w:t xml:space="preserve">This analysis covers publicly available casino platform pricing models from major providers, breaks down the hidden cost categories that consistently catch operators off-guard, and provides a framework for calculating total cost of ownership. For full vendor comparisons and technical evaluation criteria, see our</w:t>
      </w:r>
      <w:r>
        <w:t xml:space="preserve"> </w:t>
      </w:r>
      <w:hyperlink r:id="rId9">
        <w:r>
          <w:rPr>
            <w:rStyle w:val="Hyperlink"/>
          </w:rPr>
          <w:t xml:space="preserve">Best Casino Platforms 2026 guide</w:t>
        </w:r>
      </w:hyperlink>
      <w:r>
        <w:t xml:space="preserve">.</w:t>
      </w:r>
    </w:p>
    <w:bookmarkStart w:id="16" w:name="pricing-at-a-glance"/>
    <w:p>
      <w:pPr>
        <w:pStyle w:val="Heading2"/>
      </w:pPr>
      <w:r>
        <w:t xml:space="preserve">Pricing at a Glance</w:t>
      </w:r>
    </w:p>
    <w:tbl>
      <w:tblPr>
        <w:tblStyle w:val="Table"/>
        <w:tblW w:type="pct" w:w="5000"/>
        <w:tblLayout w:type="fixed"/>
        <w:tblLook w:firstRow="1" w:lastRow="0" w:firstColumn="0" w:lastColumn="0" w:noHBand="0" w:noVBand="0" w:val="0020"/>
      </w:tblPr>
      <w:tblGrid>
        <w:gridCol w:w="931"/>
        <w:gridCol w:w="815"/>
        <w:gridCol w:w="2212"/>
        <w:gridCol w:w="2795"/>
        <w:gridCol w:w="1164"/>
      </w:tblGrid>
      <w:tr>
        <w:trPr>
          <w:tblHeader w:val="on"/>
        </w:trPr>
        <w:tc>
          <w:tcPr/>
          <w:p>
            <w:pPr>
              <w:pStyle w:val="Compact"/>
            </w:pPr>
            <w:r>
              <w:t xml:space="preserve">Vendor</w:t>
            </w:r>
          </w:p>
        </w:tc>
        <w:tc>
          <w:tcPr/>
          <w:p>
            <w:pPr>
              <w:pStyle w:val="Compact"/>
            </w:pPr>
            <w:r>
              <w:t xml:space="preserve">Model</w:t>
            </w:r>
          </w:p>
        </w:tc>
        <w:tc>
          <w:tcPr/>
          <w:p>
            <w:pPr>
              <w:pStyle w:val="Compact"/>
            </w:pPr>
            <w:r>
              <w:t xml:space="preserve">Price Transparency</w:t>
            </w:r>
          </w:p>
        </w:tc>
        <w:tc>
          <w:tcPr/>
          <w:p>
            <w:pPr>
              <w:pStyle w:val="Compact"/>
            </w:pPr>
            <w:r>
              <w:t xml:space="preserve">Estimated Year 1 Range</w:t>
            </w:r>
          </w:p>
        </w:tc>
        <w:tc>
          <w:tcPr/>
          <w:p>
            <w:pPr>
              <w:pStyle w:val="Compact"/>
            </w:pPr>
            <w:r>
              <w:t xml:space="preserve">Best For</w:t>
            </w:r>
          </w:p>
        </w:tc>
      </w:tr>
      <w:tr>
        <w:tc>
          <w:tcPr/>
          <w:p>
            <w:pPr>
              <w:pStyle w:val="Compact"/>
            </w:pPr>
            <w:hyperlink r:id="rId10">
              <w:r>
                <w:rPr>
                  <w:rStyle w:val="Hyperlink"/>
                </w:rPr>
                <w:t xml:space="preserve">EveryMatrix</w:t>
              </w:r>
            </w:hyperlink>
          </w:p>
        </w:tc>
        <w:tc>
          <w:tcPr/>
          <w:p>
            <w:pPr>
              <w:pStyle w:val="Compact"/>
            </w:pPr>
            <w:r>
              <w:t xml:space="preserve">Modular licensing</w:t>
            </w:r>
          </w:p>
        </w:tc>
        <w:tc>
          <w:tcPr/>
          <w:p>
            <w:pPr>
              <w:pStyle w:val="Compact"/>
            </w:pPr>
            <w:r>
              <w:t xml:space="preserve">Medium</w:t>
            </w:r>
          </w:p>
        </w:tc>
        <w:tc>
          <w:tcPr/>
          <w:p>
            <w:pPr>
              <w:pStyle w:val="Compact"/>
            </w:pPr>
            <w:r>
              <w:t xml:space="preserve">$150K-$500K+</w:t>
            </w:r>
          </w:p>
        </w:tc>
        <w:tc>
          <w:tcPr/>
          <w:p>
            <w:pPr>
              <w:pStyle w:val="Compact"/>
            </w:pPr>
            <w:r>
              <w:t xml:space="preserve">Multi-market operators</w:t>
            </w:r>
          </w:p>
        </w:tc>
      </w:tr>
      <w:tr>
        <w:tc>
          <w:tcPr/>
          <w:p>
            <w:pPr>
              <w:pStyle w:val="Compact"/>
            </w:pPr>
            <w:hyperlink r:id="rId11">
              <w:r>
                <w:rPr>
                  <w:rStyle w:val="Hyperlink"/>
                </w:rPr>
                <w:t xml:space="preserve">SOFTSWISS</w:t>
              </w:r>
            </w:hyperlink>
          </w:p>
        </w:tc>
        <w:tc>
          <w:tcPr/>
          <w:p>
            <w:pPr>
              <w:pStyle w:val="Compact"/>
            </w:pPr>
            <w:r>
              <w:t xml:space="preserve">Revenue share + setup</w:t>
            </w:r>
          </w:p>
        </w:tc>
        <w:tc>
          <w:tcPr/>
          <w:p>
            <w:pPr>
              <w:pStyle w:val="Compact"/>
            </w:pPr>
            <w:r>
              <w:t xml:space="preserve">Low</w:t>
            </w:r>
          </w:p>
        </w:tc>
        <w:tc>
          <w:tcPr/>
          <w:p>
            <w:pPr>
              <w:pStyle w:val="Compact"/>
            </w:pPr>
            <w:r>
              <w:t xml:space="preserve">$100K-$300K</w:t>
            </w:r>
          </w:p>
        </w:tc>
        <w:tc>
          <w:tcPr/>
          <w:p>
            <w:pPr>
              <w:pStyle w:val="Compact"/>
            </w:pPr>
            <w:r>
              <w:t xml:space="preserve">Crypto-focused brands</w:t>
            </w:r>
          </w:p>
        </w:tc>
      </w:tr>
      <w:tr>
        <w:tc>
          <w:tcPr/>
          <w:p>
            <w:pPr>
              <w:pStyle w:val="Compact"/>
            </w:pPr>
            <w:hyperlink r:id="rId12">
              <w:r>
                <w:rPr>
                  <w:rStyle w:val="Hyperlink"/>
                </w:rPr>
                <w:t xml:space="preserve">BetConstruct</w:t>
              </w:r>
            </w:hyperlink>
          </w:p>
        </w:tc>
        <w:tc>
          <w:tcPr/>
          <w:p>
            <w:pPr>
              <w:pStyle w:val="Compact"/>
            </w:pPr>
            <w:r>
              <w:t xml:space="preserve">All-in-one licensing</w:t>
            </w:r>
          </w:p>
        </w:tc>
        <w:tc>
          <w:tcPr/>
          <w:p>
            <w:pPr>
              <w:pStyle w:val="Compact"/>
            </w:pPr>
            <w:r>
              <w:t xml:space="preserve">Low</w:t>
            </w:r>
          </w:p>
        </w:tc>
        <w:tc>
          <w:tcPr/>
          <w:p>
            <w:pPr>
              <w:pStyle w:val="Compact"/>
            </w:pPr>
            <w:r>
              <w:t xml:space="preserve">$200K-$600K</w:t>
            </w:r>
          </w:p>
        </w:tc>
        <w:tc>
          <w:tcPr/>
          <w:p>
            <w:pPr>
              <w:pStyle w:val="Compact"/>
            </w:pPr>
            <w:r>
              <w:t xml:space="preserve">Full-service launches</w:t>
            </w:r>
          </w:p>
        </w:tc>
      </w:tr>
      <w:tr>
        <w:tc>
          <w:tcPr/>
          <w:p>
            <w:pPr>
              <w:pStyle w:val="Compact"/>
            </w:pPr>
            <w:hyperlink r:id="rId13">
              <w:r>
                <w:rPr>
                  <w:rStyle w:val="Hyperlink"/>
                </w:rPr>
                <w:t xml:space="preserve">Pragmatic Play Platform</w:t>
              </w:r>
            </w:hyperlink>
          </w:p>
        </w:tc>
        <w:tc>
          <w:tcPr/>
          <w:p>
            <w:pPr>
              <w:pStyle w:val="Compact"/>
            </w:pPr>
            <w:r>
              <w:t xml:space="preserve">Revenue share</w:t>
            </w:r>
          </w:p>
        </w:tc>
        <w:tc>
          <w:tcPr/>
          <w:p>
            <w:pPr>
              <w:pStyle w:val="Compact"/>
            </w:pPr>
            <w:r>
              <w:t xml:space="preserve">Medium</w:t>
            </w:r>
          </w:p>
        </w:tc>
        <w:tc>
          <w:tcPr/>
          <w:p>
            <w:pPr>
              <w:pStyle w:val="Compact"/>
            </w:pPr>
            <w:r>
              <w:t xml:space="preserve">$80K-$250K</w:t>
            </w:r>
          </w:p>
        </w:tc>
        <w:tc>
          <w:tcPr/>
          <w:p>
            <w:pPr>
              <w:pStyle w:val="Compact"/>
            </w:pPr>
            <w:r>
              <w:t xml:space="preserve">Content-first operators</w:t>
            </w:r>
          </w:p>
        </w:tc>
      </w:tr>
      <w:tr>
        <w:tc>
          <w:tcPr/>
          <w:p>
            <w:pPr>
              <w:pStyle w:val="Compact"/>
            </w:pPr>
            <w:hyperlink r:id="rId14">
              <w:r>
                <w:rPr>
                  <w:rStyle w:val="Hyperlink"/>
                </w:rPr>
                <w:t xml:space="preserve">SoftGamings</w:t>
              </w:r>
            </w:hyperlink>
          </w:p>
        </w:tc>
        <w:tc>
          <w:tcPr/>
          <w:p>
            <w:pPr>
              <w:pStyle w:val="Compact"/>
            </w:pPr>
            <w:r>
              <w:t xml:space="preserve">White label + rev share</w:t>
            </w:r>
          </w:p>
        </w:tc>
        <w:tc>
          <w:tcPr/>
          <w:p>
            <w:pPr>
              <w:pStyle w:val="Compact"/>
            </w:pPr>
            <w:r>
              <w:t xml:space="preserve">High</w:t>
            </w:r>
          </w:p>
        </w:tc>
        <w:tc>
          <w:tcPr/>
          <w:p>
            <w:pPr>
              <w:pStyle w:val="Compact"/>
            </w:pPr>
            <w:r>
              <w:t xml:space="preserve">$50K-$150K</w:t>
            </w:r>
          </w:p>
        </w:tc>
        <w:tc>
          <w:tcPr/>
          <w:p>
            <w:pPr>
              <w:pStyle w:val="Compact"/>
            </w:pPr>
            <w:r>
              <w:t xml:space="preserve">Quick market entry</w:t>
            </w:r>
          </w:p>
        </w:tc>
      </w:tr>
      <w:tr>
        <w:tc>
          <w:tcPr/>
          <w:p>
            <w:pPr>
              <w:pStyle w:val="Compact"/>
            </w:pPr>
            <w:hyperlink r:id="rId15">
              <w:r>
                <w:rPr>
                  <w:rStyle w:val="Hyperlink"/>
                </w:rPr>
                <w:t xml:space="preserve">Playtech</w:t>
              </w:r>
            </w:hyperlink>
          </w:p>
        </w:tc>
        <w:tc>
          <w:tcPr/>
          <w:p>
            <w:pPr>
              <w:pStyle w:val="Compact"/>
            </w:pPr>
            <w:r>
              <w:t xml:space="preserve">Enterprise licensing</w:t>
            </w:r>
          </w:p>
        </w:tc>
        <w:tc>
          <w:tcPr/>
          <w:p>
            <w:pPr>
              <w:pStyle w:val="Compact"/>
            </w:pPr>
            <w:r>
              <w:t xml:space="preserve">Low</w:t>
            </w:r>
          </w:p>
        </w:tc>
        <w:tc>
          <w:tcPr/>
          <w:p>
            <w:pPr>
              <w:pStyle w:val="Compact"/>
            </w:pPr>
            <w:r>
              <w:t xml:space="preserve">$500K-$2M+</w:t>
            </w:r>
          </w:p>
        </w:tc>
        <w:tc>
          <w:tcPr/>
          <w:p>
            <w:pPr>
              <w:pStyle w:val="Compact"/>
            </w:pPr>
            <w:r>
              <w:t xml:space="preserve">Tier 1 operators only</w:t>
            </w:r>
          </w:p>
        </w:tc>
      </w:tr>
    </w:tbl>
    <w:p>
      <w:pPr>
        <w:pStyle w:val="BodyText"/>
      </w:pPr>
      <w:r>
        <w:t xml:space="preserve">The total cost of ownership is typically 2-3x the headline license fee when you factor in implementation, compliance, payments, and operational add-ons.</w:t>
      </w:r>
    </w:p>
    <w:bookmarkEnd w:id="16"/>
    <w:bookmarkStart w:id="21" w:name="pricing-models-explained"/>
    <w:p>
      <w:pPr>
        <w:pStyle w:val="Heading2"/>
      </w:pPr>
      <w:r>
        <w:t xml:space="preserve">Pricing Models Explained</w:t>
      </w:r>
    </w:p>
    <w:p>
      <w:pPr>
        <w:pStyle w:val="FirstParagraph"/>
      </w:pPr>
      <w:r>
        <w:t xml:space="preserve">The casino platform market runs on four main commercial models. Each one shifts risk and cost timing differently.</w:t>
      </w:r>
    </w:p>
    <w:bookmarkStart w:id="17" w:name="revenue-share"/>
    <w:p>
      <w:pPr>
        <w:pStyle w:val="Heading3"/>
      </w:pPr>
      <w:r>
        <w:t xml:space="preserve">Revenue Share</w:t>
      </w:r>
    </w:p>
    <w:p>
      <w:pPr>
        <w:pStyle w:val="FirstParagraph"/>
      </w:pPr>
      <w:r>
        <w:t xml:space="preserve">Revenue share means the platform takes a percentage of your gross gaming revenue (GGR) monthly. Typical ranges are 10-25%, with most deals landing between 12-18%.</w:t>
      </w:r>
    </w:p>
    <w:p>
      <w:pPr>
        <w:pStyle w:val="BodyText"/>
      </w:pPr>
      <w:r>
        <w:rPr>
          <w:b/>
          <w:bCs/>
        </w:rPr>
        <w:t xml:space="preserve">Pros:</w:t>
      </w:r>
      <w:r>
        <w:t xml:space="preserve"> </w:t>
      </w:r>
      <w:r>
        <w:t xml:space="preserve">- Lower upfront capital requirement</w:t>
      </w:r>
      <w:r>
        <w:t xml:space="preserve"> </w:t>
      </w:r>
      <w:r>
        <w:t xml:space="preserve">- Platform success aligned with operator success</w:t>
      </w:r>
      <w:r>
        <w:t xml:space="preserve"> </w:t>
      </w:r>
      <w:r>
        <w:t xml:space="preserve">- Easier to budget as a percentage of revenue</w:t>
      </w:r>
      <w:r>
        <w:t xml:space="preserve"> </w:t>
      </w:r>
      <w:r>
        <w:t xml:space="preserve">- Less financial risk during launch phase</w:t>
      </w:r>
    </w:p>
    <w:p>
      <w:pPr>
        <w:pStyle w:val="BodyText"/>
      </w:pPr>
      <w:r>
        <w:rPr>
          <w:b/>
          <w:bCs/>
        </w:rPr>
        <w:t xml:space="preserve">Cons:</w:t>
      </w:r>
      <w:r>
        <w:t xml:space="preserve"> </w:t>
      </w:r>
      <w:r>
        <w:t xml:space="preserve">- Becomes expensive at scale (millions in annual fees for successful brands)</w:t>
      </w:r>
      <w:r>
        <w:t xml:space="preserve"> </w:t>
      </w:r>
      <w:r>
        <w:t xml:space="preserve">- Platform controls the billing metric (GGR calculation)</w:t>
      </w:r>
      <w:r>
        <w:t xml:space="preserve"> </w:t>
      </w:r>
      <w:r>
        <w:t xml:space="preserve">- Harder to predict long-term unit economics</w:t>
      </w:r>
      <w:r>
        <w:t xml:space="preserve"> </w:t>
      </w:r>
      <w:r>
        <w:t xml:space="preserve">- Creates incentive misalignment around operator margins</w:t>
      </w:r>
    </w:p>
    <w:p>
      <w:pPr>
        <w:pStyle w:val="BodyText"/>
      </w:pPr>
      <w:r>
        <w:rPr>
          <w:b/>
          <w:bCs/>
        </w:rPr>
        <w:t xml:space="preserve">Best for:</w:t>
      </w:r>
      <w:r>
        <w:t xml:space="preserve"> </w:t>
      </w:r>
      <w:r>
        <w:t xml:space="preserve">New operators, crypto brands, or anyone launching in unproven markets where upfront capital preservation matters more than long-term cost optimization.</w:t>
      </w:r>
    </w:p>
    <w:bookmarkEnd w:id="17"/>
    <w:bookmarkStart w:id="18" w:name="fixed-license-fee"/>
    <w:p>
      <w:pPr>
        <w:pStyle w:val="Heading3"/>
      </w:pPr>
      <w:r>
        <w:t xml:space="preserve">Fixed License Fee</w:t>
      </w:r>
    </w:p>
    <w:p>
      <w:pPr>
        <w:pStyle w:val="FirstParagraph"/>
      </w:pPr>
      <w:r>
        <w:t xml:space="preserve">Monthly or annual licensing fees regardless of revenue performance. Enterprise deals often combine multiple modules into bundled pricing.</w:t>
      </w:r>
    </w:p>
    <w:p>
      <w:pPr>
        <w:pStyle w:val="BodyText"/>
      </w:pPr>
      <w:r>
        <w:rPr>
          <w:b/>
          <w:bCs/>
        </w:rPr>
        <w:t xml:space="preserve">Pros:</w:t>
      </w:r>
      <w:r>
        <w:t xml:space="preserve"> </w:t>
      </w:r>
      <w:r>
        <w:t xml:space="preserve">- Predictable cost structure for financial planning</w:t>
      </w:r>
      <w:r>
        <w:t xml:space="preserve"> </w:t>
      </w:r>
      <w:r>
        <w:t xml:space="preserve">- No revenue sharing means better unit economics at scale</w:t>
      </w:r>
      <w:r>
        <w:t xml:space="preserve"> </w:t>
      </w:r>
      <w:r>
        <w:t xml:space="preserve">- More negotiation leverage on renewal terms</w:t>
      </w:r>
      <w:r>
        <w:t xml:space="preserve"> </w:t>
      </w:r>
      <w:r>
        <w:t xml:space="preserve">- Cleaner margin calculations for investors</w:t>
      </w:r>
    </w:p>
    <w:p>
      <w:pPr>
        <w:pStyle w:val="BodyText"/>
      </w:pPr>
      <w:r>
        <w:rPr>
          <w:b/>
          <w:bCs/>
        </w:rPr>
        <w:t xml:space="preserve">Cons:</w:t>
      </w:r>
      <w:r>
        <w:t xml:space="preserve"> </w:t>
      </w:r>
      <w:r>
        <w:t xml:space="preserve">- High upfront and ongoing costs regardless of performance</w:t>
      </w:r>
      <w:r>
        <w:t xml:space="preserve"> </w:t>
      </w:r>
      <w:r>
        <w:t xml:space="preserve">- Platform has less incentive to support your growth</w:t>
      </w:r>
      <w:r>
        <w:t xml:space="preserve"> </w:t>
      </w:r>
      <w:r>
        <w:t xml:space="preserve">- Cash flow pressure during low-revenue periods</w:t>
      </w:r>
      <w:r>
        <w:t xml:space="preserve"> </w:t>
      </w:r>
      <w:r>
        <w:t xml:space="preserve">- Typically requires minimum commitment terms</w:t>
      </w:r>
    </w:p>
    <w:p>
      <w:pPr>
        <w:pStyle w:val="BodyText"/>
      </w:pPr>
      <w:r>
        <w:rPr>
          <w:b/>
          <w:bCs/>
        </w:rPr>
        <w:t xml:space="preserve">Best for:</w:t>
      </w:r>
      <w:r>
        <w:t xml:space="preserve"> </w:t>
      </w:r>
      <w:r>
        <w:t xml:space="preserve">Established operators with predictable revenue streams, multi-brand portfolios, or businesses targeting high-volume markets where revenue share costs become prohibitive.</w:t>
      </w:r>
    </w:p>
    <w:bookmarkEnd w:id="18"/>
    <w:bookmarkStart w:id="19" w:name="hybrid-models"/>
    <w:p>
      <w:pPr>
        <w:pStyle w:val="Heading3"/>
      </w:pPr>
      <w:r>
        <w:t xml:space="preserve">Hybrid Models</w:t>
      </w:r>
    </w:p>
    <w:p>
      <w:pPr>
        <w:pStyle w:val="FirstParagraph"/>
      </w:pPr>
      <w:r>
        <w:t xml:space="preserve">Combination of lower revenue share (5-10%) plus monthly platform fees. Some deals include performance tiers that shift the ratio as you scale.</w:t>
      </w:r>
    </w:p>
    <w:p>
      <w:pPr>
        <w:pStyle w:val="BodyText"/>
      </w:pPr>
      <w:r>
        <w:rPr>
          <w:b/>
          <w:bCs/>
        </w:rPr>
        <w:t xml:space="preserve">Pros:</w:t>
      </w:r>
      <w:r>
        <w:t xml:space="preserve"> </w:t>
      </w:r>
      <w:r>
        <w:t xml:space="preserve">- Balances upfront cost management with long-term economics</w:t>
      </w:r>
      <w:r>
        <w:t xml:space="preserve"> </w:t>
      </w:r>
      <w:r>
        <w:t xml:space="preserve">- Platform maintains growth incentive without maximum cost exposure</w:t>
      </w:r>
      <w:r>
        <w:t xml:space="preserve"> </w:t>
      </w:r>
      <w:r>
        <w:t xml:space="preserve">- Can include volume discounts or performance bonuses</w:t>
      </w:r>
      <w:r>
        <w:t xml:space="preserve"> </w:t>
      </w:r>
      <w:r>
        <w:t xml:space="preserve">- Flexibility to renegotiate terms based on actual performance</w:t>
      </w:r>
    </w:p>
    <w:p>
      <w:pPr>
        <w:pStyle w:val="BodyText"/>
      </w:pPr>
      <w:r>
        <w:rPr>
          <w:b/>
          <w:bCs/>
        </w:rPr>
        <w:t xml:space="preserve">Cons:</w:t>
      </w:r>
      <w:r>
        <w:t xml:space="preserve"> </w:t>
      </w:r>
      <w:r>
        <w:t xml:space="preserve">- More complex contract terms and billing</w:t>
      </w:r>
      <w:r>
        <w:t xml:space="preserve"> </w:t>
      </w:r>
      <w:r>
        <w:t xml:space="preserve">- Requires accurate revenue forecasting for budget planning</w:t>
      </w:r>
      <w:r>
        <w:t xml:space="preserve"> </w:t>
      </w:r>
      <w:r>
        <w:t xml:space="preserve">- Platform may push you toward the higher-margin pricing tier</w:t>
      </w:r>
      <w:r>
        <w:t xml:space="preserve"> </w:t>
      </w:r>
      <w:r>
        <w:t xml:space="preserve">- Exit costs can be higher due to multiple fee components</w:t>
      </w:r>
    </w:p>
    <w:p>
      <w:pPr>
        <w:pStyle w:val="BodyText"/>
      </w:pPr>
      <w:r>
        <w:rPr>
          <w:b/>
          <w:bCs/>
        </w:rPr>
        <w:t xml:space="preserve">Best for:</w:t>
      </w:r>
      <w:r>
        <w:t xml:space="preserve"> </w:t>
      </w:r>
      <w:r>
        <w:t xml:space="preserve">Mid-market operators with established revenue but growth plans, or businesses entering multiple markets with different performance expectations.</w:t>
      </w:r>
    </w:p>
    <w:bookmarkEnd w:id="19"/>
    <w:bookmarkStart w:id="20" w:name="transaction-based-pricing"/>
    <w:p>
      <w:pPr>
        <w:pStyle w:val="Heading3"/>
      </w:pPr>
      <w:r>
        <w:t xml:space="preserve">Transaction-Based Pricing</w:t>
      </w:r>
    </w:p>
    <w:p>
      <w:pPr>
        <w:pStyle w:val="FirstParagraph"/>
      </w:pPr>
      <w:r>
        <w:t xml:space="preserve">Payment per game round, bet, or player action. Less common for full platforms but used for specific modules like payment orchestration or fraud prevention.</w:t>
      </w:r>
    </w:p>
    <w:p>
      <w:pPr>
        <w:pStyle w:val="BodyText"/>
      </w:pPr>
      <w:r>
        <w:rPr>
          <w:b/>
          <w:bCs/>
        </w:rPr>
        <w:t xml:space="preserve">Pros:</w:t>
      </w:r>
      <w:r>
        <w:t xml:space="preserve"> </w:t>
      </w:r>
      <w:r>
        <w:t xml:space="preserve">- Direct cost correlation with platform usage</w:t>
      </w:r>
      <w:r>
        <w:t xml:space="preserve"> </w:t>
      </w:r>
      <w:r>
        <w:t xml:space="preserve">- Easy to calculate ROI per transaction</w:t>
      </w:r>
      <w:r>
        <w:t xml:space="preserve"> </w:t>
      </w:r>
      <w:r>
        <w:t xml:space="preserve">- No revenue sharing or minimum commitments</w:t>
      </w:r>
      <w:r>
        <w:t xml:space="preserve"> </w:t>
      </w:r>
      <w:r>
        <w:t xml:space="preserve">- Scales perfectly with business volume</w:t>
      </w:r>
    </w:p>
    <w:p>
      <w:pPr>
        <w:pStyle w:val="BodyText"/>
      </w:pPr>
      <w:r>
        <w:rPr>
          <w:b/>
          <w:bCs/>
        </w:rPr>
        <w:t xml:space="preserve">Cons:</w:t>
      </w:r>
      <w:r>
        <w:t xml:space="preserve"> </w:t>
      </w:r>
      <w:r>
        <w:t xml:space="preserve">- Can become expensive for high-frequency games</w:t>
      </w:r>
      <w:r>
        <w:t xml:space="preserve"> </w:t>
      </w:r>
      <w:r>
        <w:t xml:space="preserve">- Billing complexity for multiple transaction types</w:t>
      </w:r>
      <w:r>
        <w:t xml:space="preserve"> </w:t>
      </w:r>
      <w:r>
        <w:t xml:space="preserve">- Less predictable monthly costs</w:t>
      </w:r>
      <w:r>
        <w:t xml:space="preserve"> </w:t>
      </w:r>
      <w:r>
        <w:t xml:space="preserve">- May incentivize platform to increase transaction volume regardless of profitability</w:t>
      </w:r>
    </w:p>
    <w:p>
      <w:pPr>
        <w:pStyle w:val="BodyText"/>
      </w:pPr>
      <w:r>
        <w:rPr>
          <w:b/>
          <w:bCs/>
        </w:rPr>
        <w:t xml:space="preserve">Best for:</w:t>
      </w:r>
      <w:r>
        <w:t xml:space="preserve"> </w:t>
      </w:r>
      <w:r>
        <w:t xml:space="preserve">Operators with specific module needs rather than full platform requirements, or businesses with highly variable transaction patterns.</w:t>
      </w:r>
    </w:p>
    <w:bookmarkEnd w:id="20"/>
    <w:bookmarkEnd w:id="21"/>
    <w:bookmarkStart w:id="24" w:name="vendor-pricing-table"/>
    <w:p>
      <w:pPr>
        <w:pStyle w:val="Heading2"/>
      </w:pPr>
      <w:r>
        <w:t xml:space="preserve">Vendor Pricing Table</w:t>
      </w:r>
    </w:p>
    <w:tbl>
      <w:tblPr>
        <w:tblStyle w:val="Table"/>
        <w:tblW w:type="pct" w:w="5000"/>
        <w:tblLayout w:type="fixed"/>
        <w:tblLook w:firstRow="1" w:lastRow="0" w:firstColumn="0" w:lastColumn="0" w:noHBand="0" w:noVBand="0" w:val="0020"/>
      </w:tblPr>
      <w:tblGrid>
        <w:gridCol w:w="918"/>
        <w:gridCol w:w="803"/>
        <w:gridCol w:w="1492"/>
        <w:gridCol w:w="1377"/>
        <w:gridCol w:w="2410"/>
        <w:gridCol w:w="918"/>
      </w:tblGrid>
      <w:tr>
        <w:trPr>
          <w:tblHeader w:val="on"/>
        </w:trPr>
        <w:tc>
          <w:tcPr/>
          <w:p>
            <w:pPr>
              <w:pStyle w:val="Compact"/>
            </w:pPr>
            <w:r>
              <w:t xml:space="preserve">Vendor</w:t>
            </w:r>
          </w:p>
        </w:tc>
        <w:tc>
          <w:tcPr/>
          <w:p>
            <w:pPr>
              <w:pStyle w:val="Compact"/>
            </w:pPr>
            <w:r>
              <w:t xml:space="preserve">Model</w:t>
            </w:r>
          </w:p>
        </w:tc>
        <w:tc>
          <w:tcPr/>
          <w:p>
            <w:pPr>
              <w:pStyle w:val="Compact"/>
            </w:pPr>
            <w:r>
              <w:t xml:space="preserve">Public Price</w:t>
            </w:r>
          </w:p>
        </w:tc>
        <w:tc>
          <w:tcPr/>
          <w:p>
            <w:pPr>
              <w:pStyle w:val="Compact"/>
            </w:pPr>
            <w:r>
              <w:t xml:space="preserve">Setup Fees</w:t>
            </w:r>
          </w:p>
        </w:tc>
        <w:tc>
          <w:tcPr/>
          <w:p>
            <w:pPr>
              <w:pStyle w:val="Compact"/>
            </w:pPr>
            <w:r>
              <w:t xml:space="preserve">Pricing Transparency</w:t>
            </w:r>
          </w:p>
        </w:tc>
        <w:tc>
          <w:tcPr/>
          <w:p>
            <w:pPr>
              <w:pStyle w:val="Compact"/>
            </w:pPr>
            <w:r>
              <w:t xml:space="preserve">Notes</w:t>
            </w:r>
          </w:p>
        </w:tc>
      </w:tr>
      <w:tr>
        <w:tc>
          <w:tcPr/>
          <w:p>
            <w:pPr>
              <w:pStyle w:val="Compact"/>
            </w:pPr>
            <w:hyperlink r:id="rId10">
              <w:r>
                <w:rPr>
                  <w:rStyle w:val="Hyperlink"/>
                </w:rPr>
                <w:t xml:space="preserve">EveryMatrix</w:t>
              </w:r>
            </w:hyperlink>
          </w:p>
        </w:tc>
        <w:tc>
          <w:tcPr/>
          <w:p>
            <w:pPr>
              <w:pStyle w:val="Compact"/>
            </w:pPr>
            <w:r>
              <w:t xml:space="preserve">Modular licensing</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PAM, CasinoEngine, PaymentIQ priced separately. EveryMatrix expanded its global lottery footprint by becoming a member of NASPL in March 2026.</w:t>
            </w:r>
          </w:p>
        </w:tc>
      </w:tr>
      <w:tr>
        <w:tc>
          <w:tcPr/>
          <w:p>
            <w:pPr>
              <w:pStyle w:val="Compact"/>
            </w:pPr>
            <w:hyperlink r:id="rId11">
              <w:r>
                <w:rPr>
                  <w:rStyle w:val="Hyperlink"/>
                </w:rPr>
                <w:t xml:space="preserve">SOFTSWISS</w:t>
              </w:r>
            </w:hyperlink>
          </w:p>
        </w:tc>
        <w:tc>
          <w:tcPr/>
          <w:p>
            <w:pPr>
              <w:pStyle w:val="Compact"/>
            </w:pPr>
            <w:r>
              <w:t xml:space="preserve">Rev share + setup</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Crypto focus, powering numerous brands. SOFTSWISS launched its Prediction Markets B2B solution in April 2026.</w:t>
            </w:r>
          </w:p>
        </w:tc>
      </w:tr>
      <w:tr>
        <w:tc>
          <w:tcPr/>
          <w:p>
            <w:pPr>
              <w:pStyle w:val="Compact"/>
            </w:pPr>
            <w:hyperlink r:id="rId12">
              <w:r>
                <w:rPr>
                  <w:rStyle w:val="Hyperlink"/>
                </w:rPr>
                <w:t xml:space="preserve">BetConstruct</w:t>
              </w:r>
            </w:hyperlink>
          </w:p>
        </w:tc>
        <w:tc>
          <w:tcPr/>
          <w:p>
            <w:pPr>
              <w:pStyle w:val="Compact"/>
            </w:pPr>
            <w:r>
              <w:t xml:space="preserve">Licensing + rev share</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Offers all-in-one Spring Platform. BetConstruct became the first iGaming provider to offer both B2B and B2C licenses in Canada through its affiliate entity, YoLicense, in January 2026.</w:t>
            </w:r>
          </w:p>
        </w:tc>
      </w:tr>
      <w:tr>
        <w:tc>
          <w:tcPr/>
          <w:p>
            <w:pPr>
              <w:pStyle w:val="Compact"/>
            </w:pPr>
            <w:hyperlink r:id="rId13">
              <w:r>
                <w:rPr>
                  <w:rStyle w:val="Hyperlink"/>
                </w:rPr>
                <w:t xml:space="preserve">Pragmatic Play Platform</w:t>
              </w:r>
            </w:hyperlink>
          </w:p>
        </w:tc>
        <w:tc>
          <w:tcPr/>
          <w:p>
            <w:pPr>
              <w:pStyle w:val="Compact"/>
            </w:pPr>
            <w:r>
              <w:t xml:space="preserve">Revenue share</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Content + platform bundle. Pragmatic Play expanded its LatAm presence with a comprehensive product deal with Mexican operator Winland in April 2026.</w:t>
            </w:r>
          </w:p>
        </w:tc>
      </w:tr>
      <w:tr>
        <w:tc>
          <w:tcPr/>
          <w:p>
            <w:pPr>
              <w:pStyle w:val="Compact"/>
            </w:pPr>
            <w:hyperlink r:id="rId14">
              <w:r>
                <w:rPr>
                  <w:rStyle w:val="Hyperlink"/>
                </w:rPr>
                <w:t xml:space="preserve">SoftGamings</w:t>
              </w:r>
            </w:hyperlink>
          </w:p>
        </w:tc>
        <w:tc>
          <w:tcPr/>
          <w:p>
            <w:pPr>
              <w:pStyle w:val="Compact"/>
            </w:pPr>
            <w:r>
              <w:t xml:space="preserve">White label hybrid</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Quick deployment focus. SoftGamings continues to be a go-to white label solution provider for European operators in 2026, offering comprehensive game connectivity and customizable branding.</w:t>
            </w:r>
          </w:p>
        </w:tc>
      </w:tr>
      <w:tr>
        <w:tc>
          <w:tcPr/>
          <w:p>
            <w:pPr>
              <w:pStyle w:val="Compact"/>
            </w:pPr>
            <w:hyperlink r:id="rId15">
              <w:r>
                <w:rPr>
                  <w:rStyle w:val="Hyperlink"/>
                </w:rPr>
                <w:t xml:space="preserve">Playtech</w:t>
              </w:r>
            </w:hyperlink>
          </w:p>
        </w:tc>
        <w:tc>
          <w:tcPr/>
          <w:p>
            <w:pPr>
              <w:pStyle w:val="Compact"/>
            </w:pPr>
            <w:r>
              <w:t xml:space="preserve">Enterprise fixed</w:t>
            </w:r>
          </w:p>
        </w:tc>
        <w:tc>
          <w:tcPr/>
          <w:p>
            <w:pPr>
              <w:pStyle w:val="Compact"/>
            </w:pPr>
            <w:r>
              <w:t xml:space="preserve">Not publicly disclosed</w:t>
            </w:r>
          </w:p>
        </w:tc>
        <w:tc>
          <w:tcPr/>
          <w:p>
            <w:pPr>
              <w:pStyle w:val="Compact"/>
            </w:pPr>
            <w:r>
              <w:t xml:space="preserve">Not publicly disclosed</w:t>
            </w:r>
          </w:p>
        </w:tc>
        <w:tc>
          <w:tcPr/>
          <w:p>
            <w:pPr>
              <w:pStyle w:val="Compact"/>
            </w:pPr>
            <w:r>
              <w:t xml:space="preserve">Low</w:t>
            </w:r>
          </w:p>
        </w:tc>
        <w:tc>
          <w:tcPr/>
          <w:p>
            <w:pPr>
              <w:pStyle w:val="Compact"/>
            </w:pPr>
            <w:r>
              <w:t xml:space="preserve">Primarily targets Tier 1 operators. Playtech expanded into Connecticut in March 2026, marking its entry into the sixth regulated iGaming state.</w:t>
            </w:r>
          </w:p>
        </w:tc>
      </w:tr>
      <w:tr>
        <w:tc>
          <w:tcPr/>
          <w:p>
            <w:pPr>
              <w:pStyle w:val="Compact"/>
            </w:pPr>
            <w:hyperlink r:id="rId22">
              <w:r>
                <w:rPr>
                  <w:rStyle w:val="Hyperlink"/>
                </w:rPr>
                <w:t xml:space="preserve">EvolutionOS</w:t>
              </w:r>
            </w:hyperlink>
          </w:p>
        </w:tc>
        <w:tc>
          <w:tcPr/>
          <w:p>
            <w:pPr>
              <w:pStyle w:val="Compact"/>
            </w:pPr>
            <w:r>
              <w:t xml:space="preserve">Not publicly disclosed</w:t>
            </w:r>
          </w:p>
        </w:tc>
        <w:tc>
          <w:tcPr/>
          <w:p>
            <w:pPr>
              <w:pStyle w:val="Compact"/>
            </w:pPr>
            <w:r>
              <w:t xml:space="preserve">Contact vendor</w:t>
            </w:r>
          </w:p>
        </w:tc>
        <w:tc>
          <w:tcPr/>
          <w:p>
            <w:pPr>
              <w:pStyle w:val="Compact"/>
            </w:pPr>
            <w:r>
              <w:t xml:space="preserve">Contact vendor</w:t>
            </w:r>
          </w:p>
        </w:tc>
        <w:tc>
          <w:tcPr/>
          <w:p>
            <w:pPr>
              <w:pStyle w:val="Compact"/>
            </w:pPr>
            <w:r>
              <w:t xml:space="preserve">Low</w:t>
            </w:r>
          </w:p>
        </w:tc>
        <w:tc>
          <w:tcPr/>
          <w:p>
            <w:pPr>
              <w:pStyle w:val="Compact"/>
            </w:pPr>
            <w:r>
              <w:t xml:space="preserve">New platform offering. Evolution Gaming, the parent company, consistently enhances its live casino offerings, which are a core part of its platform strategy in 2026.</w:t>
            </w:r>
          </w:p>
        </w:tc>
      </w:tr>
      <w:tr>
        <w:tc>
          <w:tcPr/>
          <w:p>
            <w:pPr>
              <w:pStyle w:val="Compact"/>
            </w:pPr>
            <w:hyperlink r:id="rId23">
              <w:r>
                <w:rPr>
                  <w:rStyle w:val="Hyperlink"/>
                </w:rPr>
                <w:t xml:space="preserve">Relax Gaming</w:t>
              </w:r>
            </w:hyperlink>
          </w:p>
        </w:tc>
        <w:tc>
          <w:tcPr/>
          <w:p>
            <w:pPr>
              <w:pStyle w:val="Compact"/>
            </w:pPr>
            <w:r>
              <w:t xml:space="preserve">Not publicly disclosed</w:t>
            </w:r>
          </w:p>
        </w:tc>
        <w:tc>
          <w:tcPr/>
          <w:p>
            <w:pPr>
              <w:pStyle w:val="Compact"/>
            </w:pPr>
            <w:r>
              <w:t xml:space="preserve">Contact vendor</w:t>
            </w:r>
          </w:p>
        </w:tc>
        <w:tc>
          <w:tcPr/>
          <w:p>
            <w:pPr>
              <w:pStyle w:val="Compact"/>
            </w:pPr>
            <w:r>
              <w:t xml:space="preserve">Contact vendor</w:t>
            </w:r>
          </w:p>
        </w:tc>
        <w:tc>
          <w:tcPr/>
          <w:p>
            <w:pPr>
              <w:pStyle w:val="Compact"/>
            </w:pPr>
            <w:r>
              <w:t xml:space="preserve">Low</w:t>
            </w:r>
          </w:p>
        </w:tc>
        <w:tc>
          <w:tcPr/>
          <w:p>
            <w:pPr>
              <w:pStyle w:val="Compact"/>
            </w:pPr>
            <w:r>
              <w:t xml:space="preserve">Content-heavy platform. Relax Gaming partnered with Curious Games in March 2026 to facilitate their iGaming debut through its Silver Bullet programme.</w:t>
            </w:r>
          </w:p>
        </w:tc>
      </w:tr>
    </w:tbl>
    <w:p>
      <w:pPr>
        <w:pStyle w:val="BodyText"/>
      </w:pPr>
      <w:r>
        <w:t xml:space="preserve">Most vendors require custom quotes based on market requirements, expected volume, and compliance needs. These ranges reflect reported deals but may not apply to your specific situation.</w:t>
      </w:r>
    </w:p>
    <w:bookmarkEnd w:id="24"/>
    <w:bookmarkStart w:id="25" w:name="hidden-cost-analysis"/>
    <w:p>
      <w:pPr>
        <w:pStyle w:val="Heading2"/>
      </w:pPr>
      <w:r>
        <w:t xml:space="preserve">Hidden Cost Analysis</w:t>
      </w:r>
    </w:p>
    <w:p>
      <w:pPr>
        <w:pStyle w:val="FirstParagraph"/>
      </w:pPr>
      <w:r>
        <w:t xml:space="preserve">The platform license gets you access to software. Actually running a casino requires a dozen additional services that aren’t included in headline pricing.</w:t>
      </w:r>
    </w:p>
    <w:p>
      <w:pPr>
        <w:pStyle w:val="BodyText"/>
      </w:pPr>
      <w:r>
        <w:rPr>
          <w:b/>
          <w:bCs/>
        </w:rPr>
        <w:t xml:space="preserve">Implementation and onboarding:</w:t>
      </w:r>
      <w:r>
        <w:t xml:space="preserve"> </w:t>
      </w:r>
      <w:r>
        <w:t xml:space="preserve">Typically $50K-$300K depending on complexity</w:t>
      </w:r>
      <w:r>
        <w:t xml:space="preserve"> </w:t>
      </w:r>
      <w:r>
        <w:t xml:space="preserve">- Integration development work (4-16 weeks of developer time).</w:t>
      </w:r>
      <w:r>
        <w:t xml:space="preserve"> </w:t>
      </w:r>
      <w:r>
        <w:t xml:space="preserve">- Custom front-end development for headless platforms.</w:t>
      </w:r>
      <w:r>
        <w:t xml:space="preserve"> </w:t>
      </w:r>
      <w:r>
        <w:t xml:space="preserve">- Third-party connector setup (payments, KYC, affiliate systems).</w:t>
      </w:r>
      <w:r>
        <w:t xml:space="preserve"> </w:t>
      </w:r>
      <w:r>
        <w:t xml:space="preserve">- Testing and certification across target markets.</w:t>
      </w:r>
      <w:r>
        <w:t xml:space="preserve"> </w:t>
      </w:r>
      <w:r>
        <w:t xml:space="preserve">- Staff training on platform administration.</w:t>
      </w:r>
      <w:r>
        <w:t xml:space="preserve"> </w:t>
      </w:r>
      <w:r>
        <w:t xml:space="preserve">- Compliance workflow setup and documentation.</w:t>
      </w:r>
    </w:p>
    <w:p>
      <w:pPr>
        <w:pStyle w:val="BodyText"/>
      </w:pPr>
      <w:r>
        <w:rPr>
          <w:b/>
          <w:bCs/>
        </w:rPr>
        <w:t xml:space="preserve">Payment processing and orchestration:</w:t>
      </w:r>
      <w:r>
        <w:t xml:space="preserve"> </w:t>
      </w:r>
      <w:r>
        <w:t xml:space="preserve">3-8% of all transactions</w:t>
      </w:r>
      <w:r>
        <w:t xml:space="preserve"> </w:t>
      </w:r>
      <w:r>
        <w:t xml:space="preserve">- Payment gateway fees (typically 2.5-4% per transaction).</w:t>
      </w:r>
      <w:r>
        <w:t xml:space="preserve"> </w:t>
      </w:r>
      <w:r>
        <w:t xml:space="preserve">- Alternative payment method setup (crypto, e-wallets, local banking).</w:t>
      </w:r>
      <w:r>
        <w:t xml:space="preserve"> </w:t>
      </w:r>
      <w:r>
        <w:t xml:space="preserve">- Fraud prevention tools (separate licensing).</w:t>
      </w:r>
      <w:r>
        <w:t xml:space="preserve"> </w:t>
      </w:r>
      <w:r>
        <w:t xml:space="preserve">- Currency conversion and FX markups (typically 1-3% on international payments).</w:t>
      </w:r>
      <w:r>
        <w:t xml:space="preserve"> </w:t>
      </w:r>
      <w:r>
        <w:t xml:space="preserve">- Chargebacks and dispute handling fees.</w:t>
      </w:r>
      <w:r>
        <w:t xml:space="preserve"> </w:t>
      </w:r>
      <w:r>
        <w:t xml:space="preserve">- PCI DSS compliance and security audits.</w:t>
      </w:r>
    </w:p>
    <w:p>
      <w:pPr>
        <w:pStyle w:val="BodyText"/>
      </w:pPr>
      <w:r>
        <w:rPr>
          <w:b/>
          <w:bCs/>
        </w:rPr>
        <w:t xml:space="preserve">Game content and provider fees:</w:t>
      </w:r>
      <w:r>
        <w:t xml:space="preserve"> </w:t>
      </w:r>
      <w:r>
        <w:t xml:space="preserve">Often 10-25% revenue share to game studios</w:t>
      </w:r>
      <w:r>
        <w:t xml:space="preserve"> </w:t>
      </w:r>
      <w:r>
        <w:t xml:space="preserve">- Premium content access fees.</w:t>
      </w:r>
      <w:r>
        <w:t xml:space="preserve"> </w:t>
      </w:r>
      <w:r>
        <w:t xml:space="preserve">- Exclusive game licensing costs.</w:t>
      </w:r>
      <w:r>
        <w:t xml:space="preserve"> </w:t>
      </w:r>
      <w:r>
        <w:t xml:space="preserve">- Live dealer studio access.</w:t>
      </w:r>
      <w:r>
        <w:t xml:space="preserve"> </w:t>
      </w:r>
      <w:r>
        <w:t xml:space="preserve">- Progressive jackpot participation fees.</w:t>
      </w:r>
      <w:r>
        <w:t xml:space="preserve"> </w:t>
      </w:r>
      <w:r>
        <w:t xml:space="preserve">- Content localization and certification.</w:t>
      </w:r>
      <w:r>
        <w:t xml:space="preserve"> </w:t>
      </w:r>
      <w:r>
        <w:t xml:space="preserve">- Game aggregation platform fees (if not included).</w:t>
      </w:r>
    </w:p>
    <w:p>
      <w:pPr>
        <w:pStyle w:val="BodyText"/>
      </w:pPr>
      <w:r>
        <w:rPr>
          <w:b/>
          <w:bCs/>
        </w:rPr>
        <w:t xml:space="preserve">Compliance and regulatory:</w:t>
      </w:r>
      <w:r>
        <w:t xml:space="preserve"> </w:t>
      </w:r>
      <w:r>
        <w:t xml:space="preserve">Typically $30K-$150K annually per market</w:t>
      </w:r>
      <w:r>
        <w:t xml:space="preserve"> </w:t>
      </w:r>
      <w:r>
        <w:t xml:space="preserve">- License application and maintenance fees.</w:t>
      </w:r>
      <w:r>
        <w:t xml:space="preserve"> </w:t>
      </w:r>
      <w:r>
        <w:t xml:space="preserve">- Legal review and ongoing compliance monitoring.</w:t>
      </w:r>
      <w:r>
        <w:t xml:space="preserve"> </w:t>
      </w:r>
      <w:r>
        <w:t xml:space="preserve">- KYC/AML service integration and usage fees.</w:t>
      </w:r>
      <w:r>
        <w:t xml:space="preserve"> </w:t>
      </w:r>
      <w:r>
        <w:t xml:space="preserve">- Responsible gaming tool licensing.</w:t>
      </w:r>
      <w:r>
        <w:t xml:space="preserve"> </w:t>
      </w:r>
      <w:r>
        <w:t xml:space="preserve">- Data protection and GDPR compliance tools.</w:t>
      </w:r>
      <w:r>
        <w:t xml:space="preserve"> </w:t>
      </w:r>
      <w:r>
        <w:t xml:space="preserve">- Regular audits and certification renewals.</w:t>
      </w:r>
    </w:p>
    <w:p>
      <w:pPr>
        <w:pStyle w:val="BodyText"/>
      </w:pPr>
      <w:r>
        <w:rPr>
          <w:b/>
          <w:bCs/>
        </w:rPr>
        <w:t xml:space="preserve">Infrastructure and hosting:</w:t>
      </w:r>
      <w:r>
        <w:t xml:space="preserve"> </w:t>
      </w:r>
      <w:r>
        <w:t xml:space="preserve">Typically $5K-$50K monthly</w:t>
      </w:r>
      <w:r>
        <w:t xml:space="preserve"> </w:t>
      </w:r>
      <w:r>
        <w:t xml:space="preserve">- Cloud hosting and CDN services.</w:t>
      </w:r>
      <w:r>
        <w:t xml:space="preserve"> </w:t>
      </w:r>
      <w:r>
        <w:t xml:space="preserve">- Database management and backup systems.</w:t>
      </w:r>
      <w:r>
        <w:t xml:space="preserve"> </w:t>
      </w:r>
      <w:r>
        <w:t xml:space="preserve">- Security monitoring and DDoS protection.</w:t>
      </w:r>
      <w:r>
        <w:t xml:space="preserve"> </w:t>
      </w:r>
      <w:r>
        <w:t xml:space="preserve">- Uptime monitoring and incident response.</w:t>
      </w:r>
      <w:r>
        <w:t xml:space="preserve"> </w:t>
      </w:r>
      <w:r>
        <w:t xml:space="preserve">- Performance optimization and scaling.</w:t>
      </w:r>
      <w:r>
        <w:t xml:space="preserve"> </w:t>
      </w:r>
      <w:r>
        <w:t xml:space="preserve">- Data center redundancy across multiple regions.</w:t>
      </w:r>
    </w:p>
    <w:p>
      <w:pPr>
        <w:pStyle w:val="BodyText"/>
      </w:pPr>
      <w:r>
        <w:rPr>
          <w:b/>
          <w:bCs/>
        </w:rPr>
        <w:t xml:space="preserve">Support and maintenance:</w:t>
      </w:r>
      <w:r>
        <w:t xml:space="preserve"> </w:t>
      </w:r>
      <w:r>
        <w:t xml:space="preserve">Often 15-25% of annual license cost</w:t>
      </w:r>
      <w:r>
        <w:t xml:space="preserve"> </w:t>
      </w:r>
      <w:r>
        <w:t xml:space="preserve">- 24/7 technical support beyond basic tier.</w:t>
      </w:r>
      <w:r>
        <w:t xml:space="preserve"> </w:t>
      </w:r>
      <w:r>
        <w:t xml:space="preserve">- Priority response times and dedicated account management.</w:t>
      </w:r>
      <w:r>
        <w:t xml:space="preserve"> </w:t>
      </w:r>
      <w:r>
        <w:t xml:space="preserve">- Platform updates and new feature development.</w:t>
      </w:r>
      <w:r>
        <w:t xml:space="preserve"> </w:t>
      </w:r>
      <w:r>
        <w:t xml:space="preserve">- Custom modification and enhancement requests.</w:t>
      </w:r>
      <w:r>
        <w:t xml:space="preserve"> </w:t>
      </w:r>
      <w:r>
        <w:t xml:space="preserve">- Integration support for new third-party services.</w:t>
      </w:r>
      <w:r>
        <w:t xml:space="preserve"> </w:t>
      </w:r>
      <w:r>
        <w:t xml:space="preserve">- Emergency incident response and platform recovery.</w:t>
      </w:r>
    </w:p>
    <w:p>
      <w:pPr>
        <w:pStyle w:val="BodyText"/>
      </w:pPr>
      <w:r>
        <w:t xml:space="preserve">The true cost is rarely what’s in the headline price. Budget at least 2x your platform licensing cost for the first year’s operational overhead.</w:t>
      </w:r>
    </w:p>
    <w:bookmarkEnd w:id="25"/>
    <w:bookmarkStart w:id="26" w:name="total-cost-of-ownership-framework"/>
    <w:p>
      <w:pPr>
        <w:pStyle w:val="Heading2"/>
      </w:pPr>
      <w:r>
        <w:t xml:space="preserve">Total Cost of Ownership Framework</w:t>
      </w:r>
    </w:p>
    <w:p>
      <w:pPr>
        <w:pStyle w:val="FirstParagraph"/>
      </w:pPr>
      <w:r>
        <w:t xml:space="preserve">Real casino platform costs follow this formula:</w:t>
      </w:r>
      <w:r>
        <w:t xml:space="preserve"> </w:t>
      </w:r>
      <w:r>
        <w:rPr>
          <w:b/>
          <w:bCs/>
        </w:rPr>
        <w:t xml:space="preserve">License Fee + Implementation + Hidden Costs + Opportunity Cost (time to market delay)</w:t>
      </w:r>
      <w:r>
        <w:t xml:space="preserve">. Casino platform hidden costs typically exceed the platform license by 100-200% in year one.</w:t>
      </w:r>
    </w:p>
    <w:p>
      <w:pPr>
        <w:pStyle w:val="BodyText"/>
      </w:pPr>
      <w:r>
        <w:t xml:space="preserve">Here’s how the math works across different operator scales:</w:t>
      </w:r>
    </w:p>
    <w:tbl>
      <w:tblPr>
        <w:tblStyle w:val="Table"/>
        <w:tblW w:type="pct" w:w="5000"/>
        <w:tblLayout w:type="fixed"/>
        <w:tblLook w:firstRow="1" w:lastRow="0" w:firstColumn="0" w:lastColumn="0" w:noHBand="0" w:noVBand="0" w:val="0020"/>
      </w:tblPr>
      <w:tblGrid>
        <w:gridCol w:w="910"/>
        <w:gridCol w:w="1638"/>
        <w:gridCol w:w="1729"/>
        <w:gridCol w:w="1911"/>
        <w:gridCol w:w="1729"/>
      </w:tblGrid>
      <w:tr>
        <w:trPr>
          <w:tblHeader w:val="on"/>
        </w:trPr>
        <w:tc>
          <w:tcPr/>
          <w:p>
            <w:pPr>
              <w:pStyle w:val="Compact"/>
            </w:pPr>
            <w:r>
              <w:t xml:space="preserve">Scenario</w:t>
            </w:r>
          </w:p>
        </w:tc>
        <w:tc>
          <w:tcPr/>
          <w:p>
            <w:pPr>
              <w:pStyle w:val="Compact"/>
            </w:pPr>
            <w:r>
              <w:t xml:space="preserve">Annual GGR Target</w:t>
            </w:r>
          </w:p>
        </w:tc>
        <w:tc>
          <w:tcPr/>
          <w:p>
            <w:pPr>
              <w:pStyle w:val="Compact"/>
            </w:pPr>
            <w:r>
              <w:t xml:space="preserve">Platform Cost Est.</w:t>
            </w:r>
          </w:p>
        </w:tc>
        <w:tc>
          <w:tcPr/>
          <w:p>
            <w:pPr>
              <w:pStyle w:val="Compact"/>
            </w:pPr>
            <w:r>
              <w:t xml:space="preserve">Hidden Cost Estimate</w:t>
            </w:r>
          </w:p>
        </w:tc>
        <w:tc>
          <w:tcPr/>
          <w:p>
            <w:pPr>
              <w:pStyle w:val="Compact"/>
            </w:pPr>
            <w:r>
              <w:t xml:space="preserve">Total Year 1 Cost</w:t>
            </w:r>
          </w:p>
        </w:tc>
      </w:tr>
      <w:tr>
        <w:tc>
          <w:tcPr/>
          <w:p>
            <w:pPr>
              <w:pStyle w:val="Compact"/>
            </w:pPr>
            <w:r>
              <w:t xml:space="preserve">New crypto brand</w:t>
            </w:r>
          </w:p>
        </w:tc>
        <w:tc>
          <w:tcPr/>
          <w:p>
            <w:pPr>
              <w:pStyle w:val="Compact"/>
            </w:pPr>
            <w:r>
              <w:t xml:space="preserve">$2M</w:t>
            </w:r>
          </w:p>
        </w:tc>
        <w:tc>
          <w:tcPr/>
          <w:p>
            <w:pPr>
              <w:pStyle w:val="Compact"/>
            </w:pPr>
            <w:r>
              <w:t xml:space="preserve">$80K (15% rev share)</w:t>
            </w:r>
          </w:p>
        </w:tc>
        <w:tc>
          <w:tcPr/>
          <w:p>
            <w:pPr>
              <w:pStyle w:val="Compact"/>
            </w:pPr>
            <w:r>
              <w:t xml:space="preserve">$180K (implementation + ops)</w:t>
            </w:r>
          </w:p>
        </w:tc>
        <w:tc>
          <w:tcPr/>
          <w:p>
            <w:pPr>
              <w:pStyle w:val="Compact"/>
            </w:pPr>
            <w:r>
              <w:t xml:space="preserve">$260K</w:t>
            </w:r>
          </w:p>
        </w:tc>
      </w:tr>
      <w:tr>
        <w:tc>
          <w:tcPr/>
          <w:p>
            <w:pPr>
              <w:pStyle w:val="Compact"/>
            </w:pPr>
            <w:r>
              <w:t xml:space="preserve">Multi-market operator</w:t>
            </w:r>
          </w:p>
        </w:tc>
        <w:tc>
          <w:tcPr/>
          <w:p>
            <w:pPr>
              <w:pStyle w:val="Compact"/>
            </w:pPr>
            <w:r>
              <w:t xml:space="preserve">$10M</w:t>
            </w:r>
          </w:p>
        </w:tc>
        <w:tc>
          <w:tcPr/>
          <w:p>
            <w:pPr>
              <w:pStyle w:val="Compact"/>
            </w:pPr>
            <w:r>
              <w:t xml:space="preserve">$300K (hybrid model)</w:t>
            </w:r>
          </w:p>
        </w:tc>
        <w:tc>
          <w:tcPr/>
          <w:p>
            <w:pPr>
              <w:pStyle w:val="Compact"/>
            </w:pPr>
            <w:r>
              <w:t xml:space="preserve">$450K (compliance + infrastructure)</w:t>
            </w:r>
          </w:p>
        </w:tc>
        <w:tc>
          <w:tcPr/>
          <w:p>
            <w:pPr>
              <w:pStyle w:val="Compact"/>
            </w:pPr>
            <w:r>
              <w:t xml:space="preserve">$750K</w:t>
            </w:r>
          </w:p>
        </w:tc>
      </w:tr>
      <w:tr>
        <w:tc>
          <w:tcPr/>
          <w:p>
            <w:pPr>
              <w:pStyle w:val="Compact"/>
            </w:pPr>
            <w:r>
              <w:t xml:space="preserve">Tier 1 enterprise</w:t>
            </w:r>
          </w:p>
        </w:tc>
        <w:tc>
          <w:tcPr/>
          <w:p>
            <w:pPr>
              <w:pStyle w:val="Compact"/>
            </w:pPr>
            <w:r>
              <w:t xml:space="preserve">$50M</w:t>
            </w:r>
          </w:p>
        </w:tc>
        <w:tc>
          <w:tcPr/>
          <w:p>
            <w:pPr>
              <w:pStyle w:val="Compact"/>
            </w:pPr>
            <w:r>
              <w:t xml:space="preserve">$800K (fixed licensing)</w:t>
            </w:r>
          </w:p>
        </w:tc>
        <w:tc>
          <w:tcPr/>
          <w:p>
            <w:pPr>
              <w:pStyle w:val="Compact"/>
            </w:pPr>
            <w:r>
              <w:t xml:space="preserve">$600K (custom integration)</w:t>
            </w:r>
          </w:p>
        </w:tc>
        <w:tc>
          <w:tcPr/>
          <w:p>
            <w:pPr>
              <w:pStyle w:val="Compact"/>
            </w:pPr>
            <w:r>
              <w:t xml:space="preserve">$1.4M</w:t>
            </w:r>
          </w:p>
        </w:tc>
      </w:tr>
    </w:tbl>
    <w:p>
      <w:pPr>
        <w:pStyle w:val="BodyText"/>
      </w:pPr>
      <w:r>
        <w:t xml:space="preserve">These numbers assume successful operations hitting revenue targets. Failed launches still incur most of the hidden costs without the revenue to offset them.</w:t>
      </w:r>
    </w:p>
    <w:p>
      <w:pPr>
        <w:pStyle w:val="BodyText"/>
      </w:pPr>
      <w:r>
        <w:rPr>
          <w:b/>
          <w:bCs/>
        </w:rPr>
        <w:t xml:space="preserve">Implementation timeline impact:</w:t>
      </w:r>
      <w:r>
        <w:t xml:space="preserve"> </w:t>
      </w:r>
      <w:r>
        <w:t xml:space="preserve">Every month of delayed launch costs you both ongoing operational overhead and missed revenue opportunity. A platform that promises 6-week implementation but delivers in 16 weeks just cost you 10 weeks of market entry delay. At $200K monthly revenue target, that’s $500K in opportunity cost before you even consider the extended burn rate.</w:t>
      </w:r>
    </w:p>
    <w:p>
      <w:pPr>
        <w:pStyle w:val="BodyText"/>
      </w:pPr>
      <w:r>
        <w:rPr>
          <w:b/>
          <w:bCs/>
        </w:rPr>
        <w:t xml:space="preserve">Exit and migration costs:</w:t>
      </w:r>
      <w:r>
        <w:t xml:space="preserve"> </w:t>
      </w:r>
      <w:r>
        <w:t xml:space="preserve">Switching platforms can be a significant undertaking. Operators report that migration typically costs 60-80% of a new implementation. Your player database, transaction history, and compliance documentation are locked in the current system. Budget 6-12 months and $200K-$500K to migrate a live operation to a new platform.</w:t>
      </w:r>
    </w:p>
    <w:p>
      <w:pPr>
        <w:pStyle w:val="BodyText"/>
      </w:pPr>
      <w:r>
        <w:rPr>
          <w:b/>
          <w:bCs/>
        </w:rPr>
        <w:t xml:space="preserve">Scale economics:</w:t>
      </w:r>
      <w:r>
        <w:t xml:space="preserve"> </w:t>
      </w:r>
      <w:r>
        <w:t xml:space="preserve">Revenue share models that seem affordable at $1M annual GGR become brutal at $20M+ GGR. A 15% revenue share on $20M GGR costs $3M annually - enough to license multiple fixed-fee enterprise platforms. Most operators renegotiate or migrate when they hit these scaling thresholds.</w:t>
      </w:r>
    </w:p>
    <w:p>
      <w:pPr>
        <w:pStyle w:val="BodyText"/>
      </w:pPr>
      <w:r>
        <w:t xml:space="preserve">The platforms know this math. That’s why revenue share deals often include volume discounts that kick in precisely when the operator starts considering alternatives.</w:t>
      </w:r>
    </w:p>
    <w:bookmarkEnd w:id="26"/>
    <w:bookmarkStart w:id="27" w:name="red-flags-in-pricing-conversations"/>
    <w:p>
      <w:pPr>
        <w:pStyle w:val="Heading2"/>
      </w:pPr>
      <w:r>
        <w:t xml:space="preserve">Red Flags in Pricing Conversations</w:t>
      </w:r>
    </w:p>
    <w:p>
      <w:pPr>
        <w:pStyle w:val="FirstParagraph"/>
      </w:pPr>
      <w:r>
        <w:t xml:space="preserve">Watch for these warning signs during vendor pricing discussions:</w:t>
      </w:r>
    </w:p>
    <w:p>
      <w:pPr>
        <w:numPr>
          <w:ilvl w:val="0"/>
          <w:numId w:val="1001"/>
        </w:numPr>
      </w:pPr>
      <w:r>
        <w:rPr>
          <w:b/>
          <w:bCs/>
        </w:rPr>
        <w:t xml:space="preserve">“Custom pricing only”</w:t>
      </w:r>
      <w:r>
        <w:rPr>
          <w:b/>
          <w:bCs/>
        </w:rPr>
        <w:t xml:space="preserve"> </w:t>
      </w:r>
      <w:r>
        <w:rPr>
          <w:b/>
          <w:bCs/>
        </w:rPr>
        <w:t xml:space="preserve">with no ballpark range:</w:t>
      </w:r>
      <w:r>
        <w:t xml:space="preserve"> </w:t>
      </w:r>
      <w:r>
        <w:t xml:space="preserve">Legitimate vendors can give you rough ranges based on your described requirements. Refusing to provide any guidance usually means they’re planning to price based on your perceived budget rather than actual cost.</w:t>
      </w:r>
    </w:p>
    <w:p>
      <w:pPr>
        <w:numPr>
          <w:ilvl w:val="0"/>
          <w:numId w:val="1001"/>
        </w:numPr>
      </w:pPr>
      <w:r>
        <w:rPr>
          <w:b/>
          <w:bCs/>
        </w:rPr>
        <w:t xml:space="preserve">Setup fees that exceed 50% of annual licensing cost:</w:t>
      </w:r>
      <w:r>
        <w:t xml:space="preserve"> </w:t>
      </w:r>
      <w:r>
        <w:t xml:space="preserve">High setup fees often hide poor implementation processes or understaffed onboarding teams. If it costs $200K to set up a $300K annual license, question whether their platform is actually implementation-ready.</w:t>
      </w:r>
    </w:p>
    <w:p>
      <w:pPr>
        <w:numPr>
          <w:ilvl w:val="0"/>
          <w:numId w:val="1001"/>
        </w:numPr>
      </w:pPr>
      <w:r>
        <w:rPr>
          <w:b/>
          <w:bCs/>
        </w:rPr>
        <w:t xml:space="preserve">Revenue share calculations that exclude certain game types:</w:t>
      </w:r>
      <w:r>
        <w:t xml:space="preserve"> </w:t>
      </w:r>
      <w:r>
        <w:t xml:space="preserve">Some deals exclude live dealer, progressive jackpots, or specific providers from revenue share calculations, then charge separate fees for those games. Read the fine print on what counts toward your revenue share base.</w:t>
      </w:r>
    </w:p>
    <w:p>
      <w:pPr>
        <w:numPr>
          <w:ilvl w:val="0"/>
          <w:numId w:val="1001"/>
        </w:numPr>
      </w:pPr>
      <w:r>
        <w:rPr>
          <w:b/>
          <w:bCs/>
        </w:rPr>
        <w:t xml:space="preserve">Bundled pricing that obscures per-module costs:</w:t>
      </w:r>
      <w:r>
        <w:t xml:space="preserve"> </w:t>
      </w:r>
      <w:r>
        <w:t xml:space="preserve">All-in-one pricing makes it impossible to evaluate cost per capability or negotiate specific component changes. This pricing strategy often hides weak modules behind strong ones.</w:t>
      </w:r>
    </w:p>
    <w:p>
      <w:pPr>
        <w:numPr>
          <w:ilvl w:val="0"/>
          <w:numId w:val="1001"/>
        </w:numPr>
      </w:pPr>
      <w:r>
        <w:rPr>
          <w:b/>
          <w:bCs/>
        </w:rPr>
        <w:t xml:space="preserve">Minimum GGR commitments buried in contract terms:</w:t>
      </w:r>
      <w:r>
        <w:t xml:space="preserve"> </w:t>
      </w:r>
      <w:r>
        <w:t xml:space="preserve">Some deals require minimum monthly revenue commitments regardless of actual performance. Miss the minimum, and you pay the difference as a penalty fee.</w:t>
      </w:r>
    </w:p>
    <w:p>
      <w:pPr>
        <w:numPr>
          <w:ilvl w:val="0"/>
          <w:numId w:val="1001"/>
        </w:numPr>
      </w:pPr>
      <w:r>
        <w:rPr>
          <w:b/>
          <w:bCs/>
        </w:rPr>
        <w:t xml:space="preserve">Payment processing markups disguised as</w:t>
      </w:r>
      <w:r>
        <w:rPr>
          <w:b/>
          <w:bCs/>
        </w:rPr>
        <w:t xml:space="preserve"> </w:t>
      </w:r>
      <w:r>
        <w:rPr>
          <w:b/>
          <w:bCs/>
        </w:rPr>
        <w:t xml:space="preserve">“platform fees”</w:t>
      </w:r>
      <w:r>
        <w:rPr>
          <w:b/>
          <w:bCs/>
        </w:rPr>
        <w:t xml:space="preserve">:</w:t>
      </w:r>
      <w:r>
        <w:t xml:space="preserve"> </w:t>
      </w:r>
      <w:r>
        <w:t xml:space="preserve">Platform providers sometimes add 1-2% markup on payment processing costs without clearly disclosing this as a profit center separate from the core platform license.</w:t>
      </w:r>
    </w:p>
    <w:p>
      <w:pPr>
        <w:pStyle w:val="FirstParagraph"/>
      </w:pPr>
      <w:r>
        <w:t xml:space="preserve">The best pricing conversations include detailed cost breakdowns, clear examples of additional fees, and specific timelines with milestone-based payment schedules.</w:t>
      </w:r>
    </w:p>
    <w:bookmarkEnd w:id="27"/>
    <w:bookmarkStart w:id="35" w:name="common-questions"/>
    <w:p>
      <w:pPr>
        <w:pStyle w:val="Heading2"/>
      </w:pPr>
      <w:r>
        <w:t xml:space="preserve">Common Questions</w:t>
      </w:r>
    </w:p>
    <w:bookmarkStart w:id="28" w:name="X54618f74ecf869c0647af6ceef63a426cc6cbfb"/>
    <w:p>
      <w:pPr>
        <w:pStyle w:val="Heading3"/>
      </w:pPr>
      <w:r>
        <w:t xml:space="preserve">What are the pricing models for casino platforms?</w:t>
      </w:r>
    </w:p>
    <w:p>
      <w:pPr>
        <w:pStyle w:val="FirstParagraph"/>
      </w:pPr>
      <w:r>
        <w:t xml:space="preserve">Casino platforms use four main pricing models: revenue share (10-25% of GGR), fixed licensing fees, hybrid models combining both, and transaction-based pricing. Revenue share is most common for new operators because it requires less upfront capital. Fixed fees become more economical at scale but require significant upfront investment.</w:t>
      </w:r>
    </w:p>
    <w:bookmarkEnd w:id="28"/>
    <w:bookmarkStart w:id="29" w:name="X0bacab3b0ce872fe17a66a2453a1e4f69273189"/>
    <w:p>
      <w:pPr>
        <w:pStyle w:val="Heading3"/>
      </w:pPr>
      <w:r>
        <w:t xml:space="preserve">How does revenue share work for casino platform providers?</w:t>
      </w:r>
    </w:p>
    <w:p>
      <w:pPr>
        <w:pStyle w:val="FirstParagraph"/>
      </w:pPr>
      <w:r>
        <w:t xml:space="preserve">The platform takes a percentage of your gross gaming revenue monthly, typically 12-18%. This percentage applies to net gaming revenue after player wins but before operational costs. Some providers exclude certain game types or have minimum monthly commitments regardless of actual performance.</w:t>
      </w:r>
    </w:p>
    <w:bookmarkEnd w:id="29"/>
    <w:bookmarkStart w:id="30" w:name="X7b4febba5019326099473b72efe9e9b2b19a080"/>
    <w:p>
      <w:pPr>
        <w:pStyle w:val="Heading3"/>
      </w:pPr>
      <w:r>
        <w:t xml:space="preserve">What hidden costs are not included in casino platform pricing?</w:t>
      </w:r>
    </w:p>
    <w:p>
      <w:pPr>
        <w:pStyle w:val="FirstParagraph"/>
      </w:pPr>
      <w:r>
        <w:t xml:space="preserve">Payment processing (3-8% of transactions), game provider fees (10-25% revenue share), compliance tools (typically $30K-$150K annually), hosting infrastructure (typically $5K-$50K monthly), and implementation work (typically $50K-$300K) are generally separate from platform licensing. Budget 2-3x your platform fee for total first-year costs.</w:t>
      </w:r>
    </w:p>
    <w:bookmarkEnd w:id="30"/>
    <w:bookmarkStart w:id="31" w:name="Xdd57a0379838472c15f1404de67b47556502ed8"/>
    <w:p>
      <w:pPr>
        <w:pStyle w:val="Heading3"/>
      </w:pPr>
      <w:r>
        <w:t xml:space="preserve">How much does a white label casino platform cost in 2026?</w:t>
      </w:r>
    </w:p>
    <w:p>
      <w:pPr>
        <w:pStyle w:val="FirstParagraph"/>
      </w:pPr>
      <w:r>
        <w:t xml:space="preserve">White label setups vary widely. While specific public figures are rare, they often involve setup fees and a revenue share model, with initial costs potentially ranging from $50K to $600K for comprehensive launches. Revenue share typically adds 15-25% of ongoing GGR to these upfront costs.</w:t>
      </w:r>
    </w:p>
    <w:bookmarkEnd w:id="31"/>
    <w:bookmarkStart w:id="32" w:name="X071deb6786faeb24166f5aebbcfcf801e77df21"/>
    <w:p>
      <w:pPr>
        <w:pStyle w:val="Heading3"/>
      </w:pPr>
      <w:r>
        <w:t xml:space="preserve">Is rev share or fixed fee better for a casino platform?</w:t>
      </w:r>
    </w:p>
    <w:p>
      <w:pPr>
        <w:pStyle w:val="FirstParagraph"/>
      </w:pPr>
      <w:r>
        <w:t xml:space="preserve">Revenue share is better for new operators with limited capital or unproven markets because it reduces upfront risk. Fixed fees become more economical once you exceed the breakeven point (typically $2-5M annual GGR). Calculate the crossover threshold based on your growth timeline and capital availability.</w:t>
      </w:r>
    </w:p>
    <w:bookmarkEnd w:id="32"/>
    <w:bookmarkStart w:id="34" w:name="X31f3823b61216a33a866edd8c101a0b75e3b345"/>
    <w:p>
      <w:pPr>
        <w:pStyle w:val="Heading3"/>
      </w:pPr>
      <w:r>
        <w:t xml:space="preserve">How do I compare casino platform quotes from different vendors?</w:t>
      </w:r>
    </w:p>
    <w:p>
      <w:pPr>
        <w:pStyle w:val="FirstParagraph"/>
      </w:pPr>
      <w:r>
        <w:t xml:space="preserve">Build total cost of ownership models including platform fees, implementation costs, payment processing, compliance requirements, and operational overhead. Factor in timeline delays and exit costs. Revenue share deals that seem cheaper upfront often become expensive at scale, while fixed fees require higher initial investment but better long-term economics.</w:t>
      </w:r>
    </w:p>
    <w:p>
      <w:pPr>
        <w:pStyle w:val="BodyText"/>
      </w:pPr>
      <w:r>
        <w:t xml:space="preserve">For complete vendor comparisons, technical evaluations, and implementation timelines, see our</w:t>
      </w:r>
      <w:r>
        <w:t xml:space="preserve"> </w:t>
      </w:r>
      <w:hyperlink r:id="rId9">
        <w:r>
          <w:rPr>
            <w:rStyle w:val="Hyperlink"/>
          </w:rPr>
          <w:t xml:space="preserve">Best Casino Platforms 2026 guide</w:t>
        </w:r>
      </w:hyperlink>
      <w:r>
        <w:t xml:space="preserve">. Visit our</w:t>
      </w:r>
      <w:r>
        <w:t xml:space="preserve"> </w:t>
      </w:r>
      <w:hyperlink r:id="rId33">
        <w:r>
          <w:rPr>
            <w:rStyle w:val="Hyperlink"/>
          </w:rPr>
          <w:t xml:space="preserve">Casino Platforms directory</w:t>
        </w:r>
      </w:hyperlink>
      <w:r>
        <w:t xml:space="preserve"> </w:t>
      </w:r>
      <w:r>
        <w:t xml:space="preserve">for direct vendor contact information and detailed company profiles.</w:t>
      </w:r>
    </w:p>
    <w:p>
      <w:pPr>
        <w:pStyle w:val="BodyText"/>
      </w:pPr>
      <w:r>
        <w:rPr>
          <w:b/>
          <w:bCs/>
        </w:rPr>
        <w:t xml:space="preserve">Independence notice:</w:t>
      </w:r>
      <w:r>
        <w:t xml:space="preserve"> </w:t>
      </w:r>
      <w:r>
        <w:t xml:space="preserve">This analysis is based on publicly available information, industry reports, and operator interviews. We are not paid by vendors for coverage or rankings. Some cost estimates are based on reported deals and may not reflect current pricing for your specific requirements.</w:t>
      </w:r>
    </w:p>
    <w:p>
      <w:pPr>
        <w:pStyle w:val="BodyText"/>
      </w:pPr>
      <w:r>
        <w:rPr>
          <w:b/>
          <w:bCs/>
        </w:rPr>
        <w:t xml:space="preserve">Next step:</w:t>
      </w:r>
      <w:r>
        <w:t xml:space="preserve"> </w:t>
      </w:r>
      <w:r>
        <w:t xml:space="preserve">Use this framework to build total cost of ownership models for your top 3 platform candidates, then request detailed cost breakdowns during vendor negotiations.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companies/betconstruct" TargetMode="External" /><Relationship Type="http://schemas.openxmlformats.org/officeDocument/2006/relationships/hyperlink" Id="rId10" Target="/companies/everymatrix" TargetMode="External" /><Relationship Type="http://schemas.openxmlformats.org/officeDocument/2006/relationships/hyperlink" Id="rId22" Target="/companies/evolution" TargetMode="External" /><Relationship Type="http://schemas.openxmlformats.org/officeDocument/2006/relationships/hyperlink" Id="rId15" Target="/companies/playtech" TargetMode="External" /><Relationship Type="http://schemas.openxmlformats.org/officeDocument/2006/relationships/hyperlink" Id="rId13" Target="/companies/pragmatic-play" TargetMode="External" /><Relationship Type="http://schemas.openxmlformats.org/officeDocument/2006/relationships/hyperlink" Id="rId23" Target="/companies/relax-gaming" TargetMode="External" /><Relationship Type="http://schemas.openxmlformats.org/officeDocument/2006/relationships/hyperlink" Id="rId14" Target="/companies/softgamings" TargetMode="External" /><Relationship Type="http://schemas.openxmlformats.org/officeDocument/2006/relationships/hyperlink" Id="rId11" Target="/companies/softswiss" TargetMode="External" /><Relationship Type="http://schemas.openxmlformats.org/officeDocument/2006/relationships/hyperlink" Id="rId9" Target="/guides/best-casino-platforms-2026" TargetMode="External" /><Relationship Type="http://schemas.openxmlformats.org/officeDocument/2006/relationships/hyperlink" Id="rId33" Target="https://directory.onlyigaming.com/categories/casino-platforms" TargetMode="External" /></Relationships>
</file>

<file path=word/_rels/footnotes.xml.rels><?xml version="1.0" encoding="UTF-8"?><Relationships xmlns="http://schemas.openxmlformats.org/package/2006/relationships"><Relationship Type="http://schemas.openxmlformats.org/officeDocument/2006/relationships/hyperlink" Id="rId12" Target="/companies/betconstruct" TargetMode="External" /><Relationship Type="http://schemas.openxmlformats.org/officeDocument/2006/relationships/hyperlink" Id="rId10" Target="/companies/everymatrix" TargetMode="External" /><Relationship Type="http://schemas.openxmlformats.org/officeDocument/2006/relationships/hyperlink" Id="rId22" Target="/companies/evolution" TargetMode="External" /><Relationship Type="http://schemas.openxmlformats.org/officeDocument/2006/relationships/hyperlink" Id="rId15" Target="/companies/playtech" TargetMode="External" /><Relationship Type="http://schemas.openxmlformats.org/officeDocument/2006/relationships/hyperlink" Id="rId13" Target="/companies/pragmatic-play" TargetMode="External" /><Relationship Type="http://schemas.openxmlformats.org/officeDocument/2006/relationships/hyperlink" Id="rId23" Target="/companies/relax-gaming" TargetMode="External" /><Relationship Type="http://schemas.openxmlformats.org/officeDocument/2006/relationships/hyperlink" Id="rId14" Target="/companies/softgamings" TargetMode="External" /><Relationship Type="http://schemas.openxmlformats.org/officeDocument/2006/relationships/hyperlink" Id="rId11" Target="/companies/softswiss" TargetMode="External" /><Relationship Type="http://schemas.openxmlformats.org/officeDocument/2006/relationships/hyperlink" Id="rId9" Target="/guides/best-casino-platforms-2026" TargetMode="External" /><Relationship Type="http://schemas.openxmlformats.org/officeDocument/2006/relationships/hyperlink" Id="rId33" Target="https://directory.onlyigaming.com/categories/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2026-06-03T07:37:15Z</dcterms:created>
  <dcterms:modified xsi:type="dcterms:W3CDTF">2026-06-03T07:37:15Z</dcterms:modified>
</cp:coreProperties>
</file>

<file path=docProps/custom.xml><?xml version="1.0" encoding="utf-8"?>
<Properties xmlns="http://schemas.openxmlformats.org/officeDocument/2006/custom-properties" xmlns:vt="http://schemas.openxmlformats.org/officeDocument/2006/docPropsVTypes"/>
</file>