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Casino Platforms Trends to Watch in 2027</w:t>
      </w:r>
    </w:p>
    <w:p>
      <w:pPr>
        <w:pStyle w:val="Date"/>
      </w:pPr>
      <w:r>
        <w:t xml:space="preserve">2026-12-15</w:t>
      </w:r>
    </w:p>
    <w:p>
      <w:pPr>
        <w:pStyle w:val="FirstParagraph"/>
      </w:pPr>
      <w:r>
        <w:t xml:space="preserve">The casino platform market is shifting faster than most operators can adapt. While 2026 was about surviving regulatory changes and crypto volatility, 2027 will be about the structural transformation of how platforms are built, sold, and operated.</w:t>
      </w:r>
    </w:p>
    <w:p>
      <w:pPr>
        <w:pStyle w:val="BodyText"/>
      </w:pPr>
      <w:r>
        <w:t xml:space="preserve">The monolithic platform era is ending. Operators who locked into five-year contracts with traditional all-in-one providers are now watching competitors launch faster. They integrate cleaner payment rails and adapt to regulatory changes in weeks instead of months. The modular casino platform revolution isn’t coming - it’s here. It is being driven by three forces: regulatory complexity that needs specialized compliance tooling, payment innovation that requires crypto-native infrastructure, and AI personalization that demands dedicated compute resources.</w:t>
      </w:r>
    </w:p>
    <w:p>
      <w:pPr>
        <w:pStyle w:val="BodyText"/>
      </w:pPr>
      <w:r>
        <w:t xml:space="preserve">This isn’t about replacing your current platform tomorrow. It’s about understanding which architectural trends will define vendor viability over the next 18 months. This should influence your renewal decisions, integration priorities, and team hiring today.</w:t>
      </w:r>
    </w:p>
    <w:p>
      <w:pPr>
        <w:pStyle w:val="BodyText"/>
      </w:pPr>
      <w:r>
        <w:t xml:space="preserve">For current vendor comparisons and buying guidance, see our</w:t>
      </w:r>
      <w:r>
        <w:t xml:space="preserve"> </w:t>
      </w:r>
      <w:hyperlink r:id="rId9">
        <w:r>
          <w:rPr>
            <w:rStyle w:val="Hyperlink"/>
          </w:rPr>
          <w:t xml:space="preserve">Best Casino Platforms 2026 Guide</w:t>
        </w:r>
      </w:hyperlink>
      <w:r>
        <w:t xml:space="preserve">. This analysis focuses on the structural changes that will reshape the category.</w:t>
      </w:r>
    </w:p>
    <w:bookmarkStart w:id="10" w:name="trend-timeline-overview"/>
    <w:p>
      <w:pPr>
        <w:pStyle w:val="Heading2"/>
      </w:pPr>
      <w:r>
        <w:t xml:space="preserve">Trend Timeline Overview</w:t>
      </w:r>
    </w:p>
    <w:tbl>
      <w:tblPr>
        <w:tblStyle w:val="Table"/>
        <w:tblW w:type="pct" w:w="5000"/>
        <w:tblLayout w:type="fixed"/>
        <w:tblLook w:firstRow="1" w:lastRow="0" w:firstColumn="0" w:lastColumn="0" w:noHBand="0" w:noVBand="0" w:val="0020"/>
      </w:tblPr>
      <w:tblGrid>
        <w:gridCol w:w="990"/>
        <w:gridCol w:w="1131"/>
        <w:gridCol w:w="3111"/>
        <w:gridCol w:w="2687"/>
      </w:tblGrid>
      <w:tr>
        <w:trPr>
          <w:tblHeader w:val="on"/>
        </w:trPr>
        <w:tc>
          <w:tcPr/>
          <w:p>
            <w:pPr>
              <w:pStyle w:val="Compact"/>
            </w:pPr>
            <w:r>
              <w:t xml:space="preserve">Trend</w:t>
            </w:r>
          </w:p>
        </w:tc>
        <w:tc>
          <w:tcPr/>
          <w:p>
            <w:pPr>
              <w:pStyle w:val="Compact"/>
            </w:pPr>
            <w:r>
              <w:t xml:space="preserve">Status</w:t>
            </w:r>
          </w:p>
        </w:tc>
        <w:tc>
          <w:tcPr/>
          <w:p>
            <w:pPr>
              <w:pStyle w:val="Compact"/>
            </w:pPr>
            <w:r>
              <w:t xml:space="preserve">Urgency for Operators</w:t>
            </w:r>
          </w:p>
        </w:tc>
        <w:tc>
          <w:tcPr/>
          <w:p>
            <w:pPr>
              <w:pStyle w:val="Compact"/>
            </w:pPr>
            <w:r>
              <w:t xml:space="preserve">Key Vendors Ahead</w:t>
            </w:r>
          </w:p>
        </w:tc>
      </w:tr>
      <w:tr>
        <w:tc>
          <w:tcPr/>
          <w:p>
            <w:pPr>
              <w:pStyle w:val="Compact"/>
            </w:pPr>
            <w:r>
              <w:t xml:space="preserve">Modular Casino Platform Adoption</w:t>
            </w:r>
          </w:p>
        </w:tc>
        <w:tc>
          <w:tcPr/>
          <w:p>
            <w:pPr>
              <w:pStyle w:val="Compact"/>
            </w:pPr>
            <w:r>
              <w:t xml:space="preserve">Accelerating</w:t>
            </w:r>
          </w:p>
        </w:tc>
        <w:tc>
          <w:tcPr/>
          <w:p>
            <w:pPr>
              <w:pStyle w:val="Compact"/>
            </w:pPr>
            <w:r>
              <w:t xml:space="preserve">High - affects renewal decisions</w:t>
            </w:r>
          </w:p>
        </w:tc>
        <w:tc>
          <w:tcPr/>
          <w:p>
            <w:pPr>
              <w:pStyle w:val="Compact"/>
            </w:pPr>
            <w:r>
              <w:t xml:space="preserve">EveryMatrix, SOFTSWISS, Digitain</w:t>
            </w:r>
          </w:p>
        </w:tc>
      </w:tr>
      <w:tr>
        <w:tc>
          <w:tcPr/>
          <w:p>
            <w:pPr>
              <w:pStyle w:val="Compact"/>
            </w:pPr>
            <w:r>
              <w:t xml:space="preserve">Regulatory Automation Tools</w:t>
            </w:r>
          </w:p>
        </w:tc>
        <w:tc>
          <w:tcPr/>
          <w:p>
            <w:pPr>
              <w:pStyle w:val="Compact"/>
            </w:pPr>
            <w:r>
              <w:t xml:space="preserve">Regulatory-driven</w:t>
            </w:r>
          </w:p>
        </w:tc>
        <w:tc>
          <w:tcPr/>
          <w:p>
            <w:pPr>
              <w:pStyle w:val="Compact"/>
            </w:pPr>
            <w:r>
              <w:t xml:space="preserve">Critical - compliance deadlines</w:t>
            </w:r>
          </w:p>
        </w:tc>
        <w:tc>
          <w:tcPr/>
          <w:p>
            <w:pPr>
              <w:pStyle w:val="Compact"/>
            </w:pPr>
            <w:r>
              <w:t xml:space="preserve">GiG, BetConstruct, Pariplay</w:t>
            </w:r>
          </w:p>
        </w:tc>
      </w:tr>
      <w:tr>
        <w:tc>
          <w:tcPr/>
          <w:p>
            <w:pPr>
              <w:pStyle w:val="Compact"/>
            </w:pPr>
            <w:r>
              <w:t xml:space="preserve">Native Crypto Infrastructure</w:t>
            </w:r>
          </w:p>
        </w:tc>
        <w:tc>
          <w:tcPr/>
          <w:p>
            <w:pPr>
              <w:pStyle w:val="Compact"/>
            </w:pPr>
            <w:r>
              <w:t xml:space="preserve">Mainstream</w:t>
            </w:r>
          </w:p>
        </w:tc>
        <w:tc>
          <w:tcPr/>
          <w:p>
            <w:pPr>
              <w:pStyle w:val="Compact"/>
            </w:pPr>
            <w:r>
              <w:t xml:space="preserve">Medium - market dependent</w:t>
            </w:r>
          </w:p>
        </w:tc>
        <w:tc>
          <w:tcPr/>
          <w:p>
            <w:pPr>
              <w:pStyle w:val="Compact"/>
            </w:pPr>
            <w:r>
              <w:t xml:space="preserve">SOFTSWISS, EveryMatrix, TurboGames</w:t>
            </w:r>
          </w:p>
        </w:tc>
      </w:tr>
      <w:tr>
        <w:tc>
          <w:tcPr/>
          <w:p>
            <w:pPr>
              <w:pStyle w:val="Compact"/>
            </w:pPr>
            <w:r>
              <w:t xml:space="preserve">AI-Powered Player Personalization</w:t>
            </w:r>
          </w:p>
        </w:tc>
        <w:tc>
          <w:tcPr/>
          <w:p>
            <w:pPr>
              <w:pStyle w:val="Compact"/>
            </w:pPr>
            <w:r>
              <w:t xml:space="preserve">Emerging</w:t>
            </w:r>
          </w:p>
        </w:tc>
        <w:tc>
          <w:tcPr/>
          <w:p>
            <w:pPr>
              <w:pStyle w:val="Compact"/>
            </w:pPr>
            <w:r>
              <w:t xml:space="preserve">Medium - competitive advantage</w:t>
            </w:r>
          </w:p>
        </w:tc>
        <w:tc>
          <w:tcPr/>
          <w:p>
            <w:pPr>
              <w:pStyle w:val="Compact"/>
            </w:pPr>
            <w:r>
              <w:t xml:space="preserve">Pragmatic Play, Evolution, NetEnt</w:t>
            </w:r>
          </w:p>
        </w:tc>
      </w:tr>
      <w:tr>
        <w:tc>
          <w:tcPr/>
          <w:p>
            <w:pPr>
              <w:pStyle w:val="Compact"/>
            </w:pPr>
            <w:r>
              <w:t xml:space="preserve">Real-Time Payment Orchestration</w:t>
            </w:r>
          </w:p>
        </w:tc>
        <w:tc>
          <w:tcPr/>
          <w:p>
            <w:pPr>
              <w:pStyle w:val="Compact"/>
            </w:pPr>
            <w:r>
              <w:t xml:space="preserve">Accelerating</w:t>
            </w:r>
          </w:p>
        </w:tc>
        <w:tc>
          <w:tcPr/>
          <w:p>
            <w:pPr>
              <w:pStyle w:val="Compact"/>
            </w:pPr>
            <w:r>
              <w:t xml:space="preserve">High - affects conversion rates</w:t>
            </w:r>
          </w:p>
        </w:tc>
        <w:tc>
          <w:tcPr/>
          <w:p>
            <w:pPr>
              <w:pStyle w:val="Compact"/>
            </w:pPr>
            <w:r>
              <w:t xml:space="preserve">Nuvei, Paysafe, PaymentIQ</w:t>
            </w:r>
          </w:p>
        </w:tc>
      </w:tr>
      <w:tr>
        <w:tc>
          <w:tcPr/>
          <w:p>
            <w:pPr>
              <w:pStyle w:val="Compact"/>
            </w:pPr>
            <w:r>
              <w:t xml:space="preserve">Headless Frontend Architectures</w:t>
            </w:r>
          </w:p>
        </w:tc>
        <w:tc>
          <w:tcPr/>
          <w:p>
            <w:pPr>
              <w:pStyle w:val="Compact"/>
            </w:pPr>
            <w:r>
              <w:t xml:space="preserve">Emerging</w:t>
            </w:r>
          </w:p>
        </w:tc>
        <w:tc>
          <w:tcPr/>
          <w:p>
            <w:pPr>
              <w:pStyle w:val="Compact"/>
            </w:pPr>
            <w:r>
              <w:t xml:space="preserve">Low - technical complexity</w:t>
            </w:r>
          </w:p>
        </w:tc>
        <w:tc>
          <w:tcPr/>
          <w:p>
            <w:pPr>
              <w:pStyle w:val="Compact"/>
            </w:pPr>
            <w:r>
              <w:t xml:space="preserve">EveryMatrix, SOFTSWISS</w:t>
            </w:r>
          </w:p>
        </w:tc>
      </w:tr>
      <w:tr>
        <w:tc>
          <w:tcPr/>
          <w:p>
            <w:pPr>
              <w:pStyle w:val="Compact"/>
            </w:pPr>
            <w:r>
              <w:t xml:space="preserve">Multi-Jurisdictional Compliance Engines</w:t>
            </w:r>
          </w:p>
        </w:tc>
        <w:tc>
          <w:tcPr/>
          <w:p>
            <w:pPr>
              <w:pStyle w:val="Compact"/>
            </w:pPr>
            <w:r>
              <w:t xml:space="preserve">Regulatory-driven</w:t>
            </w:r>
          </w:p>
        </w:tc>
        <w:tc>
          <w:tcPr/>
          <w:p>
            <w:pPr>
              <w:pStyle w:val="Compact"/>
            </w:pPr>
            <w:r>
              <w:t xml:space="preserve">Critical - market access</w:t>
            </w:r>
          </w:p>
        </w:tc>
        <w:tc>
          <w:tcPr/>
          <w:p>
            <w:pPr>
              <w:pStyle w:val="Compact"/>
            </w:pPr>
            <w:r>
              <w:t xml:space="preserve">GiG, BetConstruct, SBTech</w:t>
            </w:r>
          </w:p>
        </w:tc>
      </w:tr>
    </w:tbl>
    <w:bookmarkEnd w:id="10"/>
    <w:bookmarkStart w:id="15" w:name="X6b91031e4b09e71b91c3b2801bc95d799efc937"/>
    <w:p>
      <w:pPr>
        <w:pStyle w:val="Heading2"/>
      </w:pPr>
      <w:r>
        <w:t xml:space="preserve">Modular Casino Platforms Replace Monolithic Architecture</w:t>
      </w:r>
    </w:p>
    <w:bookmarkStart w:id="11" w:name="whats-happening"/>
    <w:p>
      <w:pPr>
        <w:pStyle w:val="Heading3"/>
      </w:pPr>
      <w:r>
        <w:t xml:space="preserve">What’s happening</w:t>
      </w:r>
    </w:p>
    <w:p>
      <w:pPr>
        <w:pStyle w:val="FirstParagraph"/>
      </w:pPr>
      <w:r>
        <w:t xml:space="preserve">EveryMatrix reports that a significant portion of new client implementations are moving towards partial platform components, not full-stack deployments. SOFTSWISS highlights its modular product portfolio, often described as</w:t>
      </w:r>
      <w:r>
        <w:t xml:space="preserve"> </w:t>
      </w:r>
      <w:r>
        <w:t xml:space="preserve">‘Lego-like blocks.’</w:t>
      </w:r>
      <w:r>
        <w:t xml:space="preserve"> </w:t>
      </w:r>
      <w:r>
        <w:t xml:space="preserve">This allows operators to license individual modules (PAM, game aggregation, payments, bonus engine) independently with flexible contract terms for each component.</w:t>
      </w:r>
    </w:p>
    <w:p>
      <w:pPr>
        <w:pStyle w:val="BodyText"/>
      </w:pPr>
      <w:r>
        <w:t xml:space="preserve">Brazil’s Law 14.790/2023, enacted in December 2023, introduces a regulatory framework that underlines technical and security standards for operators. While the law promotes solid system capabilities, the specific requirement for operators to demonstrate system modularity for tax calculation audits by Q2 2027 is not yet detailed publicly. Traditional monolithic platforms reportedly struggle to provide the component-level transparency regulators expect.</w:t>
      </w:r>
    </w:p>
    <w:p>
      <w:pPr>
        <w:pStyle w:val="BodyText"/>
      </w:pPr>
      <w:r>
        <w:t xml:space="preserve">Digitain is restructuring their platform offering. They are moving from a single license model to independent modules that can be deployed separately. They plan to introduce a</w:t>
      </w:r>
      <w:r>
        <w:t xml:space="preserve"> </w:t>
      </w:r>
      <w:r>
        <w:t xml:space="preserve">“Component Marketplace”</w:t>
      </w:r>
      <w:r>
        <w:t xml:space="preserve"> </w:t>
      </w:r>
      <w:r>
        <w:t xml:space="preserve">allowing operators to swap out modules without a full platform migration.</w:t>
      </w:r>
    </w:p>
    <w:bookmarkEnd w:id="11"/>
    <w:bookmarkStart w:id="12" w:name="why-it-matters-to-operators"/>
    <w:p>
      <w:pPr>
        <w:pStyle w:val="Heading3"/>
      </w:pPr>
      <w:r>
        <w:t xml:space="preserve">Why it matters to operators</w:t>
      </w:r>
    </w:p>
    <w:p>
      <w:pPr>
        <w:pStyle w:val="FirstParagraph"/>
      </w:pPr>
      <w:r>
        <w:t xml:space="preserve">Monolithic platforms create vendor lock-in, costing operators flexibility and negotiating power. When your PAM, game aggregation, payments, and bonus engine are bundled, you cannot optimize each component independently. You also cannot respond quickly to market changes. Brazilian operators have reported challenges, with those on monolithic platforms requiring several months to implement tax reporting changes. Modular setups have completed compliance updates in a significantly shorter timeframe.</w:t>
      </w:r>
    </w:p>
    <w:p>
      <w:pPr>
        <w:pStyle w:val="BodyText"/>
      </w:pPr>
      <w:r>
        <w:t xml:space="preserve">Revenue impact is measurable. Betsson reported faster time-to-market for new product launches after migrating from a monolithic setup to EveryMatrix’s modular architecture in early 2026. Component-level optimization means you can upgrade your payment processing without touching game aggregation. Or you can switch bonus engines without disrupting player management.</w:t>
      </w:r>
    </w:p>
    <w:bookmarkEnd w:id="12"/>
    <w:bookmarkStart w:id="13" w:name="whos-ahead"/>
    <w:p>
      <w:pPr>
        <w:pStyle w:val="Heading3"/>
      </w:pPr>
      <w:r>
        <w:t xml:space="preserve">Who’s ahead</w:t>
      </w:r>
    </w:p>
    <w:p>
      <w:pPr>
        <w:pStyle w:val="Compact"/>
        <w:numPr>
          <w:ilvl w:val="0"/>
          <w:numId w:val="1001"/>
        </w:numPr>
      </w:pPr>
      <w:r>
        <w:rPr>
          <w:b/>
          <w:bCs/>
        </w:rPr>
        <w:t xml:space="preserve">EveryMatrix</w:t>
      </w:r>
      <w:r>
        <w:t xml:space="preserve">: Their Spring Platform was built modular from day one, featuring independent components with separate APIs, contracts, and SLAs. This modularity lets operators run their PAM with a competitor’s payment engine. EveryMatrix secured licensing approval in Alberta, Canada, in May 2026, expanding its North American footprint.</w:t>
      </w:r>
    </w:p>
    <w:p>
      <w:pPr>
        <w:pStyle w:val="Compact"/>
        <w:numPr>
          <w:ilvl w:val="0"/>
          <w:numId w:val="1001"/>
        </w:numPr>
      </w:pPr>
      <w:r>
        <w:rPr>
          <w:b/>
          <w:bCs/>
        </w:rPr>
        <w:t xml:space="preserve">SOFTSWISS</w:t>
      </w:r>
      <w:r>
        <w:t xml:space="preserve">: Continues to evolve its platform in 2026 to support independent module licensing. Their AFT (Automated Financial Technology) payment orchestration works standalone with various PAM systems.</w:t>
      </w:r>
    </w:p>
    <w:p>
      <w:pPr>
        <w:pStyle w:val="Compact"/>
        <w:numPr>
          <w:ilvl w:val="0"/>
          <w:numId w:val="1001"/>
        </w:numPr>
      </w:pPr>
      <w:r>
        <w:rPr>
          <w:b/>
          <w:bCs/>
        </w:rPr>
        <w:t xml:space="preserve">Digitain</w:t>
      </w:r>
      <w:r>
        <w:t xml:space="preserve">: Is restructuring its platform. Their Component Marketplace approach is designed to let operators mix Digitain modules with third-party alternatives.</w:t>
      </w:r>
    </w:p>
    <w:p>
      <w:pPr>
        <w:pStyle w:val="Compact"/>
        <w:numPr>
          <w:ilvl w:val="0"/>
          <w:numId w:val="1001"/>
        </w:numPr>
      </w:pPr>
      <w:r>
        <w:rPr>
          <w:b/>
          <w:bCs/>
        </w:rPr>
        <w:t xml:space="preserve">GiG</w:t>
      </w:r>
      <w:r>
        <w:t xml:space="preserve">: Its core platform is built around a microservices architecture. Their Data Platform is designed to aggregate analytics across mixed vendor stacks.</w:t>
      </w:r>
    </w:p>
    <w:bookmarkEnd w:id="13"/>
    <w:bookmarkStart w:id="14" w:name="what-to-do-now"/>
    <w:p>
      <w:pPr>
        <w:pStyle w:val="Heading3"/>
      </w:pPr>
      <w:r>
        <w:t xml:space="preserve">What to do now</w:t>
      </w:r>
    </w:p>
    <w:p>
      <w:pPr>
        <w:pStyle w:val="Compact"/>
        <w:numPr>
          <w:ilvl w:val="0"/>
          <w:numId w:val="1002"/>
        </w:numPr>
      </w:pPr>
      <w:r>
        <w:t xml:space="preserve">Review your current platform contract renewal timeline. If you are locked in through 2027, negotiate module separation rights for your 2028 renewal.</w:t>
      </w:r>
    </w:p>
    <w:p>
      <w:pPr>
        <w:pStyle w:val="Compact"/>
        <w:numPr>
          <w:ilvl w:val="0"/>
          <w:numId w:val="1002"/>
        </w:numPr>
      </w:pPr>
      <w:r>
        <w:t xml:space="preserve">Audit your integration dependencies. Map which platform components would need replacement if you switched PAM, payments, or game aggregation independently.</w:t>
      </w:r>
    </w:p>
    <w:p>
      <w:pPr>
        <w:pStyle w:val="Compact"/>
        <w:numPr>
          <w:ilvl w:val="0"/>
          <w:numId w:val="1002"/>
        </w:numPr>
      </w:pPr>
      <w:r>
        <w:t xml:space="preserve">Budget for technical resources. Modular platforms require more sophisticated DevOps capabilities, but they give you architectural control. If your team isn’t ready for that, modularity might be a headache rather than a benefit.</w:t>
      </w:r>
    </w:p>
    <w:bookmarkEnd w:id="14"/>
    <w:bookmarkEnd w:id="15"/>
    <w:bookmarkStart w:id="20" w:name="X56945578741b66e3766ba5a04d32135d3a2cd42"/>
    <w:p>
      <w:pPr>
        <w:pStyle w:val="Heading2"/>
      </w:pPr>
      <w:r>
        <w:t xml:space="preserve">Regulatory Automation Becomes Platform Standard</w:t>
      </w:r>
    </w:p>
    <w:bookmarkStart w:id="16" w:name="whats-happening-1"/>
    <w:p>
      <w:pPr>
        <w:pStyle w:val="Heading3"/>
      </w:pPr>
      <w:r>
        <w:t xml:space="preserve">What’s happening</w:t>
      </w:r>
    </w:p>
    <w:p>
      <w:pPr>
        <w:pStyle w:val="FirstParagraph"/>
      </w:pPr>
      <w:r>
        <w:t xml:space="preserve">Casino platforms are building automated regulatory compliance directly into their core architecture. This moves beyond basic reporting to real-time regulatory monitoring and automated policy enforcement. GiG is developing a</w:t>
      </w:r>
      <w:r>
        <w:t xml:space="preserve"> </w:t>
      </w:r>
      <w:r>
        <w:t xml:space="preserve">“Compliance OS”</w:t>
      </w:r>
      <w:r>
        <w:t xml:space="preserve"> </w:t>
      </w:r>
      <w:r>
        <w:t xml:space="preserve">that automatically adjusts platform behavior based on jurisdiction-specific regulations, reducing the need for manual operator intervention.</w:t>
      </w:r>
    </w:p>
    <w:p>
      <w:pPr>
        <w:pStyle w:val="BodyText"/>
      </w:pPr>
      <w:r>
        <w:t xml:space="preserve">The Netherlands’ KSA is expected to issue new technical standards. These may require platforms to show automated cool-off period enforcement and self-exclusion cross-referencing across all licensed operators. Platforms without native automation tools reportedly require operators to build custom compliance workflows, creating implementation delays and audit risks.</w:t>
      </w:r>
    </w:p>
    <w:p>
      <w:pPr>
        <w:pStyle w:val="BodyText"/>
      </w:pPr>
      <w:r>
        <w:t xml:space="preserve">BetConstruct offers machine learning-powered transaction monitoring across its platform. It flags suspicious patterns that align with FATF guidelines across multiple jurisdictions. Their system manages accounts, triggers reporting, and adjusts risk parameters.</w:t>
      </w:r>
    </w:p>
    <w:bookmarkEnd w:id="16"/>
    <w:bookmarkStart w:id="17" w:name="why-it-matters-to-operators-1"/>
    <w:p>
      <w:pPr>
        <w:pStyle w:val="Heading3"/>
      </w:pPr>
      <w:r>
        <w:t xml:space="preserve">Why it matters to operators</w:t>
      </w:r>
    </w:p>
    <w:p>
      <w:pPr>
        <w:pStyle w:val="FirstParagraph"/>
      </w:pPr>
      <w:r>
        <w:t xml:space="preserve">Manual compliance processes create operational bottlenecks and regulatory exposure. Operators report that those using platforms without automated KSA compliance tools may face significant implementation costs for custom development. Meanwhile, operators on platforms with native automation may achieve compliance in shorter timeframes.</w:t>
      </w:r>
    </w:p>
    <w:p>
      <w:pPr>
        <w:pStyle w:val="BodyText"/>
      </w:pPr>
      <w:r>
        <w:t xml:space="preserve">Revenue protection is significant. Automated systems prevent costly violations that can trigger license reviews, offering a proactive approach to responsible gaming compliance.</w:t>
      </w:r>
    </w:p>
    <w:p>
      <w:pPr>
        <w:pStyle w:val="BodyText"/>
      </w:pPr>
      <w:r>
        <w:t xml:space="preserve">Operational efficiency measurably improves. Operators often report a substantial reduction in compliance team workload when platforms handle routine monitoring, reporting, and policy enforcement automatically.</w:t>
      </w:r>
    </w:p>
    <w:bookmarkEnd w:id="17"/>
    <w:bookmarkStart w:id="18" w:name="whos-ahead-1"/>
    <w:p>
      <w:pPr>
        <w:pStyle w:val="Heading3"/>
      </w:pPr>
      <w:r>
        <w:t xml:space="preserve">Who’s ahead</w:t>
      </w:r>
    </w:p>
    <w:p>
      <w:pPr>
        <w:pStyle w:val="Compact"/>
        <w:numPr>
          <w:ilvl w:val="0"/>
          <w:numId w:val="1003"/>
        </w:numPr>
      </w:pPr>
      <w:r>
        <w:rPr>
          <w:b/>
          <w:bCs/>
        </w:rPr>
        <w:t xml:space="preserve">GiG</w:t>
      </w:r>
      <w:r>
        <w:t xml:space="preserve">: Their planned Compliance OS will cover multiple European jurisdictions with automated policy enforcement and real-time regulatory adjustment.</w:t>
      </w:r>
    </w:p>
    <w:p>
      <w:pPr>
        <w:pStyle w:val="Compact"/>
        <w:numPr>
          <w:ilvl w:val="0"/>
          <w:numId w:val="1003"/>
        </w:numPr>
      </w:pPr>
      <w:r>
        <w:rPr>
          <w:b/>
          <w:bCs/>
        </w:rPr>
        <w:t xml:space="preserve">BetConstruct</w:t>
      </w:r>
      <w:r>
        <w:t xml:space="preserve">: Offers ML-powered transaction monitoring across numerous jurisdictions with automated FATF reporting and account management features.</w:t>
      </w:r>
    </w:p>
    <w:p>
      <w:pPr>
        <w:pStyle w:val="Compact"/>
        <w:numPr>
          <w:ilvl w:val="0"/>
          <w:numId w:val="1003"/>
        </w:numPr>
      </w:pPr>
      <w:r>
        <w:rPr>
          <w:b/>
          <w:bCs/>
        </w:rPr>
        <w:t xml:space="preserve">Pariplay</w:t>
      </w:r>
      <w:r>
        <w:t xml:space="preserve">: Their Ignite platform includes automated content compliance. Games that do not meet jurisdiction requirements are automatically excluded from operator libraries. Pariplay was awarded an Ontario supplier license in January 2026, expanding its market reach.</w:t>
      </w:r>
    </w:p>
    <w:p>
      <w:pPr>
        <w:pStyle w:val="Compact"/>
        <w:numPr>
          <w:ilvl w:val="0"/>
          <w:numId w:val="1003"/>
        </w:numPr>
      </w:pPr>
      <w:r>
        <w:rPr>
          <w:b/>
          <w:bCs/>
        </w:rPr>
        <w:t xml:space="preserve">SBTech</w:t>
      </w:r>
      <w:r>
        <w:t xml:space="preserve">: SBTech reportedly offers a Regulatory Engine that handles multi-jurisdictional tax calculations, reporting, and policy enforcement with automated updates when regulations change.</w:t>
      </w:r>
    </w:p>
    <w:bookmarkEnd w:id="18"/>
    <w:bookmarkStart w:id="19" w:name="what-to-do-now-1"/>
    <w:p>
      <w:pPr>
        <w:pStyle w:val="Heading3"/>
      </w:pPr>
      <w:r>
        <w:t xml:space="preserve">What to do now</w:t>
      </w:r>
    </w:p>
    <w:p>
      <w:pPr>
        <w:pStyle w:val="Compact"/>
        <w:numPr>
          <w:ilvl w:val="0"/>
          <w:numId w:val="1004"/>
        </w:numPr>
      </w:pPr>
      <w:r>
        <w:t xml:space="preserve">Evaluate your current compliance workflow complexity. Calculate time and cost spent on manual reporting, monitoring, and policy enforcement.</w:t>
      </w:r>
    </w:p>
    <w:p>
      <w:pPr>
        <w:pStyle w:val="Compact"/>
        <w:numPr>
          <w:ilvl w:val="0"/>
          <w:numId w:val="1004"/>
        </w:numPr>
      </w:pPr>
      <w:r>
        <w:t xml:space="preserve">Request automated compliance roadmaps from your platform vendor. If they cannot demonstrate specific automation capabilities by Q2 2027, plan alternative solutions.</w:t>
      </w:r>
    </w:p>
    <w:p>
      <w:pPr>
        <w:pStyle w:val="Compact"/>
        <w:numPr>
          <w:ilvl w:val="0"/>
          <w:numId w:val="1004"/>
        </w:numPr>
      </w:pPr>
      <w:r>
        <w:t xml:space="preserve">Review your regulatory exposure across all licensed markets. Identify which compliance tasks could be automated to reduce operational risk.</w:t>
      </w:r>
    </w:p>
    <w:bookmarkEnd w:id="19"/>
    <w:bookmarkEnd w:id="20"/>
    <w:bookmarkStart w:id="25" w:name="Xcc805531934f9c048f446bc9689bd50d36f5c4a"/>
    <w:p>
      <w:pPr>
        <w:pStyle w:val="Heading2"/>
      </w:pPr>
      <w:r>
        <w:t xml:space="preserve">Crypto Infrastructure Becomes Platform Native</w:t>
      </w:r>
    </w:p>
    <w:bookmarkStart w:id="21" w:name="whats-happening-2"/>
    <w:p>
      <w:pPr>
        <w:pStyle w:val="Heading3"/>
      </w:pPr>
      <w:r>
        <w:t xml:space="preserve">What’s happening</w:t>
      </w:r>
    </w:p>
    <w:p>
      <w:pPr>
        <w:pStyle w:val="FirstParagraph"/>
      </w:pPr>
      <w:r>
        <w:t xml:space="preserve">Leading casino platforms are building cryptocurrency support directly into their core architecture. They are no longer relying on third-party payment processors. SOFTSWISS processes significant crypto transactions across its platform, offering native wallet management, blockchain settlement, and tax reporting within its system.</w:t>
      </w:r>
    </w:p>
    <w:p>
      <w:pPr>
        <w:pStyle w:val="BodyText"/>
      </w:pPr>
      <w:r>
        <w:t xml:space="preserve">Operator demand for crypto-fiat hybrid experiences drives the infrastructure shift. EveryMatrix is developing a</w:t>
      </w:r>
      <w:r>
        <w:t xml:space="preserve"> </w:t>
      </w:r>
      <w:r>
        <w:t xml:space="preserve">“Unified Wallet”</w:t>
      </w:r>
      <w:r>
        <w:t xml:space="preserve"> </w:t>
      </w:r>
      <w:r>
        <w:t xml:space="preserve">system. This system will allow players to hold both traditional currency and cryptocurrency in a single account with automatic conversion based on operator-defined rules.</w:t>
      </w:r>
    </w:p>
    <w:p>
      <w:pPr>
        <w:pStyle w:val="BodyText"/>
      </w:pPr>
      <w:r>
        <w:t xml:space="preserve">Stablecoin adoption is accelerating. TurboGames sees a strong uptake in stablecoin usage for crypto deposits on its platform, such as USDT or USDC. This leads them to prioritize stablecoin infrastructure over traditional volatile crypto payment rails. Turbo Games partnered with BlueOcean Gaming in December 2025, expanding its game offering for 2026.</w:t>
      </w:r>
    </w:p>
    <w:bookmarkEnd w:id="21"/>
    <w:bookmarkStart w:id="22" w:name="why-it-matters-to-operators-2"/>
    <w:p>
      <w:pPr>
        <w:pStyle w:val="Heading3"/>
      </w:pPr>
      <w:r>
        <w:t xml:space="preserve">Why it matters to operators</w:t>
      </w:r>
    </w:p>
    <w:p>
      <w:pPr>
        <w:pStyle w:val="FirstParagraph"/>
      </w:pPr>
      <w:r>
        <w:t xml:space="preserve">Third-party crypto payment processors typically charge 3-6% transaction fees plus monthly minimums. Native platform integration cuts costs, offering better conversion rates and user experience. Operators using SOFTSWISS’s native crypto infrastructure report higher crypto deposit conversion compared to third-party processor implementations.</w:t>
      </w:r>
    </w:p>
    <w:p>
      <w:pPr>
        <w:pStyle w:val="BodyText"/>
      </w:pPr>
      <w:r>
        <w:t xml:space="preserve">Regulatory compliance is simpler with native integration. When crypto transactions flow through the same platform systems as fiat payments, KYC, AML monitoring, and tax reporting use consistent workflows. Hybrid crypto-fiat operators avoid the compliance complexity of maintaining separate systems for different payment types.</w:t>
      </w:r>
    </w:p>
    <w:p>
      <w:pPr>
        <w:pStyle w:val="BodyText"/>
      </w:pPr>
      <w:r>
        <w:t xml:space="preserve">Player experience improvements drive revenue. Native crypto wallets remove external processor redirects that can cause drop-off during deposit flows.</w:t>
      </w:r>
    </w:p>
    <w:bookmarkEnd w:id="22"/>
    <w:bookmarkStart w:id="23" w:name="whos-ahead-2"/>
    <w:p>
      <w:pPr>
        <w:pStyle w:val="Heading3"/>
      </w:pPr>
      <w:r>
        <w:t xml:space="preserve">Who’s ahead</w:t>
      </w:r>
    </w:p>
    <w:p>
      <w:pPr>
        <w:pStyle w:val="Compact"/>
        <w:numPr>
          <w:ilvl w:val="0"/>
          <w:numId w:val="1005"/>
        </w:numPr>
      </w:pPr>
      <w:r>
        <w:rPr>
          <w:b/>
          <w:bCs/>
        </w:rPr>
        <w:t xml:space="preserve">SOFTSWISS</w:t>
      </w:r>
      <w:r>
        <w:t xml:space="preserve">: Native crypto infrastructure handles significant transaction volumes with integrated wallet management, blockchain settlement, and compliance reporting.</w:t>
      </w:r>
    </w:p>
    <w:p>
      <w:pPr>
        <w:pStyle w:val="Compact"/>
        <w:numPr>
          <w:ilvl w:val="0"/>
          <w:numId w:val="1005"/>
        </w:numPr>
      </w:pPr>
      <w:r>
        <w:rPr>
          <w:b/>
          <w:bCs/>
        </w:rPr>
        <w:t xml:space="preserve">EveryMatrix</w:t>
      </w:r>
      <w:r>
        <w:t xml:space="preserve">: EveryMatrix’s Unified Wallet system, expected in the future, will support crypto-fiat hybrid accounts with automatic conversion capabilities.</w:t>
      </w:r>
    </w:p>
    <w:p>
      <w:pPr>
        <w:pStyle w:val="Compact"/>
        <w:numPr>
          <w:ilvl w:val="0"/>
          <w:numId w:val="1005"/>
        </w:numPr>
      </w:pPr>
      <w:r>
        <w:rPr>
          <w:b/>
          <w:bCs/>
        </w:rPr>
        <w:t xml:space="preserve">TurboGames</w:t>
      </w:r>
      <w:r>
        <w:t xml:space="preserve">: Focuses on stablecoin-focused infrastructure, optimized for USDT/USDC, offering lower volatility risk and faster settlement.</w:t>
      </w:r>
    </w:p>
    <w:p>
      <w:pPr>
        <w:pStyle w:val="Compact"/>
        <w:numPr>
          <w:ilvl w:val="0"/>
          <w:numId w:val="1005"/>
        </w:numPr>
      </w:pPr>
      <w:r>
        <w:rPr>
          <w:b/>
          <w:bCs/>
        </w:rPr>
        <w:t xml:space="preserve">Digitain</w:t>
      </w:r>
      <w:r>
        <w:t xml:space="preserve">: Digitain’s crypto solutions support a range of cryptocurrencies with features for tax reporting and regulatory compliance across various markets.</w:t>
      </w:r>
    </w:p>
    <w:bookmarkEnd w:id="23"/>
    <w:bookmarkStart w:id="24" w:name="what-to-do-now-2"/>
    <w:p>
      <w:pPr>
        <w:pStyle w:val="Heading3"/>
      </w:pPr>
      <w:r>
        <w:t xml:space="preserve">What to do now</w:t>
      </w:r>
    </w:p>
    <w:p>
      <w:pPr>
        <w:pStyle w:val="Compact"/>
        <w:numPr>
          <w:ilvl w:val="0"/>
          <w:numId w:val="1006"/>
        </w:numPr>
      </w:pPr>
      <w:r>
        <w:t xml:space="preserve">Audit your current crypto payment setup costs and conversion rates. Compare third-party processor fees against platform-native alternatives.</w:t>
      </w:r>
    </w:p>
    <w:p>
      <w:pPr>
        <w:pStyle w:val="Compact"/>
        <w:numPr>
          <w:ilvl w:val="0"/>
          <w:numId w:val="1006"/>
        </w:numPr>
      </w:pPr>
      <w:r>
        <w:t xml:space="preserve">Evaluate crypto demand in your key markets. If crypto represents over 10% of deposits, native platform integration likely provides better economics.</w:t>
      </w:r>
    </w:p>
    <w:p>
      <w:pPr>
        <w:pStyle w:val="Compact"/>
        <w:numPr>
          <w:ilvl w:val="0"/>
          <w:numId w:val="1006"/>
        </w:numPr>
      </w:pPr>
      <w:r>
        <w:t xml:space="preserve">Review regulatory requirements for crypto operations in your licensed jurisdictions. Ensure your platform meets reporting and compliance obligations natively.</w:t>
      </w:r>
    </w:p>
    <w:bookmarkEnd w:id="24"/>
    <w:bookmarkEnd w:id="25"/>
    <w:bookmarkStart w:id="30" w:name="Xaa36153a690d5002914a6e68c5ef0e423b891e0"/>
    <w:p>
      <w:pPr>
        <w:pStyle w:val="Heading2"/>
      </w:pPr>
      <w:r>
        <w:t xml:space="preserve">AI Personalization Engines Drive Player Lifetime Value</w:t>
      </w:r>
    </w:p>
    <w:bookmarkStart w:id="26" w:name="whats-happening-3"/>
    <w:p>
      <w:pPr>
        <w:pStyle w:val="Heading3"/>
      </w:pPr>
      <w:r>
        <w:t xml:space="preserve">What’s happening</w:t>
      </w:r>
    </w:p>
    <w:p>
      <w:pPr>
        <w:pStyle w:val="FirstParagraph"/>
      </w:pPr>
      <w:r>
        <w:t xml:space="preserve">Casino platforms integrate machine learning-powered personalization engines. These automatically optimize game recommendations, bonus offers, and user interface elements for individual players. Pragmatic Play is developing a</w:t>
      </w:r>
      <w:r>
        <w:t xml:space="preserve"> </w:t>
      </w:r>
      <w:r>
        <w:t xml:space="preserve">“Neural Gaming”</w:t>
      </w:r>
      <w:r>
        <w:t xml:space="preserve"> </w:t>
      </w:r>
      <w:r>
        <w:t xml:space="preserve">system that uses real-time behavioral analysis. It adjusts game mathematics and feature presentation based on player preferences and risk profiles. Pragmatic Play launched the live casino title Seotda Baccarat on May 18, 2026.</w:t>
      </w:r>
    </w:p>
    <w:p>
      <w:pPr>
        <w:pStyle w:val="BodyText"/>
      </w:pPr>
      <w:r>
        <w:t xml:space="preserve">The personalization shift extends beyond content to platform behavior. Evolution Gaming is introducing an</w:t>
      </w:r>
      <w:r>
        <w:t xml:space="preserve"> </w:t>
      </w:r>
      <w:r>
        <w:t xml:space="preserve">“Adaptive Experience”</w:t>
      </w:r>
      <w:r>
        <w:t xml:space="preserve"> </w:t>
      </w:r>
      <w:r>
        <w:t xml:space="preserve">platform. This system modifies game lobby layouts, betting limits, and promotional timing based on individual player patterns analyzed across its network of operator partners. Evolution plans to release 119 new games (live and RNG) in 2026, including titles from its Hasbro licensing partnership.</w:t>
      </w:r>
    </w:p>
    <w:p>
      <w:pPr>
        <w:pStyle w:val="BodyText"/>
      </w:pPr>
      <w:r>
        <w:t xml:space="preserve">Data integration is becoming more sophisticated. NetEnt’s AI personalization engine reportedly analyzes a wide range of behavioral data points per player session. This includes game selection patterns, betting behavior, session duration, and device usage to optimize engagement automatically. NetEnt continues to release new titles in 2026, with</w:t>
      </w:r>
      <w:r>
        <w:t xml:space="preserve"> </w:t>
      </w:r>
      <w:r>
        <w:t xml:space="preserve">“Whats Up Witches”</w:t>
      </w:r>
      <w:r>
        <w:t xml:space="preserve"> </w:t>
      </w:r>
      <w:r>
        <w:t xml:space="preserve">released in May 2026.</w:t>
      </w:r>
    </w:p>
    <w:bookmarkEnd w:id="26"/>
    <w:bookmarkStart w:id="27" w:name="why-it-matters-to-operators-3"/>
    <w:p>
      <w:pPr>
        <w:pStyle w:val="Heading3"/>
      </w:pPr>
      <w:r>
        <w:t xml:space="preserve">Why it matters to operators</w:t>
      </w:r>
    </w:p>
    <w:p>
      <w:pPr>
        <w:pStyle w:val="FirstParagraph"/>
      </w:pPr>
      <w:r>
        <w:t xml:space="preserve">Generic experiences lose players to competitors offering personalized gameplay. Operators using AI personalization often report notable improvements in player lifetime value and reductions in churn rates.</w:t>
      </w:r>
    </w:p>
    <w:p>
      <w:pPr>
        <w:pStyle w:val="BodyText"/>
      </w:pPr>
      <w:r>
        <w:t xml:space="preserve">Revenue optimization becomes automatic. Instead of manually designing promotional campaigns, AI systems adjust offers in real-time based on player response patterns.</w:t>
      </w:r>
    </w:p>
    <w:p>
      <w:pPr>
        <w:pStyle w:val="BodyText"/>
      </w:pPr>
      <w:r>
        <w:t xml:space="preserve">Competitive differentiation matters more as market saturation increases. Players can choose between dozens of licensed operators in mature markets. Personalized experiences create the engagement advantage that drives player preference and retention.</w:t>
      </w:r>
    </w:p>
    <w:bookmarkEnd w:id="27"/>
    <w:bookmarkStart w:id="28" w:name="whos-ahead-3"/>
    <w:p>
      <w:pPr>
        <w:pStyle w:val="Heading3"/>
      </w:pPr>
      <w:r>
        <w:t xml:space="preserve">Who’s ahead</w:t>
      </w:r>
    </w:p>
    <w:p>
      <w:pPr>
        <w:pStyle w:val="Compact"/>
        <w:numPr>
          <w:ilvl w:val="0"/>
          <w:numId w:val="1007"/>
        </w:numPr>
      </w:pPr>
      <w:r>
        <w:rPr>
          <w:b/>
          <w:bCs/>
        </w:rPr>
        <w:t xml:space="preserve">Pragmatic Play</w:t>
      </w:r>
      <w:r>
        <w:t xml:space="preserve">: Is developing a Neural Gaming system that optimizes game mathematics and feature presentation using real-time behavioral analysis.</w:t>
      </w:r>
    </w:p>
    <w:p>
      <w:pPr>
        <w:pStyle w:val="Compact"/>
        <w:numPr>
          <w:ilvl w:val="0"/>
          <w:numId w:val="1007"/>
        </w:numPr>
      </w:pPr>
      <w:r>
        <w:rPr>
          <w:b/>
          <w:bCs/>
        </w:rPr>
        <w:t xml:space="preserve">Evolution Gaming</w:t>
      </w:r>
      <w:r>
        <w:t xml:space="preserve">: Its Adaptive Experience platform modifies game lobbies, betting limits, and promotional timing based on individual player patterns.</w:t>
      </w:r>
    </w:p>
    <w:p>
      <w:pPr>
        <w:pStyle w:val="Compact"/>
        <w:numPr>
          <w:ilvl w:val="0"/>
          <w:numId w:val="1007"/>
        </w:numPr>
      </w:pPr>
      <w:r>
        <w:rPr>
          <w:b/>
          <w:bCs/>
        </w:rPr>
        <w:t xml:space="preserve">NetEnt</w:t>
      </w:r>
      <w:r>
        <w:t xml:space="preserve">: NetEnt’s AI personalization engine reportedly analyzes a wide range of behavioral data points per session for automatic engagement optimization.</w:t>
      </w:r>
    </w:p>
    <w:p>
      <w:pPr>
        <w:pStyle w:val="Compact"/>
        <w:numPr>
          <w:ilvl w:val="0"/>
          <w:numId w:val="1007"/>
        </w:numPr>
      </w:pPr>
      <w:r>
        <w:rPr>
          <w:b/>
          <w:bCs/>
        </w:rPr>
        <w:t xml:space="preserve">Play’n GO</w:t>
      </w:r>
      <w:r>
        <w:t xml:space="preserve">: Offers recommendation tools that predict player preferences and optimize game suggestions.</w:t>
      </w:r>
    </w:p>
    <w:bookmarkEnd w:id="28"/>
    <w:bookmarkStart w:id="29" w:name="what-to-do-now-3"/>
    <w:p>
      <w:pPr>
        <w:pStyle w:val="Heading3"/>
      </w:pPr>
      <w:r>
        <w:t xml:space="preserve">What to do now</w:t>
      </w:r>
    </w:p>
    <w:p>
      <w:pPr>
        <w:pStyle w:val="Compact"/>
        <w:numPr>
          <w:ilvl w:val="0"/>
          <w:numId w:val="1008"/>
        </w:numPr>
      </w:pPr>
      <w:r>
        <w:t xml:space="preserve">Review your current personalization capabilities. Calculate the manual effort spent on promotional campaigns, game positioning, and player segmentation.</w:t>
      </w:r>
    </w:p>
    <w:p>
      <w:pPr>
        <w:pStyle w:val="Compact"/>
        <w:numPr>
          <w:ilvl w:val="0"/>
          <w:numId w:val="1008"/>
        </w:numPr>
      </w:pPr>
      <w:r>
        <w:t xml:space="preserve">Evaluate player data quality and integration. AI personalization requires clean, comprehensive player behavioral data across all platform touchpoints.</w:t>
      </w:r>
    </w:p>
    <w:p>
      <w:pPr>
        <w:pStyle w:val="Compact"/>
        <w:numPr>
          <w:ilvl w:val="0"/>
          <w:numId w:val="1008"/>
        </w:numPr>
      </w:pPr>
      <w:r>
        <w:t xml:space="preserve">Test AI personalization on a player segment. Measure engagement, conversion, and lifetime value improvements to justify broader implementation.</w:t>
      </w:r>
    </w:p>
    <w:bookmarkEnd w:id="29"/>
    <w:bookmarkEnd w:id="30"/>
    <w:bookmarkStart w:id="35" w:name="Xb219bff2dbeafe618ce357a6399e8a44f983909"/>
    <w:p>
      <w:pPr>
        <w:pStyle w:val="Heading2"/>
      </w:pPr>
      <w:r>
        <w:t xml:space="preserve">Real-Time Payment Orchestration Optimizes Conversion</w:t>
      </w:r>
    </w:p>
    <w:bookmarkStart w:id="31" w:name="whats-happening-4"/>
    <w:p>
      <w:pPr>
        <w:pStyle w:val="Heading3"/>
      </w:pPr>
      <w:r>
        <w:t xml:space="preserve">What’s happening</w:t>
      </w:r>
    </w:p>
    <w:p>
      <w:pPr>
        <w:pStyle w:val="FirstParagraph"/>
      </w:pPr>
      <w:r>
        <w:t xml:space="preserve">Casino platforms implement intelligent payment routing. This automatically selects optimal payment processors based on real-time success rates, costs, and player preferences. PaymentIQ’s orchestration engine is a significant processor, capable of automatically routing transactions to the highest-performing processor for each specific player-method-jurisdiction combination. PaymentIQ Live! 2026, an event focused on fighting fraud across payment rails, is scheduled for November 4, 2026.</w:t>
      </w:r>
    </w:p>
    <w:p>
      <w:pPr>
        <w:pStyle w:val="BodyText"/>
      </w:pPr>
      <w:r>
        <w:t xml:space="preserve">The orchestration logic extends beyond basic failover to dynamic optimization. Nuvei’s</w:t>
      </w:r>
      <w:r>
        <w:t xml:space="preserve"> </w:t>
      </w:r>
      <w:r>
        <w:t xml:space="preserve">“Smart Routing”</w:t>
      </w:r>
      <w:r>
        <w:t xml:space="preserve"> </w:t>
      </w:r>
      <w:r>
        <w:t xml:space="preserve">system analyzes historical success rates, current processor status, and transaction costs. It routes each payment through the most likely path to approval. Nuvei remains a major iGaming payment provider in 2026, supporting 700+ payment methods and 150+ currencies.</w:t>
      </w:r>
    </w:p>
    <w:p>
      <w:pPr>
        <w:pStyle w:val="BodyText"/>
      </w:pPr>
      <w:r>
        <w:t xml:space="preserve">Cryptocurrency integration adds complexity that platforms are solving with unified orchestration. Paysafe announced its</w:t>
      </w:r>
      <w:r>
        <w:t xml:space="preserve"> </w:t>
      </w:r>
      <w:r>
        <w:t xml:space="preserve">“Hybrid Payment Stack,”</w:t>
      </w:r>
      <w:r>
        <w:t xml:space="preserve"> </w:t>
      </w:r>
      <w:r>
        <w:t xml:space="preserve">which treats crypto wallets, traditional processors, and alternative payments as equivalent routing options within a single orchestration engine. Paysafe partnered with MoonPay in April 2026 to launch</w:t>
      </w:r>
      <w:r>
        <w:t xml:space="preserve"> </w:t>
      </w:r>
      <w:r>
        <w:t xml:space="preserve">“Pay with Crypto,”</w:t>
      </w:r>
      <w:r>
        <w:t xml:space="preserve"> </w:t>
      </w:r>
      <w:r>
        <w:t xml:space="preserve">enabling US iGaming operators to accept crypto payments.</w:t>
      </w:r>
    </w:p>
    <w:bookmarkEnd w:id="31"/>
    <w:bookmarkStart w:id="32" w:name="why-it-matters-to-operators-4"/>
    <w:p>
      <w:pPr>
        <w:pStyle w:val="Heading3"/>
      </w:pPr>
      <w:r>
        <w:t xml:space="preserve">Why it matters to operators</w:t>
      </w:r>
    </w:p>
    <w:p>
      <w:pPr>
        <w:pStyle w:val="FirstParagraph"/>
      </w:pPr>
      <w:r>
        <w:t xml:space="preserve">Payment approval rates directly impact revenue. A 2% improvement in deposit success rates translates to significant revenue increases. Operators processing $10M monthly in deposits gain $200K additional revenue annually from better payment routing alone.</w:t>
      </w:r>
    </w:p>
    <w:p>
      <w:pPr>
        <w:pStyle w:val="BodyText"/>
      </w:pPr>
      <w:r>
        <w:t xml:space="preserve">Manual payment processor management creates operational overhead and suboptimal results. Operators using intelligent orchestration often report significant improvements in payment success rates compared to static processor routing.</w:t>
      </w:r>
    </w:p>
    <w:p>
      <w:pPr>
        <w:pStyle w:val="BodyText"/>
      </w:pPr>
      <w:r>
        <w:t xml:space="preserve">Player experience improves with smooth payment flows. When orchestration systems automatically route failed transactions to alternative processors, players experience fewer payment failures and abandoned deposits.</w:t>
      </w:r>
    </w:p>
    <w:bookmarkEnd w:id="32"/>
    <w:bookmarkStart w:id="33" w:name="whos-ahead-4"/>
    <w:p>
      <w:pPr>
        <w:pStyle w:val="Heading3"/>
      </w:pPr>
      <w:r>
        <w:t xml:space="preserve">Who’s ahead</w:t>
      </w:r>
    </w:p>
    <w:p>
      <w:pPr>
        <w:pStyle w:val="Compact"/>
        <w:numPr>
          <w:ilvl w:val="0"/>
          <w:numId w:val="1009"/>
        </w:numPr>
      </w:pPr>
      <w:r>
        <w:rPr>
          <w:b/>
          <w:bCs/>
        </w:rPr>
        <w:t xml:space="preserve">PaymentIQ</w:t>
      </w:r>
      <w:r>
        <w:t xml:space="preserve">: Its orchestration engine processes significant volumes, automatically routing based on real-time success rates, costs, and player preferences.</w:t>
      </w:r>
    </w:p>
    <w:p>
      <w:pPr>
        <w:pStyle w:val="Compact"/>
        <w:numPr>
          <w:ilvl w:val="0"/>
          <w:numId w:val="1009"/>
        </w:numPr>
      </w:pPr>
      <w:r>
        <w:rPr>
          <w:b/>
          <w:bCs/>
        </w:rPr>
        <w:t xml:space="preserve">Nuvei</w:t>
      </w:r>
      <w:r>
        <w:t xml:space="preserve">: Its Smart Routing system analyzes historical performance and current status for dynamic transaction optimization.</w:t>
      </w:r>
    </w:p>
    <w:p>
      <w:pPr>
        <w:pStyle w:val="Compact"/>
        <w:numPr>
          <w:ilvl w:val="0"/>
          <w:numId w:val="1009"/>
        </w:numPr>
      </w:pPr>
      <w:r>
        <w:rPr>
          <w:b/>
          <w:bCs/>
        </w:rPr>
        <w:t xml:space="preserve">Paysafe</w:t>
      </w:r>
      <w:r>
        <w:t xml:space="preserve">: Its Hybrid Payment Stack treats crypto, traditional, and alternative payments as unified routing options within a single orchestration engine.</w:t>
      </w:r>
    </w:p>
    <w:p>
      <w:pPr>
        <w:pStyle w:val="Compact"/>
        <w:numPr>
          <w:ilvl w:val="0"/>
          <w:numId w:val="1009"/>
        </w:numPr>
      </w:pPr>
      <w:r>
        <w:rPr>
          <w:b/>
          <w:bCs/>
        </w:rPr>
        <w:t xml:space="preserve">Adyen</w:t>
      </w:r>
      <w:r>
        <w:t xml:space="preserve">: Adyen’s payment optimization platform uses machine learning to predict approval likelihood and route transactions accordingly.</w:t>
      </w:r>
    </w:p>
    <w:bookmarkEnd w:id="33"/>
    <w:bookmarkStart w:id="34" w:name="what-to-do-now-4"/>
    <w:p>
      <w:pPr>
        <w:pStyle w:val="Heading3"/>
      </w:pPr>
      <w:r>
        <w:t xml:space="preserve">What to do now</w:t>
      </w:r>
    </w:p>
    <w:p>
      <w:pPr>
        <w:pStyle w:val="Compact"/>
        <w:numPr>
          <w:ilvl w:val="0"/>
          <w:numId w:val="1010"/>
        </w:numPr>
      </w:pPr>
      <w:r>
        <w:t xml:space="preserve">Audit your current payment approval rates by processor, method, and jurisdiction. Identify opportunities for routing optimization.</w:t>
      </w:r>
    </w:p>
    <w:p>
      <w:pPr>
        <w:pStyle w:val="Compact"/>
        <w:numPr>
          <w:ilvl w:val="0"/>
          <w:numId w:val="1010"/>
        </w:numPr>
      </w:pPr>
      <w:r>
        <w:t xml:space="preserve">Calculate revenue impact of payment improvements. Estimate additional deposits from 2-5% approval rate increases across your transaction volume.</w:t>
      </w:r>
    </w:p>
    <w:p>
      <w:pPr>
        <w:pStyle w:val="Compact"/>
        <w:numPr>
          <w:ilvl w:val="0"/>
          <w:numId w:val="1010"/>
        </w:numPr>
      </w:pPr>
      <w:r>
        <w:t xml:space="preserve">Evaluate payment orchestration capabilities in your platform or consider specialized solutions for complex multi-processor, multi-method setups.</w:t>
      </w:r>
    </w:p>
    <w:bookmarkEnd w:id="34"/>
    <w:bookmarkEnd w:id="35"/>
    <w:bookmarkStart w:id="40" w:name="X11af4053900bb6d7d3b5bced1d343fafe5b19f5"/>
    <w:p>
      <w:pPr>
        <w:pStyle w:val="Heading2"/>
      </w:pPr>
      <w:r>
        <w:t xml:space="preserve">Headless Architectures Enable Custom Player Experiences</w:t>
      </w:r>
    </w:p>
    <w:bookmarkStart w:id="36" w:name="whats-happening-5"/>
    <w:p>
      <w:pPr>
        <w:pStyle w:val="Heading3"/>
      </w:pPr>
      <w:r>
        <w:t xml:space="preserve">What’s happening</w:t>
      </w:r>
    </w:p>
    <w:p>
      <w:pPr>
        <w:pStyle w:val="FirstParagraph"/>
      </w:pPr>
      <w:r>
        <w:t xml:space="preserve">Casino platforms are separating their backend services from frontend presentation layers. This lets operators build completely custom user experiences while using platform infrastructure. EveryMatrix expects that a substantial percentage of new implementations will use its headless API approach, connecting custom operator frontends to Spring Platform backend services.</w:t>
      </w:r>
    </w:p>
    <w:p>
      <w:pPr>
        <w:pStyle w:val="BodyText"/>
      </w:pPr>
      <w:r>
        <w:t xml:space="preserve">Mobile-first operators, who need platform functionality without traditional casino lobby interfaces, drive the headless shift. SOFTSWISS is introducing an</w:t>
      </w:r>
      <w:r>
        <w:t xml:space="preserve"> </w:t>
      </w:r>
      <w:r>
        <w:t xml:space="preserve">“API-First Platform.”</w:t>
      </w:r>
      <w:r>
        <w:t xml:space="preserve"> </w:t>
      </w:r>
      <w:r>
        <w:t xml:space="preserve">This platform provides complete capabilities through REST APIs that operators can integrate into mobile apps, progressive web applications, or custom gaming experiences.</w:t>
      </w:r>
    </w:p>
    <w:p>
      <w:pPr>
        <w:pStyle w:val="BodyText"/>
      </w:pPr>
      <w:r>
        <w:t xml:space="preserve">Content aggregation is evolving to support headless implementations. Pariplay’s Ignite platform provides game content through standardized APIs that work with various frontend frameworks. This removes the traditional game lobby requirement for content access.</w:t>
      </w:r>
    </w:p>
    <w:bookmarkEnd w:id="36"/>
    <w:bookmarkStart w:id="37" w:name="why-it-matters-to-operators-5"/>
    <w:p>
      <w:pPr>
        <w:pStyle w:val="Heading3"/>
      </w:pPr>
      <w:r>
        <w:t xml:space="preserve">Why it matters to operators</w:t>
      </w:r>
    </w:p>
    <w:p>
      <w:pPr>
        <w:pStyle w:val="FirstParagraph"/>
      </w:pPr>
      <w:r>
        <w:t xml:space="preserve">Custom user experiences create competitive differentiation in saturated markets. Operators can build unique player interfaces that integrate gaming with social features, streaming content, or specialized vertical experiences. They still maintain platform infrastructure and compliance.</w:t>
      </w:r>
    </w:p>
    <w:p>
      <w:pPr>
        <w:pStyle w:val="BodyText"/>
      </w:pPr>
      <w:r>
        <w:t xml:space="preserve">Mobile optimization improves when operators control frontend development completely. Native mobile apps built on headless platform APIs generally achieve enhanced performance compared to traditional platform-provided mobile interfaces.</w:t>
      </w:r>
    </w:p>
    <w:p>
      <w:pPr>
        <w:pStyle w:val="BodyText"/>
      </w:pPr>
      <w:r>
        <w:t xml:space="preserve">Technical flexibility allows faster innovation cycles. Operators can update user interfaces, add features, and optimize player flows without platform vendor development cycles or approval processes.</w:t>
      </w:r>
    </w:p>
    <w:bookmarkEnd w:id="37"/>
    <w:bookmarkStart w:id="38" w:name="whos-ahead-5"/>
    <w:p>
      <w:pPr>
        <w:pStyle w:val="Heading3"/>
      </w:pPr>
      <w:r>
        <w:t xml:space="preserve">Who’s ahead</w:t>
      </w:r>
    </w:p>
    <w:p>
      <w:pPr>
        <w:pStyle w:val="Compact"/>
        <w:numPr>
          <w:ilvl w:val="0"/>
          <w:numId w:val="1011"/>
        </w:numPr>
      </w:pPr>
      <w:r>
        <w:rPr>
          <w:b/>
          <w:bCs/>
        </w:rPr>
        <w:t xml:space="preserve">EveryMatrix</w:t>
      </w:r>
      <w:r>
        <w:t xml:space="preserve">: Expects that a substantial percentage of implementations will use its headless API approach, connecting custom frontends to Spring Platform backend services.</w:t>
      </w:r>
    </w:p>
    <w:p>
      <w:pPr>
        <w:pStyle w:val="Compact"/>
        <w:numPr>
          <w:ilvl w:val="0"/>
          <w:numId w:val="1011"/>
        </w:numPr>
      </w:pPr>
      <w:r>
        <w:rPr>
          <w:b/>
          <w:bCs/>
        </w:rPr>
        <w:t xml:space="preserve">SOFTSWISS</w:t>
      </w:r>
      <w:r>
        <w:t xml:space="preserve">: Is introducing an API-First Platform, providing complete platform capabilities through REST APIs for custom integration.</w:t>
      </w:r>
    </w:p>
    <w:p>
      <w:pPr>
        <w:pStyle w:val="Compact"/>
        <w:numPr>
          <w:ilvl w:val="0"/>
          <w:numId w:val="1011"/>
        </w:numPr>
      </w:pPr>
      <w:r>
        <w:rPr>
          <w:b/>
          <w:bCs/>
        </w:rPr>
        <w:t xml:space="preserve">Pariplay</w:t>
      </w:r>
      <w:r>
        <w:t xml:space="preserve">: Its Ignite platform provides game content through standardized APIs supporting various frontend frameworks.</w:t>
      </w:r>
    </w:p>
    <w:p>
      <w:pPr>
        <w:pStyle w:val="Compact"/>
        <w:numPr>
          <w:ilvl w:val="0"/>
          <w:numId w:val="1011"/>
        </w:numPr>
      </w:pPr>
      <w:r>
        <w:rPr>
          <w:b/>
          <w:bCs/>
        </w:rPr>
        <w:t xml:space="preserve">Digitain</w:t>
      </w:r>
      <w:r>
        <w:t xml:space="preserve">: Digitain offers API-driven solutions that embed platform functionality into custom applications and experiences, supporting a headless approach.</w:t>
      </w:r>
    </w:p>
    <w:bookmarkEnd w:id="38"/>
    <w:bookmarkStart w:id="39" w:name="what-to-do-now-5"/>
    <w:p>
      <w:pPr>
        <w:pStyle w:val="Heading3"/>
      </w:pPr>
      <w:r>
        <w:t xml:space="preserve">What to do now</w:t>
      </w:r>
    </w:p>
    <w:p>
      <w:pPr>
        <w:pStyle w:val="Compact"/>
        <w:numPr>
          <w:ilvl w:val="0"/>
          <w:numId w:val="1012"/>
        </w:numPr>
      </w:pPr>
      <w:r>
        <w:t xml:space="preserve">Evaluate your current user experience limitations. Identify features or interface improvements that your platform vendor cannot or will not implement.</w:t>
      </w:r>
    </w:p>
    <w:p>
      <w:pPr>
        <w:pStyle w:val="Compact"/>
        <w:numPr>
          <w:ilvl w:val="0"/>
          <w:numId w:val="1012"/>
        </w:numPr>
      </w:pPr>
      <w:r>
        <w:t xml:space="preserve">Assess your technical team capabilities. Headless approaches require frontend development expertise and ongoing maintenance resources. If you lack a strong in-house team, this path will be costly.</w:t>
      </w:r>
    </w:p>
    <w:p>
      <w:pPr>
        <w:pStyle w:val="Compact"/>
        <w:numPr>
          <w:ilvl w:val="0"/>
          <w:numId w:val="1012"/>
        </w:numPr>
      </w:pPr>
      <w:r>
        <w:t xml:space="preserve">Consider hybrid implementation. Test headless architecture for specific features (mobile app, promotional pages) before full platform separation.</w:t>
      </w:r>
    </w:p>
    <w:bookmarkEnd w:id="39"/>
    <w:bookmarkEnd w:id="40"/>
    <w:bookmarkStart w:id="45" w:name="Xa799e2b100cf6126188db3df7269ba1f50db5d6"/>
    <w:p>
      <w:pPr>
        <w:pStyle w:val="Heading2"/>
      </w:pPr>
      <w:r>
        <w:t xml:space="preserve">Multi-Jurisdictional Compliance Engines Simplify Market Entry</w:t>
      </w:r>
    </w:p>
    <w:bookmarkStart w:id="41" w:name="whats-happening-6"/>
    <w:p>
      <w:pPr>
        <w:pStyle w:val="Heading3"/>
      </w:pPr>
      <w:r>
        <w:t xml:space="preserve">What’s happening</w:t>
      </w:r>
    </w:p>
    <w:p>
      <w:pPr>
        <w:pStyle w:val="FirstParagraph"/>
      </w:pPr>
      <w:r>
        <w:t xml:space="preserve">Casino platforms are building automated compliance systems that handle regulatory requirements across multiple jurisdictions simultaneously. This minimizes the custom development traditionally required for each market entry. GiG plans to introduce its</w:t>
      </w:r>
      <w:r>
        <w:t xml:space="preserve"> </w:t>
      </w:r>
      <w:r>
        <w:t xml:space="preserve">“Global Compliance Matrix.”</w:t>
      </w:r>
      <w:r>
        <w:t xml:space="preserve"> </w:t>
      </w:r>
      <w:r>
        <w:t xml:space="preserve">This system will support automated regulatory compliance across a significant number of jurisdictions with market-specific player protections, tax calculations, and reporting.</w:t>
      </w:r>
    </w:p>
    <w:p>
      <w:pPr>
        <w:pStyle w:val="BodyText"/>
      </w:pPr>
      <w:r>
        <w:t xml:space="preserve">The compliance automation extends to content management and operational policies. BetConstruct’s</w:t>
      </w:r>
      <w:r>
        <w:t xml:space="preserve"> </w:t>
      </w:r>
      <w:r>
        <w:t xml:space="preserve">“Regulatory Sandbox”</w:t>
      </w:r>
      <w:r>
        <w:t xml:space="preserve"> </w:t>
      </w:r>
      <w:r>
        <w:t xml:space="preserve">system lets operators test compliance configurations for new markets before licensing completion. This ensures platform readiness for market launch.</w:t>
      </w:r>
    </w:p>
    <w:p>
      <w:pPr>
        <w:pStyle w:val="BodyText"/>
      </w:pPr>
      <w:r>
        <w:t xml:space="preserve">Cross-border player protection is becoming automated. SBTech implements shared self-exclusion databases across its platform. These systems automatically prevent excluded players from accessing any licensed operator using their system, regardless of jurisdiction.</w:t>
      </w:r>
    </w:p>
    <w:bookmarkEnd w:id="41"/>
    <w:bookmarkStart w:id="42" w:name="why-it-matters-to-operators-6"/>
    <w:p>
      <w:pPr>
        <w:pStyle w:val="Heading3"/>
      </w:pPr>
      <w:r>
        <w:t xml:space="preserve">Why it matters to operators</w:t>
      </w:r>
    </w:p>
    <w:p>
      <w:pPr>
        <w:pStyle w:val="FirstParagraph"/>
      </w:pPr>
      <w:r>
        <w:t xml:space="preserve">Multi-market expansion can require considerable custom compliance development per jurisdiction. This incurs significant costs depending on regulatory complexity. Automated compliance engines reduce market entry timelines with minimal custom development.</w:t>
      </w:r>
    </w:p>
    <w:p>
      <w:pPr>
        <w:pStyle w:val="BodyText"/>
      </w:pPr>
      <w:r>
        <w:t xml:space="preserve">Operational efficiency improves significantly when compliance processes are standardized across markets. Operators often report a substantial reduction in compliance management overhead when using platforms with native multi-jurisdictional support.</w:t>
      </w:r>
    </w:p>
    <w:p>
      <w:pPr>
        <w:pStyle w:val="BodyText"/>
      </w:pPr>
      <w:r>
        <w:t xml:space="preserve">Regulatory risk decreases with automated compliance monitoring. Platform-level compliance engines prevent the operator errors that trigger regulatory reviews, license suspensions, or financial penalties.</w:t>
      </w:r>
    </w:p>
    <w:bookmarkEnd w:id="42"/>
    <w:bookmarkStart w:id="43" w:name="whos-ahead-6"/>
    <w:p>
      <w:pPr>
        <w:pStyle w:val="Heading3"/>
      </w:pPr>
      <w:r>
        <w:t xml:space="preserve">Who’s ahead</w:t>
      </w:r>
    </w:p>
    <w:p>
      <w:pPr>
        <w:pStyle w:val="Compact"/>
        <w:numPr>
          <w:ilvl w:val="0"/>
          <w:numId w:val="1013"/>
        </w:numPr>
      </w:pPr>
      <w:r>
        <w:rPr>
          <w:b/>
          <w:bCs/>
        </w:rPr>
        <w:t xml:space="preserve">GiG</w:t>
      </w:r>
      <w:r>
        <w:t xml:space="preserve">: Its Global Compliance Matrix will support automated regulatory compliance across a significant number of jurisdictions with market-specific protections and reporting.</w:t>
      </w:r>
    </w:p>
    <w:p>
      <w:pPr>
        <w:pStyle w:val="Compact"/>
        <w:numPr>
          <w:ilvl w:val="0"/>
          <w:numId w:val="1013"/>
        </w:numPr>
      </w:pPr>
      <w:r>
        <w:rPr>
          <w:b/>
          <w:bCs/>
        </w:rPr>
        <w:t xml:space="preserve">BetConstruct</w:t>
      </w:r>
      <w:r>
        <w:t xml:space="preserve">: Its Regulatory Sandbox allows operators to test compliance configurations for new markets before licensing completion.</w:t>
      </w:r>
    </w:p>
    <w:p>
      <w:pPr>
        <w:pStyle w:val="Compact"/>
        <w:numPr>
          <w:ilvl w:val="0"/>
          <w:numId w:val="1013"/>
        </w:numPr>
      </w:pPr>
      <w:r>
        <w:rPr>
          <w:b/>
          <w:bCs/>
        </w:rPr>
        <w:t xml:space="preserve">SBTech</w:t>
      </w:r>
      <w:r>
        <w:t xml:space="preserve">: SBTech implements shared self-exclusion databases across its platform. These automatically prevent excluded players from accessing any operator using their platform across jurisdictions.</w:t>
      </w:r>
    </w:p>
    <w:p>
      <w:pPr>
        <w:pStyle w:val="Compact"/>
        <w:numPr>
          <w:ilvl w:val="0"/>
          <w:numId w:val="1013"/>
        </w:numPr>
      </w:pPr>
      <w:r>
        <w:rPr>
          <w:b/>
          <w:bCs/>
        </w:rPr>
        <w:t xml:space="preserve">Digitain</w:t>
      </w:r>
      <w:r>
        <w:t xml:space="preserve">: Digitain provides multi-market compliance features. These assist with tax calculations, reporting, and player protections across various markets, including European and Latin American regions.</w:t>
      </w:r>
    </w:p>
    <w:bookmarkEnd w:id="43"/>
    <w:bookmarkStart w:id="44" w:name="what-to-do-now-6"/>
    <w:p>
      <w:pPr>
        <w:pStyle w:val="Heading3"/>
      </w:pPr>
      <w:r>
        <w:t xml:space="preserve">What to do now</w:t>
      </w:r>
    </w:p>
    <w:p>
      <w:pPr>
        <w:pStyle w:val="Compact"/>
        <w:numPr>
          <w:ilvl w:val="0"/>
          <w:numId w:val="1014"/>
        </w:numPr>
      </w:pPr>
      <w:r>
        <w:t xml:space="preserve">Map your market expansion timeline for 2027-2028. Calculate time and cost savings from automated compliance versus custom development for each target jurisdiction.</w:t>
      </w:r>
    </w:p>
    <w:p>
      <w:pPr>
        <w:pStyle w:val="Compact"/>
        <w:numPr>
          <w:ilvl w:val="0"/>
          <w:numId w:val="1014"/>
        </w:numPr>
      </w:pPr>
      <w:r>
        <w:t xml:space="preserve">Review your current compliance complexity across licensed markets. Identify opportunities for standardization and automation.</w:t>
      </w:r>
    </w:p>
    <w:p>
      <w:pPr>
        <w:pStyle w:val="Compact"/>
        <w:numPr>
          <w:ilvl w:val="0"/>
          <w:numId w:val="1014"/>
        </w:numPr>
      </w:pPr>
      <w:r>
        <w:t xml:space="preserve">Evaluate platform vendor capabilities for your target markets. Ensure automated compliance support before committing to new market entries.</w:t>
      </w:r>
    </w:p>
    <w:bookmarkEnd w:id="44"/>
    <w:bookmarkEnd w:id="45"/>
    <w:bookmarkStart w:id="46" w:name="Xfe68d8af8c8dea423e8ad7d0f1dbfdd90467c31"/>
    <w:p>
      <w:pPr>
        <w:pStyle w:val="Heading2"/>
      </w:pPr>
      <w:r>
        <w:t xml:space="preserve">What This Means for Your Vendor Selection</w:t>
      </w:r>
    </w:p>
    <w:p>
      <w:pPr>
        <w:pStyle w:val="FirstParagraph"/>
      </w:pPr>
      <w:r>
        <w:t xml:space="preserve">These trends fundamentally reshape platform vendor evaluation criteria. The traditional comparison of features, pricing, and client references now requires assessment of architectural flexibility, regulatory automation capabilities, and infrastructure adaptability.</w:t>
      </w:r>
    </w:p>
    <w:p>
      <w:pPr>
        <w:pStyle w:val="BodyText"/>
      </w:pPr>
      <w:r>
        <w:t xml:space="preserve">Operators renewing platform contracts in 2027 should prioritize vendors demonstrating modular architectures, native regulatory compliance automation, and integrated crypto infrastructure. The technical debt of staying with legacy monolithic platforms will compound as regulatory requirements increase and player expectations evolve.</w:t>
      </w:r>
    </w:p>
    <w:p>
      <w:pPr>
        <w:pStyle w:val="BodyText"/>
      </w:pPr>
      <w:r>
        <w:t xml:space="preserve">Platform migration complexity is increasing, making vendor selection more consequential. Choose platforms that support gradual component migration rather than all-or-nothing replacement. The most successful platform strategies in 2027 will combine proven vendor stability with architectural flexibility for future adaptation.</w:t>
      </w:r>
    </w:p>
    <w:tbl>
      <w:tblPr>
        <w:tblStyle w:val="Table"/>
        <w:tblW w:type="pct" w:w="5000"/>
        <w:tblLayout w:type="fixed"/>
        <w:tblLook w:firstRow="1" w:lastRow="0" w:firstColumn="0" w:lastColumn="0" w:noHBand="0" w:noVBand="0" w:val="0020"/>
      </w:tblPr>
      <w:tblGrid>
        <w:gridCol w:w="972"/>
        <w:gridCol w:w="3612"/>
        <w:gridCol w:w="3334"/>
      </w:tblGrid>
      <w:tr>
        <w:trPr>
          <w:tblHeader w:val="on"/>
        </w:trPr>
        <w:tc>
          <w:tcPr/>
          <w:p>
            <w:pPr>
              <w:pStyle w:val="Compact"/>
            </w:pPr>
            <w:r>
              <w:t xml:space="preserve">Trend</w:t>
            </w:r>
          </w:p>
        </w:tc>
        <w:tc>
          <w:tcPr/>
          <w:p>
            <w:pPr>
              <w:pStyle w:val="Compact"/>
            </w:pPr>
            <w:r>
              <w:t xml:space="preserve">Short-Term Impact (2027)</w:t>
            </w:r>
          </w:p>
        </w:tc>
        <w:tc>
          <w:tcPr/>
          <w:p>
            <w:pPr>
              <w:pStyle w:val="Compact"/>
            </w:pPr>
            <w:r>
              <w:t xml:space="preserve">Vendor Question to Ask</w:t>
            </w:r>
          </w:p>
        </w:tc>
      </w:tr>
      <w:tr>
        <w:tc>
          <w:tcPr/>
          <w:p>
            <w:pPr>
              <w:pStyle w:val="Compact"/>
            </w:pPr>
            <w:r>
              <w:t xml:space="preserve">Modular Architecture</w:t>
            </w:r>
          </w:p>
        </w:tc>
        <w:tc>
          <w:tcPr/>
          <w:p>
            <w:pPr>
              <w:pStyle w:val="Compact"/>
            </w:pPr>
            <w:r>
              <w:t xml:space="preserve">Affects renewal negotiations and component optimization</w:t>
            </w:r>
          </w:p>
        </w:tc>
        <w:tc>
          <w:tcPr/>
          <w:p>
            <w:pPr>
              <w:pStyle w:val="Compact"/>
            </w:pPr>
            <w:r>
              <w:t xml:space="preserve">“Can we license your PAM independently from game aggregation?”</w:t>
            </w:r>
          </w:p>
        </w:tc>
      </w:tr>
      <w:tr>
        <w:tc>
          <w:tcPr/>
          <w:p>
            <w:pPr>
              <w:pStyle w:val="Compact"/>
            </w:pPr>
            <w:r>
              <w:t xml:space="preserve">Regulatory Automation</w:t>
            </w:r>
          </w:p>
        </w:tc>
        <w:tc>
          <w:tcPr/>
          <w:p>
            <w:pPr>
              <w:pStyle w:val="Compact"/>
            </w:pPr>
            <w:r>
              <w:t xml:space="preserve">Critical for market compliance deadlines</w:t>
            </w:r>
          </w:p>
        </w:tc>
        <w:tc>
          <w:tcPr/>
          <w:p>
            <w:pPr>
              <w:pStyle w:val="Compact"/>
            </w:pPr>
            <w:r>
              <w:t xml:space="preserve">“Which compliance processes require manual operator intervention?”</w:t>
            </w:r>
          </w:p>
        </w:tc>
      </w:tr>
      <w:tr>
        <w:tc>
          <w:tcPr/>
          <w:p>
            <w:pPr>
              <w:pStyle w:val="Compact"/>
            </w:pPr>
            <w:r>
              <w:t xml:space="preserve">Native Crypto Infrastructure</w:t>
            </w:r>
          </w:p>
        </w:tc>
        <w:tc>
          <w:tcPr/>
          <w:p>
            <w:pPr>
              <w:pStyle w:val="Compact"/>
            </w:pPr>
            <w:r>
              <w:t xml:space="preserve">Determines crypto market competitiveness</w:t>
            </w:r>
          </w:p>
        </w:tc>
        <w:tc>
          <w:tcPr/>
          <w:p>
            <w:pPr>
              <w:pStyle w:val="Compact"/>
            </w:pPr>
            <w:r>
              <w:t xml:space="preserve">“What percentage of crypto transactions flow through third-party processors?”</w:t>
            </w:r>
          </w:p>
        </w:tc>
      </w:tr>
      <w:tr>
        <w:tc>
          <w:tcPr/>
          <w:p>
            <w:pPr>
              <w:pStyle w:val="Compact"/>
            </w:pPr>
            <w:r>
              <w:t xml:space="preserve">AI Personalization</w:t>
            </w:r>
          </w:p>
        </w:tc>
        <w:tc>
          <w:tcPr/>
          <w:p>
            <w:pPr>
              <w:pStyle w:val="Compact"/>
            </w:pPr>
            <w:r>
              <w:t xml:space="preserve">Competitive advantage in player retention</w:t>
            </w:r>
          </w:p>
        </w:tc>
        <w:tc>
          <w:tcPr/>
          <w:p>
            <w:pPr>
              <w:pStyle w:val="Compact"/>
            </w:pPr>
            <w:r>
              <w:t xml:space="preserve">“How does your personalization engine learn from player behavior?”</w:t>
            </w:r>
          </w:p>
        </w:tc>
      </w:tr>
      <w:tr>
        <w:tc>
          <w:tcPr/>
          <w:p>
            <w:pPr>
              <w:pStyle w:val="Compact"/>
            </w:pPr>
            <w:r>
              <w:t xml:space="preserve">Payment Orchestration</w:t>
            </w:r>
          </w:p>
        </w:tc>
        <w:tc>
          <w:tcPr/>
          <w:p>
            <w:pPr>
              <w:pStyle w:val="Compact"/>
            </w:pPr>
            <w:r>
              <w:t xml:space="preserve">Direct impact on deposit conversion rates</w:t>
            </w:r>
          </w:p>
        </w:tc>
        <w:tc>
          <w:tcPr/>
          <w:p>
            <w:pPr>
              <w:pStyle w:val="Compact"/>
            </w:pPr>
            <w:r>
              <w:t xml:space="preserve">“How does your routing optimize for approval rates versus costs?”</w:t>
            </w:r>
          </w:p>
        </w:tc>
      </w:tr>
      <w:tr>
        <w:tc>
          <w:tcPr/>
          <w:p>
            <w:pPr>
              <w:pStyle w:val="Compact"/>
            </w:pPr>
            <w:r>
              <w:t xml:space="preserve">Headless Architecture</w:t>
            </w:r>
          </w:p>
        </w:tc>
        <w:tc>
          <w:tcPr/>
          <w:p>
            <w:pPr>
              <w:pStyle w:val="Compact"/>
            </w:pPr>
            <w:r>
              <w:t xml:space="preserve">Enables custom experience development</w:t>
            </w:r>
          </w:p>
        </w:tc>
        <w:tc>
          <w:tcPr/>
          <w:p>
            <w:pPr>
              <w:pStyle w:val="Compact"/>
            </w:pPr>
            <w:r>
              <w:t xml:space="preserve">“Can we build custom frontends while using your backend services?”</w:t>
            </w:r>
          </w:p>
        </w:tc>
      </w:tr>
      <w:tr>
        <w:tc>
          <w:tcPr/>
          <w:p>
            <w:pPr>
              <w:pStyle w:val="Compact"/>
            </w:pPr>
            <w:r>
              <w:t xml:space="preserve">Multi-Jurisdictional Compliance</w:t>
            </w:r>
          </w:p>
        </w:tc>
        <w:tc>
          <w:tcPr/>
          <w:p>
            <w:pPr>
              <w:pStyle w:val="Compact"/>
            </w:pPr>
            <w:r>
              <w:t xml:space="preserve">Reduces market expansion timeline and cost</w:t>
            </w:r>
          </w:p>
        </w:tc>
        <w:tc>
          <w:tcPr/>
          <w:p>
            <w:pPr>
              <w:pStyle w:val="Compact"/>
            </w:pPr>
            <w:r>
              <w:t xml:space="preserve">“How many jurisdictions does your compliance automation support?”</w:t>
            </w:r>
          </w:p>
        </w:tc>
      </w:tr>
    </w:tbl>
    <w:bookmarkEnd w:id="46"/>
    <w:bookmarkStart w:id="55" w:name="common-questions"/>
    <w:p>
      <w:pPr>
        <w:pStyle w:val="Heading2"/>
      </w:pPr>
      <w:r>
        <w:t xml:space="preserve">Common Questions</w:t>
      </w:r>
    </w:p>
    <w:bookmarkStart w:id="47" w:name="X7d2d142bcb17f16b4901dbf0928f3d01d78669d"/>
    <w:p>
      <w:pPr>
        <w:pStyle w:val="Heading3"/>
      </w:pPr>
      <w:r>
        <w:t xml:space="preserve">What is a modular casino platform and why should I care?</w:t>
      </w:r>
    </w:p>
    <w:p>
      <w:pPr>
        <w:pStyle w:val="FirstParagraph"/>
      </w:pPr>
      <w:r>
        <w:t xml:space="preserve">A modular casino platform separates core functions like player management, game aggregation, payments, and bonus engines into independent modules. You can license, deploy, and upgrade these separately. This matters because you can optimize each component independently, swap underperforming modules without a full platform migration, and adapt to regulatory changes faster than monolithic setups.</w:t>
      </w:r>
    </w:p>
    <w:bookmarkEnd w:id="47"/>
    <w:bookmarkStart w:id="48" w:name="Xf1cc860d4845d50d8bcfaacfdeed0f478c95ad5"/>
    <w:p>
      <w:pPr>
        <w:pStyle w:val="Heading3"/>
      </w:pPr>
      <w:r>
        <w:t xml:space="preserve">How is a modular casino platform different from a monolithic platform?</w:t>
      </w:r>
    </w:p>
    <w:p>
      <w:pPr>
        <w:pStyle w:val="FirstParagraph"/>
      </w:pPr>
      <w:r>
        <w:t xml:space="preserve">Monolithic platforms bundle all functionality into a single system with shared databases and tightly coupled components. If you need to change payment processing, you might affect game aggregation. Modular platforms use APIs to connect independent modules. You can upgrade payments without touching anything else. Brazilian operators have reported challenges, with monolithic platforms requiring significant time for tax compliance changes while modular setups have completed updates in shorter timeframes.</w:t>
      </w:r>
    </w:p>
    <w:bookmarkEnd w:id="48"/>
    <w:bookmarkStart w:id="49" w:name="X07acfc84cb47da4fb81338f1b2dd764246e6a3b"/>
    <w:p>
      <w:pPr>
        <w:pStyle w:val="Heading3"/>
      </w:pPr>
      <w:r>
        <w:t xml:space="preserve">When should I switch from a monolithic platform to a modular one?</w:t>
      </w:r>
    </w:p>
    <w:p>
      <w:pPr>
        <w:pStyle w:val="FirstParagraph"/>
      </w:pPr>
      <w:r>
        <w:t xml:space="preserve">Switch when you are hitting integration bottlenecks, struggling with vendor lock-in, or facing regulatory deadlines your current platform cannot meet quickly. If you need several months for simple integrations, cannot negotiate component-level pricing, or your platform vendor controls your roadmap completely, modular architecture will give you more control. Do not switch just for the technology – switch when monolithic limitations are costing you revenue or market opportunities.</w:t>
      </w:r>
    </w:p>
    <w:bookmarkEnd w:id="49"/>
    <w:bookmarkStart w:id="50" w:name="Xb01c322494c51d274e41013c8d292e3b1155ce5"/>
    <w:p>
      <w:pPr>
        <w:pStyle w:val="Heading3"/>
      </w:pPr>
      <w:r>
        <w:t xml:space="preserve">Which casino platform has the fastest time to market for new operators?</w:t>
      </w:r>
    </w:p>
    <w:p>
      <w:pPr>
        <w:pStyle w:val="FirstParagraph"/>
      </w:pPr>
      <w:r>
        <w:t xml:space="preserve">EveryMatrix and SOFTSWISS are recognized for their modular architectures. These enable faster launches by allowing operators to deploy core components first and then add features incrementally. Traditional monolithic platforms often require full system implementation before launch. Modular setups can enable basic operations to run in a considerably shorter timeframe compared to full monolithic deployments.</w:t>
      </w:r>
    </w:p>
    <w:bookmarkEnd w:id="50"/>
    <w:bookmarkStart w:id="51" w:name="X280856d8cf4d0fc47ba061babeadd7efb39dcf2"/>
    <w:p>
      <w:pPr>
        <w:pStyle w:val="Heading3"/>
      </w:pPr>
      <w:r>
        <w:t xml:space="preserve">How much does a modular casino platform cost compared to monolithic?</w:t>
      </w:r>
    </w:p>
    <w:p>
      <w:pPr>
        <w:pStyle w:val="FirstParagraph"/>
      </w:pPr>
      <w:r>
        <w:t xml:space="preserve">Modular platforms often cost more initially because you are paying for architectural flexibility and independent components. However, total cost of ownership is typically lower. You can optimize pricing for each module, avoid unnecessary features, and switch components without full migration costs. The real savings come from faster integrations and reduced custom development.</w:t>
      </w:r>
    </w:p>
    <w:bookmarkEnd w:id="51"/>
    <w:bookmarkStart w:id="54" w:name="X6f30bd422d79d631917c12bf9afe91ab07b5277"/>
    <w:p>
      <w:pPr>
        <w:pStyle w:val="Heading3"/>
      </w:pPr>
      <w:r>
        <w:t xml:space="preserve">Best casino platform for adding new game providers quickly?</w:t>
      </w:r>
    </w:p>
    <w:p>
      <w:pPr>
        <w:pStyle w:val="FirstParagraph"/>
      </w:pPr>
      <w:r>
        <w:t xml:space="preserve">Modular game aggregation platforms like EveryMatrix, SOFTSWISS, and Digitain excel at provider integrations. Their APIs are designed for independent content management. Monolithic platforms often require platform vendor involvement for each new provider. Modular setups let you integrate providers directly or through third-party aggregators without affecting other platform components.</w:t>
      </w:r>
    </w:p>
    <w:p>
      <w:r>
        <w:pict>
          <v:rect style="width:0;height:1.5pt" o:hralign="center" o:hrstd="t" o:hr="t"/>
        </w:pict>
      </w:r>
    </w:p>
    <w:p>
      <w:pPr>
        <w:pStyle w:val="FirstParagraph"/>
      </w:pPr>
      <w:r>
        <w:t xml:space="preserve">For comprehensive platform vendor comparisons and selection guidance, see our</w:t>
      </w:r>
      <w:r>
        <w:t xml:space="preserve"> </w:t>
      </w:r>
      <w:hyperlink r:id="rId52">
        <w:r>
          <w:rPr>
            <w:rStyle w:val="Hyperlink"/>
          </w:rPr>
          <w:t xml:space="preserve">Best Casino Platforms 2026 Guide</w:t>
        </w:r>
      </w:hyperlink>
      <w:r>
        <w:t xml:space="preserve">. For additional iGaming insights, browse our</w:t>
      </w:r>
      <w:r>
        <w:t xml:space="preserve"> </w:t>
      </w:r>
      <w:hyperlink r:id="rId53">
        <w:r>
          <w:rPr>
            <w:rStyle w:val="Hyperlink"/>
          </w:rPr>
          <w:t xml:space="preserve">complete directory</w:t>
        </w:r>
      </w:hyperlink>
      <w:r>
        <w:t xml:space="preserve">.</w:t>
      </w:r>
    </w:p>
    <w:p>
      <w:pPr>
        <w:pStyle w:val="BodyText"/>
      </w:pPr>
      <w:r>
        <w:rPr>
          <w:b/>
          <w:bCs/>
        </w:rPr>
        <w:t xml:space="preserve">Editorial Independence</w:t>
      </w:r>
      <w:r>
        <w:t xml:space="preserve">: OnlyiGaming maintains editorial independence from all vendors mentioned. This analysis is based on publicly available information, industry research, and vendor announcements rather than sponsored content or vendor partnerships.</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3" Target="/directory/" TargetMode="External" /><Relationship Type="http://schemas.openxmlformats.org/officeDocument/2006/relationships/hyperlink" Id="rId9" Target="/guides/best-casino-platforms-2026" TargetMode="External" /><Relationship Type="http://schemas.openxmlformats.org/officeDocument/2006/relationships/hyperlink" Id="rId52" Target="/guides/best-casino-platforms-2026/" TargetMode="External" /></Relationships>
</file>

<file path=word/_rels/footnotes.xml.rels><?xml version="1.0" encoding="UTF-8"?><Relationships xmlns="http://schemas.openxmlformats.org/package/2006/relationships"><Relationship Type="http://schemas.openxmlformats.org/officeDocument/2006/relationships/hyperlink" Id="rId53" Target="/directory/" TargetMode="External" /><Relationship Type="http://schemas.openxmlformats.org/officeDocument/2006/relationships/hyperlink" Id="rId9" Target="/guides/best-casino-platforms-2026" TargetMode="External" /><Relationship Type="http://schemas.openxmlformats.org/officeDocument/2006/relationships/hyperlink" Id="rId52" Target="/guides/best-casino-platforms-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Casino Platforms Trends to Watch in 2027</dc:title>
  <dc:creator/>
  <cp:category>casino-platforms</cp:category>
  <cp:keywords/>
  <dcterms:created xsi:type="dcterms:W3CDTF">2026-06-03T07:33:14Z</dcterms:created>
  <dcterms:modified xsi:type="dcterms:W3CDTF">2026-06-03T07:33:14Z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2026-12-15</vt:lpwstr>
  </property>
  <property fmtid="{D5CDD505-2E9C-101B-9397-08002B2CF9AE}" pid="3" name="meta_description">
    <vt:lpwstr>Key modular casino platform trends for 2027: automated regulatory compliance, native crypto infrastructure, AI personalization, and payment orchestration systems.</vt:lpwstr>
  </property>
  <property fmtid="{D5CDD505-2E9C-101B-9397-08002B2CF9AE}" pid="4" name="meta_title">
    <vt:lpwstr>Casino Platform Trends 2027: Modular Architecture &amp; Regulatory Tech</vt:lpwstr>
  </property>
  <property fmtid="{D5CDD505-2E9C-101B-9397-08002B2CF9AE}" pid="5" name="parent_pillar">
    <vt:lpwstr>/guides/best-casino-platforms-2026</vt:lpwstr>
  </property>
  <property fmtid="{D5CDD505-2E9C-101B-9397-08002B2CF9AE}" pid="6" name="slug">
    <vt:lpwstr>casino-platforms-trends-watch-2027</vt:lpwstr>
  </property>
  <property fmtid="{D5CDD505-2E9C-101B-9397-08002B2CF9AE}" pid="7" name="type">
    <vt:lpwstr>satellite-trends</vt:lpwstr>
  </property>
</Properties>
</file>