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Casino Platforms for Emerging Markets in 2026</w:t>
      </w:r>
    </w:p>
    <w:p>
      <w:pPr>
        <w:pStyle w:val="Author"/>
      </w:pPr>
      <w:r>
        <w:t xml:space="preserve">OnlyiGaming Editorial</w:t>
      </w:r>
    </w:p>
    <w:p>
      <w:pPr>
        <w:pStyle w:val="Date"/>
      </w:pPr>
      <w:r>
        <w:t xml:space="preserve">2026-06-02</w:t>
      </w:r>
    </w:p>
    <w:bookmarkStart w:id="45" w:name="Xd3d7af660af4ce50508f0f9eaa45200b22a6f10"/>
    <w:p>
      <w:pPr>
        <w:pStyle w:val="Heading1"/>
      </w:pPr>
      <w:r>
        <w:t xml:space="preserve">Best Casino Platforms for Emerging Markets in 2026</w:t>
      </w:r>
    </w:p>
    <w:p>
      <w:pPr>
        <w:pStyle w:val="FirstParagraph"/>
      </w:pPr>
      <w:r>
        <w:t xml:space="preserve">Your platform choice will follow you for years. Migrations are expensive, disruptive, and take longer than anyone estimates. Most operators who have been through one say the same thing: they wish they had spent more time on the original decision. Choosing a casino platform for emerging markets means looking past European banking norms. PIX in Brazil, M-Pesa in Kenya, OXXO vouchers in Mexico - these payment rails do not exist in vendor demo environments. Yet, they determine how real players transact. Most casino platforms treat emerging markets as afterthoughts. They bolt on local payment integrations months after launch when conversion rates disappoint. Smart operators choose platforms designed for payment diversity from day one.</w:t>
      </w:r>
    </w:p>
    <w:p>
      <w:pPr>
        <w:pStyle w:val="BodyText"/>
      </w:pPr>
      <w:r>
        <w:t xml:space="preserve">For the</w:t>
      </w:r>
      <w:r>
        <w:t xml:space="preserve"> </w:t>
      </w:r>
      <w:hyperlink r:id="rId9">
        <w:r>
          <w:rPr>
            <w:rStyle w:val="Hyperlink"/>
          </w:rPr>
          <w:t xml:space="preserve">full comparison across all casino platform dimensions</w:t>
        </w:r>
      </w:hyperlink>
      <w:r>
        <w:t xml:space="preserve">, including enterprise features and European regulatory depth, see our complete guide.</w:t>
      </w:r>
    </w:p>
    <w:p>
      <w:pPr>
        <w:pStyle w:val="BodyText"/>
      </w:pPr>
      <w:r>
        <w:t xml:space="preserve">This focused analysis evaluates platforms specifically for emerging market success:</w:t>
      </w:r>
    </w:p>
    <w:p>
      <w:pPr>
        <w:pStyle w:val="Compact"/>
        <w:numPr>
          <w:ilvl w:val="0"/>
          <w:numId w:val="1001"/>
        </w:numPr>
      </w:pPr>
      <w:r>
        <w:rPr>
          <w:b/>
          <w:bCs/>
        </w:rPr>
        <w:t xml:space="preserve">Launching in Brazil post-regulation?</w:t>
      </w:r>
      <w:r>
        <w:t xml:space="preserve"> </w:t>
      </w:r>
      <w:r>
        <w:t xml:space="preserve">Focus on Local Payment Coverage - platforms with live PIX integrations and currency hedging capabilities.</w:t>
      </w:r>
    </w:p>
    <w:p>
      <w:pPr>
        <w:pStyle w:val="Compact"/>
        <w:numPr>
          <w:ilvl w:val="0"/>
          <w:numId w:val="1001"/>
        </w:numPr>
      </w:pPr>
      <w:r>
        <w:rPr>
          <w:b/>
          <w:bCs/>
        </w:rPr>
        <w:t xml:space="preserve">Targeting mobile-first African markets?</w:t>
      </w:r>
      <w:r>
        <w:t xml:space="preserve"> </w:t>
      </w:r>
      <w:r>
        <w:t xml:space="preserve">See Mobile Performance section - platforms optimized for 3G bandwidth and agent network integration.</w:t>
      </w:r>
    </w:p>
    <w:p>
      <w:pPr>
        <w:pStyle w:val="Compact"/>
        <w:numPr>
          <w:ilvl w:val="0"/>
          <w:numId w:val="1001"/>
        </w:numPr>
      </w:pPr>
      <w:r>
        <w:rPr>
          <w:b/>
          <w:bCs/>
        </w:rPr>
        <w:t xml:space="preserve">Multi-country LATAM expansion?</w:t>
      </w:r>
      <w:r>
        <w:t xml:space="preserve"> </w:t>
      </w:r>
      <w:r>
        <w:t xml:space="preserve">Check Regulatory Track Record - providers with gray-market operational experience and local compliance teams.</w:t>
      </w:r>
    </w:p>
    <w:p>
      <w:pPr>
        <w:pStyle w:val="Compact"/>
        <w:numPr>
          <w:ilvl w:val="0"/>
          <w:numId w:val="1001"/>
        </w:numPr>
      </w:pPr>
      <w:r>
        <w:rPr>
          <w:b/>
          <w:bCs/>
        </w:rPr>
        <w:t xml:space="preserve">Building for currency volatility?</w:t>
      </w:r>
      <w:r>
        <w:t xml:space="preserve"> </w:t>
      </w:r>
      <w:r>
        <w:t xml:space="preserve">Study Settlement Risk section - platforms that handle 5%+ weekly FX swings without passing exposure to operators.</w:t>
      </w:r>
    </w:p>
    <w:p>
      <w:pPr>
        <w:pStyle w:val="BlockText"/>
      </w:pPr>
      <w:r>
        <w:rPr>
          <w:b/>
          <w:bCs/>
        </w:rPr>
        <w:t xml:space="preserve">Quick verdict for emerging markets:</w:t>
      </w:r>
      <w:r>
        <w:t xml:space="preserve"> </w:t>
      </w:r>
      <w:r>
        <w:t xml:space="preserve">Salsa Technology offers strong capabilities for LATAM with proven PIX integration and support for numerous licensed Brazilian operators. BetConstruct is a strong contender for multi-region expansion with their Spring Platform’s payment flexibility. SOFTSWISS is a prominent provider in crypto gambling solutions where traditional banking may present challenges.</w:t>
      </w:r>
    </w:p>
    <w:bookmarkStart w:id="19" w:name="platform-comparison-for-emerging-markets"/>
    <w:p>
      <w:pPr>
        <w:pStyle w:val="Heading2"/>
      </w:pPr>
      <w:r>
        <w:t xml:space="preserve">Platform Comparison for Emerging Markets</w:t>
      </w:r>
    </w:p>
    <w:tbl>
      <w:tblPr>
        <w:tblStyle w:val="Table"/>
        <w:tblW w:type="pct" w:w="5000"/>
        <w:tblLayout w:type="fixed"/>
        <w:tblLook w:firstRow="1" w:lastRow="0" w:firstColumn="0" w:lastColumn="0" w:noHBand="0" w:noVBand="0" w:val="0020"/>
      </w:tblPr>
      <w:tblGrid>
        <w:gridCol w:w="942"/>
        <w:gridCol w:w="2451"/>
        <w:gridCol w:w="1791"/>
        <w:gridCol w:w="1791"/>
        <w:gridCol w:w="942"/>
      </w:tblGrid>
      <w:tr>
        <w:trPr>
          <w:tblHeader w:val="on"/>
        </w:trPr>
        <w:tc>
          <w:tcPr/>
          <w:p>
            <w:pPr>
              <w:pStyle w:val="Compact"/>
            </w:pPr>
            <w:r>
              <w:t xml:space="preserve">Provider</w:t>
            </w:r>
          </w:p>
        </w:tc>
        <w:tc>
          <w:tcPr/>
          <w:p>
            <w:pPr>
              <w:pStyle w:val="Compact"/>
            </w:pPr>
            <w:r>
              <w:t xml:space="preserve">Local Payment Integration</w:t>
            </w:r>
          </w:p>
        </w:tc>
        <w:tc>
          <w:tcPr/>
          <w:p>
            <w:pPr>
              <w:pStyle w:val="Compact"/>
            </w:pPr>
            <w:r>
              <w:t xml:space="preserve">Mobile Performance</w:t>
            </w:r>
          </w:p>
        </w:tc>
        <w:tc>
          <w:tcPr/>
          <w:p>
            <w:pPr>
              <w:pStyle w:val="Compact"/>
            </w:pPr>
            <w:r>
              <w:t xml:space="preserve">Regulatory Approach</w:t>
            </w:r>
          </w:p>
        </w:tc>
        <w:tc>
          <w:tcPr/>
          <w:p>
            <w:pPr>
              <w:pStyle w:val="Compact"/>
            </w:pPr>
            <w:r>
              <w:t xml:space="preserve">Best For</w:t>
            </w:r>
          </w:p>
        </w:tc>
      </w:tr>
      <w:tr>
        <w:tc>
          <w:tcPr/>
          <w:p>
            <w:pPr>
              <w:pStyle w:val="Compact"/>
            </w:pPr>
            <w:hyperlink r:id="rId10">
              <w:r>
                <w:rPr>
                  <w:rStyle w:val="Hyperlink"/>
                </w:rPr>
                <w:t xml:space="preserve">Salsa Technology</w:t>
              </w:r>
            </w:hyperlink>
          </w:p>
        </w:tc>
        <w:tc>
          <w:tcPr/>
          <w:p>
            <w:pPr>
              <w:pStyle w:val="Compact"/>
            </w:pPr>
            <w:r>
              <w:t xml:space="preserve">PIX live, support for multiple LATAM PSPs</w:t>
            </w:r>
          </w:p>
        </w:tc>
        <w:tc>
          <w:tcPr/>
          <w:p>
            <w:pPr>
              <w:pStyle w:val="Compact"/>
            </w:pPr>
            <w:r>
              <w:t xml:space="preserve">Mobile optimized</w:t>
            </w:r>
          </w:p>
        </w:tc>
        <w:tc>
          <w:tcPr/>
          <w:p>
            <w:pPr>
              <w:pStyle w:val="Compact"/>
            </w:pPr>
            <w:r>
              <w:t xml:space="preserve">Brazil regulatory compliance</w:t>
            </w:r>
          </w:p>
        </w:tc>
        <w:tc>
          <w:tcPr/>
          <w:p>
            <w:pPr>
              <w:pStyle w:val="Compact"/>
            </w:pPr>
            <w:r>
              <w:t xml:space="preserve">LATAM focused operations</w:t>
            </w:r>
          </w:p>
        </w:tc>
      </w:tr>
      <w:tr>
        <w:tc>
          <w:tcPr/>
          <w:p>
            <w:pPr>
              <w:pStyle w:val="Compact"/>
            </w:pPr>
            <w:hyperlink r:id="rId11">
              <w:r>
                <w:rPr>
                  <w:rStyle w:val="Hyperlink"/>
                </w:rPr>
                <w:t xml:space="preserve">BetConstruct</w:t>
              </w:r>
            </w:hyperlink>
          </w:p>
        </w:tc>
        <w:tc>
          <w:tcPr/>
          <w:p>
            <w:pPr>
              <w:pStyle w:val="Compact"/>
            </w:pPr>
            <w:r>
              <w:t xml:space="preserve">Extensive emerging market PSPs</w:t>
            </w:r>
          </w:p>
        </w:tc>
        <w:tc>
          <w:tcPr/>
          <w:p>
            <w:pPr>
              <w:pStyle w:val="Compact"/>
            </w:pPr>
            <w:r>
              <w:t xml:space="preserve">Mobile-first architecture</w:t>
            </w:r>
          </w:p>
        </w:tc>
        <w:tc>
          <w:tcPr/>
          <w:p>
            <w:pPr>
              <w:pStyle w:val="Compact"/>
            </w:pPr>
            <w:r>
              <w:t xml:space="preserve">Adaptable to evolving regulatory environments</w:t>
            </w:r>
          </w:p>
        </w:tc>
        <w:tc>
          <w:tcPr/>
          <w:p>
            <w:pPr>
              <w:pStyle w:val="Compact"/>
            </w:pPr>
            <w:r>
              <w:t xml:space="preserve">Multi-region expansion</w:t>
            </w:r>
          </w:p>
        </w:tc>
      </w:tr>
      <w:tr>
        <w:tc>
          <w:tcPr/>
          <w:p>
            <w:pPr>
              <w:pStyle w:val="Compact"/>
            </w:pPr>
            <w:hyperlink r:id="rId12">
              <w:r>
                <w:rPr>
                  <w:rStyle w:val="Hyperlink"/>
                </w:rPr>
                <w:t xml:space="preserve">SOFTSWISS</w:t>
              </w:r>
            </w:hyperlink>
          </w:p>
        </w:tc>
        <w:tc>
          <w:tcPr/>
          <w:p>
            <w:pPr>
              <w:pStyle w:val="Compact"/>
            </w:pPr>
            <w:r>
              <w:t xml:space="preserve">Crypto + traditional hybrid</w:t>
            </w:r>
          </w:p>
        </w:tc>
        <w:tc>
          <w:tcPr/>
          <w:p>
            <w:pPr>
              <w:pStyle w:val="Compact"/>
            </w:pPr>
            <w:r>
              <w:t xml:space="preserve">Low bandwidth modes available</w:t>
            </w:r>
          </w:p>
        </w:tc>
        <w:tc>
          <w:tcPr/>
          <w:p>
            <w:pPr>
              <w:pStyle w:val="Compact"/>
            </w:pPr>
            <w:r>
              <w:t xml:space="preserve">Regulatory agnostic positioning</w:t>
            </w:r>
          </w:p>
        </w:tc>
        <w:tc>
          <w:tcPr/>
          <w:p>
            <w:pPr>
              <w:pStyle w:val="Compact"/>
            </w:pPr>
            <w:r>
              <w:t xml:space="preserve">Crypto-friendly jurisdictions</w:t>
            </w:r>
          </w:p>
        </w:tc>
      </w:tr>
      <w:tr>
        <w:tc>
          <w:tcPr/>
          <w:p>
            <w:pPr>
              <w:pStyle w:val="Compact"/>
            </w:pPr>
            <w:hyperlink r:id="rId13">
              <w:r>
                <w:rPr>
                  <w:rStyle w:val="Hyperlink"/>
                </w:rPr>
                <w:t xml:space="preserve">Atlaslive</w:t>
              </w:r>
            </w:hyperlink>
          </w:p>
        </w:tc>
        <w:tc>
          <w:tcPr/>
          <w:p>
            <w:pPr>
              <w:pStyle w:val="Compact"/>
            </w:pPr>
            <w:r>
              <w:t xml:space="preserve">LATAM specialist integrations</w:t>
            </w:r>
          </w:p>
        </w:tc>
        <w:tc>
          <w:tcPr/>
          <w:p>
            <w:pPr>
              <w:pStyle w:val="Compact"/>
            </w:pPr>
            <w:r>
              <w:t xml:space="preserve">Progressive web app focus</w:t>
            </w:r>
          </w:p>
        </w:tc>
        <w:tc>
          <w:tcPr/>
          <w:p>
            <w:pPr>
              <w:pStyle w:val="Compact"/>
            </w:pPr>
            <w:r>
              <w:t xml:space="preserve">Regional compliance focus</w:t>
            </w:r>
          </w:p>
        </w:tc>
        <w:tc>
          <w:tcPr/>
          <w:p>
            <w:pPr>
              <w:pStyle w:val="Compact"/>
            </w:pPr>
            <w:r>
              <w:t xml:space="preserve">South American markets</w:t>
            </w:r>
          </w:p>
        </w:tc>
      </w:tr>
      <w:tr>
        <w:tc>
          <w:tcPr/>
          <w:p>
            <w:pPr>
              <w:pStyle w:val="Compact"/>
            </w:pPr>
            <w:hyperlink r:id="rId14">
              <w:r>
                <w:rPr>
                  <w:rStyle w:val="Hyperlink"/>
                </w:rPr>
                <w:t xml:space="preserve">NuxGame</w:t>
              </w:r>
            </w:hyperlink>
          </w:p>
        </w:tc>
        <w:tc>
          <w:tcPr/>
          <w:p>
            <w:pPr>
              <w:pStyle w:val="Compact"/>
            </w:pPr>
            <w:r>
              <w:t xml:space="preserve">Broad range of payment solutions</w:t>
            </w:r>
          </w:p>
        </w:tc>
        <w:tc>
          <w:tcPr/>
          <w:p>
            <w:pPr>
              <w:pStyle w:val="Compact"/>
            </w:pPr>
            <w:r>
              <w:t xml:space="preserve">Mobile-optimized software</w:t>
            </w:r>
          </w:p>
        </w:tc>
        <w:tc>
          <w:tcPr/>
          <w:p>
            <w:pPr>
              <w:pStyle w:val="Compact"/>
            </w:pPr>
            <w:r>
              <w:t xml:space="preserve">Turnkey regulatory handling</w:t>
            </w:r>
          </w:p>
        </w:tc>
        <w:tc>
          <w:tcPr/>
          <w:p>
            <w:pPr>
              <w:pStyle w:val="Compact"/>
            </w:pPr>
            <w:r>
              <w:t xml:space="preserve">Budget market entry</w:t>
            </w:r>
          </w:p>
        </w:tc>
      </w:tr>
      <w:tr>
        <w:tc>
          <w:tcPr/>
          <w:p>
            <w:pPr>
              <w:pStyle w:val="Compact"/>
            </w:pPr>
            <w:hyperlink r:id="rId15">
              <w:r>
                <w:rPr>
                  <w:rStyle w:val="Hyperlink"/>
                </w:rPr>
                <w:t xml:space="preserve">Slotegrator</w:t>
              </w:r>
            </w:hyperlink>
          </w:p>
        </w:tc>
        <w:tc>
          <w:tcPr/>
          <w:p>
            <w:pPr>
              <w:pStyle w:val="Compact"/>
            </w:pPr>
            <w:r>
              <w:t xml:space="preserve">Regional PSP partnerships</w:t>
            </w:r>
          </w:p>
        </w:tc>
        <w:tc>
          <w:tcPr/>
          <w:p>
            <w:pPr>
              <w:pStyle w:val="Compact"/>
            </w:pPr>
            <w:r>
              <w:t xml:space="preserve">Standard mobile performance</w:t>
            </w:r>
          </w:p>
        </w:tc>
        <w:tc>
          <w:tcPr/>
          <w:p>
            <w:pPr>
              <w:pStyle w:val="Compact"/>
            </w:pPr>
            <w:r>
              <w:t xml:space="preserve">Content aggregation focus</w:t>
            </w:r>
          </w:p>
        </w:tc>
        <w:tc>
          <w:tcPr/>
          <w:p>
            <w:pPr>
              <w:pStyle w:val="Compact"/>
            </w:pPr>
            <w:r>
              <w:t xml:space="preserve">Game library priority markets</w:t>
            </w:r>
          </w:p>
        </w:tc>
      </w:tr>
      <w:tr>
        <w:tc>
          <w:tcPr/>
          <w:p>
            <w:pPr>
              <w:pStyle w:val="Compact"/>
            </w:pPr>
            <w:hyperlink r:id="rId16">
              <w:r>
                <w:rPr>
                  <w:rStyle w:val="Hyperlink"/>
                </w:rPr>
                <w:t xml:space="preserve">BlueOcean Gaming</w:t>
              </w:r>
            </w:hyperlink>
          </w:p>
        </w:tc>
        <w:tc>
          <w:tcPr/>
          <w:p>
            <w:pPr>
              <w:pStyle w:val="Compact"/>
            </w:pPr>
            <w:r>
              <w:t xml:space="preserve">White label PSP handling</w:t>
            </w:r>
          </w:p>
        </w:tc>
        <w:tc>
          <w:tcPr/>
          <w:p>
            <w:pPr>
              <w:pStyle w:val="Compact"/>
            </w:pPr>
            <w:r>
              <w:t xml:space="preserve">Mobile-optimized design</w:t>
            </w:r>
          </w:p>
        </w:tc>
        <w:tc>
          <w:tcPr/>
          <w:p>
            <w:pPr>
              <w:pStyle w:val="Compact"/>
            </w:pPr>
            <w:r>
              <w:t xml:space="preserve">Licensing provided to partners (e.g., Curacao)</w:t>
            </w:r>
          </w:p>
        </w:tc>
        <w:tc>
          <w:tcPr/>
          <w:p>
            <w:pPr>
              <w:pStyle w:val="Compact"/>
            </w:pPr>
            <w:r>
              <w:t xml:space="preserve">Non-technical operators</w:t>
            </w:r>
          </w:p>
        </w:tc>
      </w:tr>
      <w:tr>
        <w:tc>
          <w:tcPr/>
          <w:p>
            <w:pPr>
              <w:pStyle w:val="Compact"/>
            </w:pPr>
            <w:hyperlink r:id="rId17">
              <w:r>
                <w:rPr>
                  <w:rStyle w:val="Hyperlink"/>
                </w:rPr>
                <w:t xml:space="preserve">EveryMatrix</w:t>
              </w:r>
            </w:hyperlink>
          </w:p>
        </w:tc>
        <w:tc>
          <w:tcPr/>
          <w:p>
            <w:pPr>
              <w:pStyle w:val="Compact"/>
            </w:pPr>
            <w:r>
              <w:t xml:space="preserve">PaymentIQ global routing</w:t>
            </w:r>
          </w:p>
        </w:tc>
        <w:tc>
          <w:tcPr/>
          <w:p>
            <w:pPr>
              <w:pStyle w:val="Compact"/>
            </w:pPr>
            <w:r>
              <w:t xml:space="preserve">European-focused performance</w:t>
            </w:r>
          </w:p>
        </w:tc>
        <w:tc>
          <w:tcPr/>
          <w:p>
            <w:pPr>
              <w:pStyle w:val="Compact"/>
            </w:pPr>
            <w:r>
              <w:t xml:space="preserve">Regulated market specialist</w:t>
            </w:r>
          </w:p>
        </w:tc>
        <w:tc>
          <w:tcPr/>
          <w:p>
            <w:pPr>
              <w:pStyle w:val="Compact"/>
            </w:pPr>
            <w:r>
              <w:t xml:space="preserve">Technical teams with local PSP management</w:t>
            </w:r>
          </w:p>
        </w:tc>
      </w:tr>
      <w:tr>
        <w:tc>
          <w:tcPr/>
          <w:p>
            <w:pPr>
              <w:pStyle w:val="Compact"/>
            </w:pPr>
            <w:hyperlink r:id="rId18">
              <w:r>
                <w:rPr>
                  <w:rStyle w:val="Hyperlink"/>
                </w:rPr>
                <w:t xml:space="preserve">Playtech</w:t>
              </w:r>
            </w:hyperlink>
          </w:p>
        </w:tc>
        <w:tc>
          <w:tcPr/>
          <w:p>
            <w:pPr>
              <w:pStyle w:val="Compact"/>
            </w:pPr>
            <w:r>
              <w:t xml:space="preserve">Enterprise PSP relationships</w:t>
            </w:r>
          </w:p>
        </w:tc>
        <w:tc>
          <w:tcPr/>
          <w:p>
            <w:pPr>
              <w:pStyle w:val="Compact"/>
            </w:pPr>
            <w:r>
              <w:t xml:space="preserve">Modern mobile solutions</w:t>
            </w:r>
          </w:p>
        </w:tc>
        <w:tc>
          <w:tcPr/>
          <w:p>
            <w:pPr>
              <w:pStyle w:val="Compact"/>
            </w:pPr>
            <w:r>
              <w:t xml:space="preserve">Tier 1 market focus</w:t>
            </w:r>
          </w:p>
        </w:tc>
        <w:tc>
          <w:tcPr/>
          <w:p>
            <w:pPr>
              <w:pStyle w:val="Compact"/>
            </w:pPr>
            <w:r>
              <w:t xml:space="preserve">Large operators with compliance teams</w:t>
            </w:r>
          </w:p>
        </w:tc>
      </w:tr>
    </w:tbl>
    <w:bookmarkEnd w:id="19"/>
    <w:bookmarkStart w:id="20" w:name="local-payment-method-coverage"/>
    <w:p>
      <w:pPr>
        <w:pStyle w:val="Heading2"/>
      </w:pPr>
      <w:r>
        <w:t xml:space="preserve">Local Payment Method Coverage</w:t>
      </w:r>
    </w:p>
    <w:p>
      <w:pPr>
        <w:pStyle w:val="FirstParagraph"/>
      </w:pPr>
      <w:r>
        <w:t xml:space="preserve">Payment method coverage determines conversion rates more than game library size or bonus features. Emerging market players lack Visa cards - they use mobile money, bank vouchers, and government-backed instant payment systems. Platforms that treat these as</w:t>
      </w:r>
      <w:r>
        <w:t xml:space="preserve"> </w:t>
      </w:r>
      <w:r>
        <w:t xml:space="preserve">“nice to have”</w:t>
      </w:r>
      <w:r>
        <w:t xml:space="preserve"> </w:t>
      </w:r>
      <w:r>
        <w:t xml:space="preserve">integrations fail in markets where they are the primary transaction method.</w:t>
      </w:r>
    </w:p>
    <w:p>
      <w:pPr>
        <w:pStyle w:val="BodyText"/>
      </w:pPr>
      <w:r>
        <w:rPr>
          <w:b/>
          <w:bCs/>
        </w:rPr>
        <w:t xml:space="preserve">Salsa Technology</w:t>
      </w:r>
      <w:r>
        <w:t xml:space="preserve"> </w:t>
      </w:r>
      <w:r>
        <w:t xml:space="preserve">emphasizes LATAM payment integration with live PIX processing for Brazilian operations. They also have partnerships with a range of regional payment service providers including Pagsmile and dLocal. Their platform shows strong PIX transaction capabilities for regulated iGaming operations in Brazil. According to Salsa Technology, they also handle currency conversion complexity, allowing operators to settle in USD while players transact in Brazilian Reais without absorbing FX risk.</w:t>
      </w:r>
    </w:p>
    <w:p>
      <w:pPr>
        <w:pStyle w:val="BodyText"/>
      </w:pPr>
      <w:r>
        <w:rPr>
          <w:b/>
          <w:bCs/>
        </w:rPr>
        <w:t xml:space="preserve">BetConstruct</w:t>
      </w:r>
      <w:r>
        <w:t xml:space="preserve"> </w:t>
      </w:r>
      <w:r>
        <w:t xml:space="preserve">offers extensive emerging market payment landscape support through their Spring Platform. They feature integrated support for methods like M-Pesa for African markets, UPI for India, OXXO for Mexico, and Boleto for broader LATAM. These are presented as native Spring Platform modules, reducing the need for coordinating between platform and third-party PSP vendors.</w:t>
      </w:r>
    </w:p>
    <w:p>
      <w:pPr>
        <w:pStyle w:val="BodyText"/>
      </w:pPr>
      <w:r>
        <w:rPr>
          <w:b/>
          <w:bCs/>
        </w:rPr>
        <w:t xml:space="preserve">SOFTSWISS</w:t>
      </w:r>
      <w:r>
        <w:t xml:space="preserve"> </w:t>
      </w:r>
      <w:r>
        <w:t xml:space="preserve">handles payment diversity through a crypto-fiat hybrid approach. In markets where traditional banking restricts gambling transactions, their platform provides operational flexibility. Some operators report using SOFTSWISS crypto capabilities to navigate local bank payment processing pressures.</w:t>
      </w:r>
    </w:p>
    <w:p>
      <w:pPr>
        <w:pStyle w:val="BodyText"/>
      </w:pPr>
      <w:r>
        <w:rPr>
          <w:b/>
          <w:bCs/>
        </w:rPr>
        <w:t xml:space="preserve">EveryMatrix’s PaymentIQ</w:t>
      </w:r>
      <w:r>
        <w:t xml:space="preserve"> </w:t>
      </w:r>
      <w:r>
        <w:t xml:space="preserve">offers broad coverage through a wide array of PSP integrations, including specialists relevant to emerging markets like Nuvei and Paysafe. But managing multiple PSP relationships often requires payment operations expertise that some market-entry operators may lack.</w:t>
      </w:r>
    </w:p>
    <w:p>
      <w:pPr>
        <w:pStyle w:val="BodyText"/>
      </w:pPr>
      <w:r>
        <w:rPr>
          <w:b/>
          <w:bCs/>
        </w:rPr>
        <w:t xml:space="preserve">The integration timeline trap:</w:t>
      </w:r>
      <w:r>
        <w:t xml:space="preserve"> </w:t>
      </w:r>
      <w:r>
        <w:t xml:space="preserve">Salsa Technology reports the ability to activate PIX processing rapidly due to pre-certified relationships. Operators report that generic platforms often require a longer timeframe for similar integrations.</w:t>
      </w:r>
    </w:p>
    <w:p>
      <w:pPr>
        <w:pStyle w:val="BodyText"/>
      </w:pPr>
      <w:r>
        <w:rPr>
          <w:b/>
          <w:bCs/>
        </w:rPr>
        <w:t xml:space="preserve">What to verify before signing:</w:t>
      </w:r>
      <w:r>
        <w:t xml:space="preserve"> </w:t>
      </w:r>
      <w:r>
        <w:t xml:space="preserve">Request a live demo showing actual transaction processing for your target payment methods, not sandbox simulations. Ask for the published list of PSP onboarding dates - recent integrations signal active investment in your market.</w:t>
      </w:r>
    </w:p>
    <w:p>
      <w:pPr>
        <w:pStyle w:val="BodyText"/>
      </w:pPr>
      <w:r>
        <w:rPr>
          <w:b/>
          <w:bCs/>
        </w:rPr>
        <w:t xml:space="preserve">Trap question for vendors:</w:t>
      </w:r>
      <w:r>
        <w:t xml:space="preserve"> </w:t>
      </w:r>
      <w:r>
        <w:t xml:space="preserve">“Show us your live operator in [target country]. How long have they been live? What was their first-month transaction volume by payment method?”</w:t>
      </w:r>
      <w:r>
        <w:t xml:space="preserve"> </w:t>
      </w:r>
      <w:r>
        <w:t xml:space="preserve">Good answers provide specific operator names and transaction data. Evasive answers suggest marketing promises without operational proof.</w:t>
      </w:r>
    </w:p>
    <w:bookmarkEnd w:id="20"/>
    <w:bookmarkStart w:id="21" w:name="regulatory-track-record-in-the-region"/>
    <w:p>
      <w:pPr>
        <w:pStyle w:val="Heading2"/>
      </w:pPr>
      <w:r>
        <w:t xml:space="preserve">Regulatory Track Record in the Region</w:t>
      </w:r>
    </w:p>
    <w:p>
      <w:pPr>
        <w:pStyle w:val="FirstParagraph"/>
      </w:pPr>
      <w:r>
        <w:t xml:space="preserve">Emerging market regulation exists in three states: established but restrictive, rapidly evolving, or effectively non-existent. Your platform choice depends on which regulatory reality you are entering and how much uncertainty your business model can absorb.</w:t>
      </w:r>
    </w:p>
    <w:p>
      <w:pPr>
        <w:pStyle w:val="BodyText"/>
      </w:pPr>
      <w:r>
        <w:rPr>
          <w:b/>
          <w:bCs/>
        </w:rPr>
        <w:t xml:space="preserve">Salsa Technology</w:t>
      </w:r>
      <w:r>
        <w:t xml:space="preserve"> </w:t>
      </w:r>
      <w:r>
        <w:t xml:space="preserve">demonstrated early positioning for Brazil’s regulated market. They have dedicated compliance modules built specifically for Law 14.790/2023 requirements, holding GLI certifications for their platform and integrations. They support multiple licensed operators in Brazil. Their advantage includes an understanding that Brazil’s regulation prohibits crypto for licensed operators, unlike many platforms that might assume crypto-fiat hybrid approaches work everywhere. Their sustained focus on Brazil’s regulated market continues, with ongoing operational support for local compliance.</w:t>
      </w:r>
    </w:p>
    <w:p>
      <w:pPr>
        <w:pStyle w:val="BodyText"/>
      </w:pPr>
      <w:r>
        <w:rPr>
          <w:b/>
          <w:bCs/>
        </w:rPr>
        <w:t xml:space="preserve">BetConstruct</w:t>
      </w:r>
      <w:r>
        <w:t xml:space="preserve"> </w:t>
      </w:r>
      <w:r>
        <w:t xml:space="preserve">operates effectively in various regulatory environments, including Eastern European markets with evolving gambling laws, African markets with limited regulatory enforcement, and Asian markets where licensing requirements change frequently. They take an adaptive approach to regulatory clarity.</w:t>
      </w:r>
    </w:p>
    <w:p>
      <w:pPr>
        <w:pStyle w:val="BodyText"/>
      </w:pPr>
      <w:r>
        <w:rPr>
          <w:b/>
          <w:bCs/>
        </w:rPr>
        <w:t xml:space="preserve">SOFTSWISS</w:t>
      </w:r>
      <w:r>
        <w:t xml:space="preserve"> </w:t>
      </w:r>
      <w:r>
        <w:t xml:space="preserve">offers solutions suitable for markets where crypto gambling operates without traditional licensing requirements. This often provides an alternative when traditional banking is restricted. This approach works for operators comfortable with regulatory arbitrage but may not be suitable for those seeking licensed market credibility in jurisdictions restricting crypto gambling.</w:t>
      </w:r>
    </w:p>
    <w:p>
      <w:pPr>
        <w:pStyle w:val="BodyText"/>
      </w:pPr>
      <w:r>
        <w:rPr>
          <w:b/>
          <w:bCs/>
        </w:rPr>
        <w:t xml:space="preserve">Atlaslive</w:t>
      </w:r>
      <w:r>
        <w:t xml:space="preserve"> </w:t>
      </w:r>
      <w:r>
        <w:t xml:space="preserve">specializes in South American regulatory navigation. They offer regulatory consulting as part of platform deployment. They also highlight their regional compliance focus. Atlaslive continues to engage with South American markets, as demonstrated by their exhibition at SiGMA Americas 2026 in São Paulo, Brazil.</w:t>
      </w:r>
    </w:p>
    <w:p>
      <w:pPr>
        <w:pStyle w:val="BodyText"/>
      </w:pPr>
      <w:r>
        <w:rPr>
          <w:b/>
          <w:bCs/>
        </w:rPr>
        <w:t xml:space="preserve">The regulatory engagement gap:</w:t>
      </w:r>
      <w:r>
        <w:t xml:space="preserve"> </w:t>
      </w:r>
      <w:r>
        <w:t xml:space="preserve">Most European platforms operate from a distance in emerging markets, relying on local legal counsel for compliance. Regional specialists like Salsa Technology and Atlaslive often maintain in-market regulatory relationships that provide operational advantages when rules change.</w:t>
      </w:r>
    </w:p>
    <w:p>
      <w:pPr>
        <w:pStyle w:val="BodyText"/>
      </w:pPr>
      <w:r>
        <w:rPr>
          <w:b/>
          <w:bCs/>
        </w:rPr>
        <w:t xml:space="preserve">Platform migration risk:</w:t>
      </w:r>
      <w:r>
        <w:t xml:space="preserve"> </w:t>
      </w:r>
      <w:r>
        <w:t xml:space="preserve">Emerging market operators often launch in gray regulatory areas, then need to transition to licensed status as frameworks develop. Platforms without compliance architecture built-in force costly re-platforming when regulatory requirements tighten.</w:t>
      </w:r>
    </w:p>
    <w:p>
      <w:pPr>
        <w:pStyle w:val="BodyText"/>
      </w:pPr>
      <w:r>
        <w:rPr>
          <w:b/>
          <w:bCs/>
        </w:rPr>
        <w:t xml:space="preserve">What to verify before signing:</w:t>
      </w:r>
      <w:r>
        <w:t xml:space="preserve"> </w:t>
      </w:r>
      <w:r>
        <w:t xml:space="preserve">Confirm the vendor’s regulatory engagement status with your target market’s gambling authority. Request documentation of their compliance approach, not just general</w:t>
      </w:r>
      <w:r>
        <w:t xml:space="preserve"> </w:t>
      </w:r>
      <w:r>
        <w:t xml:space="preserve">“we help with regulatory requirements”</w:t>
      </w:r>
      <w:r>
        <w:t xml:space="preserve"> </w:t>
      </w:r>
      <w:r>
        <w:t xml:space="preserve">statements.</w:t>
      </w:r>
    </w:p>
    <w:p>
      <w:pPr>
        <w:pStyle w:val="BodyText"/>
      </w:pPr>
      <w:r>
        <w:rPr>
          <w:b/>
          <w:bCs/>
        </w:rPr>
        <w:t xml:space="preserve">Trap question for vendors:</w:t>
      </w:r>
      <w:r>
        <w:t xml:space="preserve"> </w:t>
      </w:r>
      <w:r>
        <w:t xml:space="preserve">“What is your regulatory engagement status with [local regulator]? Can you put us in touch with their compliance team?”</w:t>
      </w:r>
      <w:r>
        <w:t xml:space="preserve"> </w:t>
      </w:r>
      <w:r>
        <w:t xml:space="preserve">Platforms with real regulatory relationships can facilitate introductions. Those operating from Europe cannot.</w:t>
      </w:r>
    </w:p>
    <w:bookmarkEnd w:id="21"/>
    <w:bookmarkStart w:id="22" w:name="X302a6d6617ba614f082c5a3ad44bd270142de9a"/>
    <w:p>
      <w:pPr>
        <w:pStyle w:val="Heading2"/>
      </w:pPr>
      <w:r>
        <w:t xml:space="preserve">Mobile-First Performance and Low-Bandwidth Optimization</w:t>
      </w:r>
    </w:p>
    <w:p>
      <w:pPr>
        <w:pStyle w:val="FirstParagraph"/>
      </w:pPr>
      <w:r>
        <w:t xml:space="preserve">Emerging markets are mobile-first by necessity, not preference. Players access casinos on 3G networks using Android devices with 2GB RAM. European platforms optimized for desktop conversion and 4G performance fail when game loading takes 30 seconds instead of 3. Mobile performance is not about responsive design - it is about architecture designed for bandwidth scarcity.</w:t>
      </w:r>
    </w:p>
    <w:p>
      <w:pPr>
        <w:pStyle w:val="BodyText"/>
      </w:pPr>
      <w:r>
        <w:rPr>
          <w:b/>
          <w:bCs/>
        </w:rPr>
        <w:t xml:space="preserve">BetConstruct</w:t>
      </w:r>
      <w:r>
        <w:t xml:space="preserve"> </w:t>
      </w:r>
      <w:r>
        <w:t xml:space="preserve">built their Spring Platform with mobile-first considerations, incorporating progressive loading to prioritize essential game elements. They strive for fast game loading times, even on slower connections, leveraging edge caching in various data centers.</w:t>
      </w:r>
    </w:p>
    <w:p>
      <w:pPr>
        <w:pStyle w:val="BodyText"/>
      </w:pPr>
      <w:r>
        <w:rPr>
          <w:b/>
          <w:bCs/>
        </w:rPr>
        <w:t xml:space="preserve">Salsa Technology</w:t>
      </w:r>
      <w:r>
        <w:t xml:space="preserve"> </w:t>
      </w:r>
      <w:r>
        <w:t xml:space="preserve">optimized specifically for LATAM mobile infrastructure with features like game preloading and bandwidth detection that automatically adjusts graphics quality. Operators report faster game launching compared to some European platforms serving the same market.</w:t>
      </w:r>
    </w:p>
    <w:p>
      <w:pPr>
        <w:pStyle w:val="BodyText"/>
      </w:pPr>
      <w:r>
        <w:rPr>
          <w:b/>
          <w:bCs/>
        </w:rPr>
        <w:t xml:space="preserve">SOFTSWISS</w:t>
      </w:r>
      <w:r>
        <w:t xml:space="preserve"> </w:t>
      </w:r>
      <w:r>
        <w:t xml:space="preserve">offers low-bandwidth modes to support performance, though its architecture primarily focuses on crypto transaction processing. Some African operators report good crypto wallet performance but acknowledge that game loading might be slower compared to platforms more specifically optimized for mobile-native experiences.</w:t>
      </w:r>
    </w:p>
    <w:p>
      <w:pPr>
        <w:pStyle w:val="BodyText"/>
      </w:pPr>
      <w:r>
        <w:rPr>
          <w:b/>
          <w:bCs/>
        </w:rPr>
        <w:t xml:space="preserve">Atlaslive</w:t>
      </w:r>
      <w:r>
        <w:t xml:space="preserve"> </w:t>
      </w:r>
      <w:r>
        <w:t xml:space="preserve">focuses on progressive web app delivery, which can help eliminate app store approval delays. Their PWA approach aims to reduce data usage compared to traditional mobile implementations.</w:t>
      </w:r>
    </w:p>
    <w:p>
      <w:pPr>
        <w:pStyle w:val="BodyText"/>
      </w:pPr>
      <w:r>
        <w:rPr>
          <w:b/>
          <w:bCs/>
        </w:rPr>
        <w:t xml:space="preserve">The 3G testing gap:</w:t>
      </w:r>
      <w:r>
        <w:t xml:space="preserve"> </w:t>
      </w:r>
      <w:r>
        <w:t xml:space="preserve">Most platforms demonstrate mobile performance on 4G or WiFi connections from their European data centers. Actual emerging market performance often degrades significantly when tested from target geography on throttled connections.</w:t>
      </w:r>
    </w:p>
    <w:p>
      <w:pPr>
        <w:pStyle w:val="BodyText"/>
      </w:pPr>
      <w:r>
        <w:rPr>
          <w:b/>
          <w:bCs/>
        </w:rPr>
        <w:t xml:space="preserve">Infrastructure reality:</w:t>
      </w:r>
      <w:r>
        <w:t xml:space="preserve"> </w:t>
      </w:r>
      <w:r>
        <w:t xml:space="preserve">Platforms without emerging market data center presence route traffic through European servers, adding significant latency. This can impact mobile gaming experiences regardless of bandwidth optimization.</w:t>
      </w:r>
    </w:p>
    <w:p>
      <w:pPr>
        <w:pStyle w:val="BodyText"/>
      </w:pPr>
      <w:r>
        <w:rPr>
          <w:b/>
          <w:bCs/>
        </w:rPr>
        <w:t xml:space="preserve">What to verify before signing:</w:t>
      </w:r>
      <w:r>
        <w:t xml:space="preserve"> </w:t>
      </w:r>
      <w:r>
        <w:t xml:space="preserve">Test mobile load times on a throttled 3G connection from your target country, not from the vendor’s data center. Request performance benchmarks from actual operators in your geographic region.</w:t>
      </w:r>
    </w:p>
    <w:p>
      <w:pPr>
        <w:pStyle w:val="BodyText"/>
      </w:pPr>
      <w:r>
        <w:rPr>
          <w:b/>
          <w:bCs/>
        </w:rPr>
        <w:t xml:space="preserve">Trap question for vendors:</w:t>
      </w:r>
      <w:r>
        <w:t xml:space="preserve"> </w:t>
      </w:r>
      <w:r>
        <w:t xml:space="preserve">“Show us your mobile site load time on a throttled 3G connection from [target country] - not from your data center.”</w:t>
      </w:r>
      <w:r>
        <w:t xml:space="preserve"> </w:t>
      </w:r>
      <w:r>
        <w:t xml:space="preserve">Platforms serious about emerging markets have done this testing and can demonstrate real-world performance.</w:t>
      </w:r>
    </w:p>
    <w:bookmarkEnd w:id="22"/>
    <w:bookmarkStart w:id="23" w:name="currency-and-settlement-risk-management"/>
    <w:p>
      <w:pPr>
        <w:pStyle w:val="Heading2"/>
      </w:pPr>
      <w:r>
        <w:t xml:space="preserve">Currency and Settlement Risk Management</w:t>
      </w:r>
    </w:p>
    <w:p>
      <w:pPr>
        <w:pStyle w:val="FirstParagraph"/>
      </w:pPr>
      <w:r>
        <w:t xml:space="preserve">Currency volatility in emerging markets can swing 5-15% weekly, turning profitable operators into loss-making ones overnight. European platforms assume stable EUR/USD relationships that do not exist in markets where central banks intervene unpredictably. Your platform needs currency risk management built-in, not bolted-on through separate treasury management.</w:t>
      </w:r>
    </w:p>
    <w:p>
      <w:pPr>
        <w:pStyle w:val="BodyText"/>
      </w:pPr>
      <w:r>
        <w:rPr>
          <w:b/>
          <w:bCs/>
        </w:rPr>
        <w:t xml:space="preserve">Salsa Technology</w:t>
      </w:r>
      <w:r>
        <w:t xml:space="preserve"> </w:t>
      </w:r>
      <w:r>
        <w:t xml:space="preserve">addresses LATAM currency volatility through automatic hedging mechanisms that facilitate operator revenues in USD while players transact in local currencies. They offer efficient conversion of PIX deposits.</w:t>
      </w:r>
    </w:p>
    <w:p>
      <w:pPr>
        <w:pStyle w:val="BodyText"/>
      </w:pPr>
      <w:r>
        <w:rPr>
          <w:b/>
          <w:bCs/>
        </w:rPr>
        <w:t xml:space="preserve">BetConstruct</w:t>
      </w:r>
      <w:r>
        <w:t xml:space="preserve"> </w:t>
      </w:r>
      <w:r>
        <w:t xml:space="preserve">provides flexible settlement windows, allowing operators to choose between local currency settlement and USD conversion options. Operators report leveraging these options to manage currency stability in various markets.</w:t>
      </w:r>
    </w:p>
    <w:p>
      <w:pPr>
        <w:pStyle w:val="BodyText"/>
      </w:pPr>
      <w:r>
        <w:rPr>
          <w:b/>
          <w:bCs/>
        </w:rPr>
        <w:t xml:space="preserve">SOFTSWISS</w:t>
      </w:r>
      <w:r>
        <w:t xml:space="preserve"> </w:t>
      </w:r>
      <w:r>
        <w:t xml:space="preserve">mitigates currency risk through its crypto-first architecture, offering an alternative in markets where traditional fiat currencies are volatile. However, this approach carries regulatory risk in jurisdictions where crypto gambling faces restrictions.</w:t>
      </w:r>
    </w:p>
    <w:p>
      <w:pPr>
        <w:pStyle w:val="BodyText"/>
      </w:pPr>
      <w:r>
        <w:rPr>
          <w:b/>
          <w:bCs/>
        </w:rPr>
        <w:t xml:space="preserve">EveryMatrix’s PaymentIQ</w:t>
      </w:r>
      <w:r>
        <w:t xml:space="preserve"> </w:t>
      </w:r>
      <w:r>
        <w:t xml:space="preserve">provides currency routing capabilities but typically requires operators to manage hedging relationships separately. This approach is suitable for sophisticated operators with treasury teams but may be challenging for market-entry operations without extensive financial infrastructure.</w:t>
      </w:r>
    </w:p>
    <w:p>
      <w:pPr>
        <w:pStyle w:val="BodyText"/>
      </w:pPr>
      <w:r>
        <w:rPr>
          <w:b/>
          <w:bCs/>
        </w:rPr>
        <w:t xml:space="preserve">The hidden FX cost:</w:t>
      </w:r>
      <w:r>
        <w:t xml:space="preserve"> </w:t>
      </w:r>
      <w:r>
        <w:t xml:space="preserve">Platforms that do not handle currency conversion expose operators to payment processor FX spreads that can significantly impact profitability. Over time, these hidden costs can exceed platform fees for high-volume operations.</w:t>
      </w:r>
    </w:p>
    <w:p>
      <w:pPr>
        <w:pStyle w:val="BodyText"/>
      </w:pPr>
      <w:r>
        <w:rPr>
          <w:b/>
          <w:bCs/>
        </w:rPr>
        <w:t xml:space="preserve">Settlement timing matters:</w:t>
      </w:r>
      <w:r>
        <w:t xml:space="preserve"> </w:t>
      </w:r>
      <w:r>
        <w:t xml:space="preserve">Platforms that batch currency conversion weekly expose operators to significant FX risk during volatile periods. Daily or real-time conversion costs more in fees but protects against major currency movements.</w:t>
      </w:r>
    </w:p>
    <w:p>
      <w:pPr>
        <w:pStyle w:val="BodyText"/>
      </w:pPr>
      <w:r>
        <w:rPr>
          <w:b/>
          <w:bCs/>
        </w:rPr>
        <w:t xml:space="preserve">What to verify before signing:</w:t>
      </w:r>
      <w:r>
        <w:t xml:space="preserve"> </w:t>
      </w:r>
      <w:r>
        <w:t xml:space="preserve">Understand exactly who bears currency risk during the conversion process and what hedging options the platform provides. Request specific examples of how they handle major currency movements.</w:t>
      </w:r>
    </w:p>
    <w:p>
      <w:pPr>
        <w:pStyle w:val="BodyText"/>
      </w:pPr>
      <w:r>
        <w:rPr>
          <w:b/>
          <w:bCs/>
        </w:rPr>
        <w:t xml:space="preserve">Trap question for vendors:</w:t>
      </w:r>
      <w:r>
        <w:t xml:space="preserve"> </w:t>
      </w:r>
      <w:r>
        <w:t xml:space="preserve">“How do you handle currency conversion when [local currency] moves 5% in a week - does the operator absorb that or do you?”</w:t>
      </w:r>
      <w:r>
        <w:t xml:space="preserve"> </w:t>
      </w:r>
      <w:r>
        <w:t xml:space="preserve">Their answer reveals whether they understand emerging market currency risk.</w:t>
      </w:r>
    </w:p>
    <w:bookmarkEnd w:id="23"/>
    <w:bookmarkStart w:id="24" w:name="X65f208a6d2f35c4aa2ee6cd6f50f95b9dcf7917"/>
    <w:p>
      <w:pPr>
        <w:pStyle w:val="Heading2"/>
      </w:pPr>
      <w:r>
        <w:t xml:space="preserve">Local Operator References and Market Validation</w:t>
      </w:r>
    </w:p>
    <w:p>
      <w:pPr>
        <w:pStyle w:val="FirstParagraph"/>
      </w:pPr>
      <w:r>
        <w:t xml:space="preserve">Reference operators prove platform capability more than feature demonstrations. Any vendor can show sandbox functionality, but live operators processing real transactions in your target market validate that the platform works under actual regulatory and operational conditions.</w:t>
      </w:r>
    </w:p>
    <w:p>
      <w:pPr>
        <w:pStyle w:val="BodyText"/>
      </w:pPr>
      <w:r>
        <w:rPr>
          <w:b/>
          <w:bCs/>
        </w:rPr>
        <w:t xml:space="preserve">Salsa Technology</w:t>
      </w:r>
      <w:r>
        <w:t xml:space="preserve"> </w:t>
      </w:r>
      <w:r>
        <w:t xml:space="preserve">provides verifiable Brazilian operator references, including licensed operators. They can demonstrate actual PIX transaction processing volumes, not theoretical capability. Their reference operators report high transaction success rates for PIX payments.</w:t>
      </w:r>
    </w:p>
    <w:p>
      <w:pPr>
        <w:pStyle w:val="BodyText"/>
      </w:pPr>
      <w:r>
        <w:rPr>
          <w:b/>
          <w:bCs/>
        </w:rPr>
        <w:t xml:space="preserve">BetConstruct</w:t>
      </w:r>
      <w:r>
        <w:t xml:space="preserve"> </w:t>
      </w:r>
      <w:r>
        <w:t xml:space="preserve">offers extensive emerging market references across Africa, Eastern Europe, and Asia. In our assessment, many of these operations may be in gray regulatory areas rather than fully licensed markets. Their references validate technical capability but may not fully reflect compliance requirements for licensed operation.</w:t>
      </w:r>
    </w:p>
    <w:p>
      <w:pPr>
        <w:pStyle w:val="BodyText"/>
      </w:pPr>
      <w:r>
        <w:rPr>
          <w:b/>
          <w:bCs/>
        </w:rPr>
        <w:t xml:space="preserve">Atlaslive</w:t>
      </w:r>
      <w:r>
        <w:t xml:space="preserve"> </w:t>
      </w:r>
      <w:r>
        <w:t xml:space="preserve">focuses on South American operator references with particular strength in Argentina and Colombia. Their operators often provide regulatory compliance case studies that are highly relevant for operators entering licensed markets.</w:t>
      </w:r>
    </w:p>
    <w:p>
      <w:pPr>
        <w:pStyle w:val="BodyText"/>
      </w:pPr>
      <w:r>
        <w:rPr>
          <w:b/>
          <w:bCs/>
        </w:rPr>
        <w:t xml:space="preserve">SOFTSWISS</w:t>
      </w:r>
      <w:r>
        <w:t xml:space="preserve"> </w:t>
      </w:r>
      <w:r>
        <w:t xml:space="preserve">has strong crypto-focused emerging market references but fewer traditional payment processing examples. Their references primarily validate crypto-fiat hybrid capability rather than extensive traditional banking integration performance.</w:t>
      </w:r>
    </w:p>
    <w:p>
      <w:pPr>
        <w:pStyle w:val="BodyText"/>
      </w:pPr>
      <w:r>
        <w:rPr>
          <w:b/>
          <w:bCs/>
        </w:rPr>
        <w:t xml:space="preserve">The reference quality gap:</w:t>
      </w:r>
      <w:r>
        <w:t xml:space="preserve"> </w:t>
      </w:r>
      <w:r>
        <w:t xml:space="preserve">European platforms often cite</w:t>
      </w:r>
      <w:r>
        <w:t xml:space="preserve"> </w:t>
      </w:r>
      <w:r>
        <w:t xml:space="preserve">“confidential operators”</w:t>
      </w:r>
      <w:r>
        <w:t xml:space="preserve"> </w:t>
      </w:r>
      <w:r>
        <w:t xml:space="preserve">or</w:t>
      </w:r>
      <w:r>
        <w:t xml:space="preserve"> </w:t>
      </w:r>
      <w:r>
        <w:t xml:space="preserve">“operators in planning”</w:t>
      </w:r>
      <w:r>
        <w:t xml:space="preserve"> </w:t>
      </w:r>
      <w:r>
        <w:t xml:space="preserve">rather than named, live references. Regional specialists often provide actual operator contacts willing to discuss implementation experience.</w:t>
      </w:r>
    </w:p>
    <w:p>
      <w:pPr>
        <w:pStyle w:val="BodyText"/>
      </w:pPr>
      <w:r>
        <w:rPr>
          <w:b/>
          <w:bCs/>
        </w:rPr>
        <w:t xml:space="preserve">Due diligence reality:</w:t>
      </w:r>
      <w:r>
        <w:t xml:space="preserve"> </w:t>
      </w:r>
      <w:r>
        <w:t xml:space="preserve">Most platforms resist connecting prospects with reference operators, citing confidentiality. Platforms confident in their emerging market performance facilitate reference calls as standard sales process.</w:t>
      </w:r>
    </w:p>
    <w:p>
      <w:pPr>
        <w:pStyle w:val="BodyText"/>
      </w:pPr>
      <w:r>
        <w:rPr>
          <w:b/>
          <w:bCs/>
        </w:rPr>
        <w:t xml:space="preserve">What to verify before signing:</w:t>
      </w:r>
      <w:r>
        <w:t xml:space="preserve"> </w:t>
      </w:r>
      <w:r>
        <w:t xml:space="preserve">Request at least 2 reference operators in your target market who have been live for 6+ months. Speak directly with their operations teams about platform performance under real conditions.</w:t>
      </w:r>
    </w:p>
    <w:p>
      <w:pPr>
        <w:pStyle w:val="BodyText"/>
      </w:pPr>
      <w:r>
        <w:rPr>
          <w:b/>
          <w:bCs/>
        </w:rPr>
        <w:t xml:space="preserve">Trap question for vendors:</w:t>
      </w:r>
      <w:r>
        <w:t xml:space="preserve"> </w:t>
      </w:r>
      <w:r>
        <w:t xml:space="preserve">“Can you connect us with [operator name] that you mentioned uses your platform in [country]? We would like to discuss their implementation experience.”</w:t>
      </w:r>
      <w:r>
        <w:t xml:space="preserve"> </w:t>
      </w:r>
      <w:r>
        <w:t xml:space="preserve">Legitimate references result in actual conversations. Fictional ones produce excuses.</w:t>
      </w:r>
    </w:p>
    <w:bookmarkEnd w:id="24"/>
    <w:bookmarkStart w:id="33" w:name="vendor-profiles"/>
    <w:p>
      <w:pPr>
        <w:pStyle w:val="Heading2"/>
      </w:pPr>
      <w:r>
        <w:t xml:space="preserve">Vendor Profiles</w:t>
      </w:r>
    </w:p>
    <w:bookmarkStart w:id="25" w:name="X151ae14e434fedbec45af22b9d097e99bdebb6a"/>
    <w:p>
      <w:pPr>
        <w:pStyle w:val="Heading3"/>
      </w:pPr>
      <w:hyperlink r:id="rId10">
        <w:r>
          <w:rPr>
            <w:rStyle w:val="Hyperlink"/>
          </w:rPr>
          <w:t xml:space="preserve">Salsa Technology</w:t>
        </w:r>
      </w:hyperlink>
      <w:r>
        <w:t xml:space="preserve">: LATAM Market Specialist with Proven Brazilian Compliance</w:t>
      </w:r>
    </w:p>
    <w:p>
      <w:pPr>
        <w:pStyle w:val="FirstParagraph"/>
      </w:pPr>
      <w:r>
        <w:t xml:space="preserve">Salsa Technology lets you build for Latin American market realities. PIX integration is a core part of their architecture. They hold GLI certifications for their platform and integrations in Brazil and maintain relationships with numerous licensed Brazilian operators. The platform handles the complexity that can challenge European providers, including currency management and mobile-first performance on various infrastructures. In 2026, Salsa Technology continues to reinforce its commitment to regulated iGaming markets, focusing on operational discipline for smooth running in Brazil.</w:t>
      </w:r>
    </w:p>
    <w:p>
      <w:pPr>
        <w:pStyle w:val="Compact"/>
        <w:numPr>
          <w:ilvl w:val="0"/>
          <w:numId w:val="1002"/>
        </w:numPr>
      </w:pPr>
      <w:r>
        <w:rPr>
          <w:b/>
          <w:bCs/>
        </w:rPr>
        <w:t xml:space="preserve">Standout for emerging markets:</w:t>
      </w:r>
      <w:r>
        <w:t xml:space="preserve"> </w:t>
      </w:r>
      <w:r>
        <w:t xml:space="preserve">Live PIX processing with efficient settlement and, according to Salsa Technology, automatic currency hedging that protects operators from Real volatility.</w:t>
      </w:r>
    </w:p>
    <w:p>
      <w:pPr>
        <w:pStyle w:val="Compact"/>
        <w:numPr>
          <w:ilvl w:val="0"/>
          <w:numId w:val="1002"/>
        </w:numPr>
      </w:pPr>
      <w:r>
        <w:rPr>
          <w:b/>
          <w:bCs/>
        </w:rPr>
        <w:t xml:space="preserve">Proof points:</w:t>
      </w:r>
      <w:r>
        <w:t xml:space="preserve"> </w:t>
      </w:r>
      <w:r>
        <w:t xml:space="preserve">Support for numerous licensed Brazilian operators, certified for Brazil’s Law 14.790/2023 compliance requirements, and ongoing focus on operational discipline in Brazil’s regulated market.</w:t>
      </w:r>
    </w:p>
    <w:p>
      <w:pPr>
        <w:pStyle w:val="Compact"/>
        <w:numPr>
          <w:ilvl w:val="0"/>
          <w:numId w:val="1002"/>
        </w:numPr>
      </w:pPr>
      <w:r>
        <w:rPr>
          <w:b/>
          <w:bCs/>
        </w:rPr>
        <w:t xml:space="preserve">Trade-off:</w:t>
      </w:r>
      <w:r>
        <w:t xml:space="preserve"> </w:t>
      </w:r>
      <w:r>
        <w:t xml:space="preserve">Limited presence outside LATAM may mean less comprehensive Asian and African market support compared to global platforms.</w:t>
      </w:r>
    </w:p>
    <w:p>
      <w:pPr>
        <w:pStyle w:val="Compact"/>
        <w:numPr>
          <w:ilvl w:val="0"/>
          <w:numId w:val="1002"/>
        </w:numPr>
      </w:pPr>
      <w:r>
        <w:rPr>
          <w:b/>
          <w:bCs/>
        </w:rPr>
        <w:t xml:space="preserve">Best for:</w:t>
      </w:r>
      <w:r>
        <w:t xml:space="preserve"> </w:t>
      </w:r>
      <w:r>
        <w:t xml:space="preserve">Operators focused on Brazil and broader LATAM expansion who need proven local payment integration.</w:t>
      </w:r>
    </w:p>
    <w:p>
      <w:pPr>
        <w:pStyle w:val="Compact"/>
        <w:numPr>
          <w:ilvl w:val="0"/>
          <w:numId w:val="1002"/>
        </w:numPr>
      </w:pPr>
      <w:r>
        <w:rPr>
          <w:b/>
          <w:bCs/>
        </w:rPr>
        <w:t xml:space="preserve">Not for:</w:t>
      </w:r>
      <w:r>
        <w:t xml:space="preserve"> </w:t>
      </w:r>
      <w:r>
        <w:t xml:space="preserve">Multi-continent operators or those prioritizing crypto capabilities over traditional payment processing.</w:t>
      </w:r>
    </w:p>
    <w:bookmarkEnd w:id="25"/>
    <w:bookmarkStart w:id="26" w:name="Xf870db7f44e35823373b1df99a4cb8de0ab7560"/>
    <w:p>
      <w:pPr>
        <w:pStyle w:val="Heading3"/>
      </w:pPr>
      <w:hyperlink r:id="rId11">
        <w:r>
          <w:rPr>
            <w:rStyle w:val="Hyperlink"/>
          </w:rPr>
          <w:t xml:space="preserve">BetConstruct</w:t>
        </w:r>
      </w:hyperlink>
      <w:r>
        <w:t xml:space="preserve">: Multi-Region Emerging Market Flexibility</w:t>
      </w:r>
    </w:p>
    <w:p>
      <w:pPr>
        <w:pStyle w:val="FirstParagraph"/>
      </w:pPr>
      <w:r>
        <w:t xml:space="preserve">BetConstruct’s Spring Platform adapts to diverse regulatory environments. They operate in various markets where other platforms might require stricter compliance frameworks. Their platform features integrated support for methods like M-Pesa in Kenya, UPI in India, and OXXO in Mexico, which are native platform modules. Their strength lies in payment method diversity and a flexible approach to varying regulatory landscapes. In 2026, BetConstruct AI was recognized as the Global Gaming Company of the Year at the International Gaming Awards.</w:t>
      </w:r>
    </w:p>
    <w:p>
      <w:pPr>
        <w:pStyle w:val="Compact"/>
        <w:numPr>
          <w:ilvl w:val="0"/>
          <w:numId w:val="1003"/>
        </w:numPr>
      </w:pPr>
      <w:r>
        <w:rPr>
          <w:b/>
          <w:bCs/>
        </w:rPr>
        <w:t xml:space="preserve">Standout for emerging markets:</w:t>
      </w:r>
      <w:r>
        <w:t xml:space="preserve"> </w:t>
      </w:r>
      <w:r>
        <w:t xml:space="preserve">Extensive payment method coverage with integrated processing for Africa, Asia, and LATAM through native Spring Platform modules.</w:t>
      </w:r>
    </w:p>
    <w:p>
      <w:pPr>
        <w:pStyle w:val="Compact"/>
        <w:numPr>
          <w:ilvl w:val="0"/>
          <w:numId w:val="1003"/>
        </w:numPr>
      </w:pPr>
      <w:r>
        <w:rPr>
          <w:b/>
          <w:bCs/>
        </w:rPr>
        <w:t xml:space="preserve">Proof points:</w:t>
      </w:r>
      <w:r>
        <w:t xml:space="preserve"> </w:t>
      </w:r>
      <w:r>
        <w:t xml:space="preserve">Active operations across a wide range of emerging markets, integrated M-Pesa and UPI processing, Brazil PIX certification, and the Global Gaming Company of the Year award at IGA 2026.</w:t>
      </w:r>
    </w:p>
    <w:p>
      <w:pPr>
        <w:pStyle w:val="Compact"/>
        <w:numPr>
          <w:ilvl w:val="0"/>
          <w:numId w:val="1003"/>
        </w:numPr>
      </w:pPr>
      <w:r>
        <w:rPr>
          <w:b/>
          <w:bCs/>
        </w:rPr>
        <w:t xml:space="preserve">Trade-off:</w:t>
      </w:r>
      <w:r>
        <w:t xml:space="preserve"> </w:t>
      </w:r>
      <w:r>
        <w:t xml:space="preserve">A broad approach may mean less specific regional optimization compared to dedicated regional specialists.</w:t>
      </w:r>
    </w:p>
    <w:p>
      <w:pPr>
        <w:pStyle w:val="Compact"/>
        <w:numPr>
          <w:ilvl w:val="0"/>
          <w:numId w:val="1003"/>
        </w:numPr>
      </w:pPr>
      <w:r>
        <w:rPr>
          <w:b/>
          <w:bCs/>
        </w:rPr>
        <w:t xml:space="preserve">Best for:</w:t>
      </w:r>
      <w:r>
        <w:t xml:space="preserve"> </w:t>
      </w:r>
      <w:r>
        <w:t xml:space="preserve">Multi-region operators comfortable with evolving regulatory environments who value single-platform simplicity.</w:t>
      </w:r>
    </w:p>
    <w:p>
      <w:pPr>
        <w:pStyle w:val="Compact"/>
        <w:numPr>
          <w:ilvl w:val="0"/>
          <w:numId w:val="1003"/>
        </w:numPr>
      </w:pPr>
      <w:r>
        <w:rPr>
          <w:b/>
          <w:bCs/>
        </w:rPr>
        <w:t xml:space="preserve">Not for:</w:t>
      </w:r>
      <w:r>
        <w:t xml:space="preserve"> </w:t>
      </w:r>
      <w:r>
        <w:t xml:space="preserve">Operators requiring best-in-class performance in specific regions or those prioritizing crypto-native capabilities.</w:t>
      </w:r>
    </w:p>
    <w:bookmarkEnd w:id="26"/>
    <w:bookmarkStart w:id="27" w:name="X728f854491fb7b0106be1461aafad12f2f887c7"/>
    <w:p>
      <w:pPr>
        <w:pStyle w:val="Heading3"/>
      </w:pPr>
      <w:hyperlink r:id="rId12">
        <w:r>
          <w:rPr>
            <w:rStyle w:val="Hyperlink"/>
          </w:rPr>
          <w:t xml:space="preserve">SOFTSWISS</w:t>
        </w:r>
      </w:hyperlink>
      <w:r>
        <w:t xml:space="preserve">: Crypto-First Solution for Banking-Restricted Markets</w:t>
      </w:r>
    </w:p>
    <w:p>
      <w:pPr>
        <w:pStyle w:val="FirstParagraph"/>
      </w:pPr>
      <w:r>
        <w:t xml:space="preserve">SOFTSWISS simplifies emerging market payment complexities through crypto-first architecture. In markets where traditional banking restricts gambling transactions, their platform provides operational continuity through cryptocurrency processing. Operators report using SOFTSWISS crypto capabilities to bypass local banking restrictions while maintaining player payment flexibility. In 2026, SOFTSWISS was named the Best iGaming Platform Provider in Europe at the European iGaming Awards.</w:t>
      </w:r>
    </w:p>
    <w:p>
      <w:pPr>
        <w:pStyle w:val="Compact"/>
        <w:numPr>
          <w:ilvl w:val="0"/>
          <w:numId w:val="1004"/>
        </w:numPr>
      </w:pPr>
      <w:r>
        <w:rPr>
          <w:b/>
          <w:bCs/>
        </w:rPr>
        <w:t xml:space="preserve">Standout for emerging markets:</w:t>
      </w:r>
      <w:r>
        <w:t xml:space="preserve"> </w:t>
      </w:r>
      <w:r>
        <w:t xml:space="preserve">Crypto-fiat hybrid capability that can help bypass traditional banking restrictions common in some emerging markets.</w:t>
      </w:r>
    </w:p>
    <w:p>
      <w:pPr>
        <w:pStyle w:val="Compact"/>
        <w:numPr>
          <w:ilvl w:val="0"/>
          <w:numId w:val="1004"/>
        </w:numPr>
      </w:pPr>
      <w:r>
        <w:rPr>
          <w:b/>
          <w:bCs/>
        </w:rPr>
        <w:t xml:space="preserve">Proof points:</w:t>
      </w:r>
      <w:r>
        <w:t xml:space="preserve"> </w:t>
      </w:r>
      <w:r>
        <w:t xml:space="preserve">Supports over 1,400+ brands globally with significant emerging market presence, offers native support for 50+ cryptocurrencies alongside traditional payments, and recognized as Best iGaming Platform Provider in Europe at the 2026 European iGaming Awards.</w:t>
      </w:r>
    </w:p>
    <w:p>
      <w:pPr>
        <w:pStyle w:val="Compact"/>
        <w:numPr>
          <w:ilvl w:val="0"/>
          <w:numId w:val="1004"/>
        </w:numPr>
      </w:pPr>
      <w:r>
        <w:rPr>
          <w:b/>
          <w:bCs/>
        </w:rPr>
        <w:t xml:space="preserve">Trade-off:</w:t>
      </w:r>
      <w:r>
        <w:t xml:space="preserve"> </w:t>
      </w:r>
      <w:r>
        <w:t xml:space="preserve">Crypto focus limits appeal for operators seeking licensed market credibility in jurisdictions restricting crypto gambling (e.g., Brazil prohibits crypto for licensed operators).</w:t>
      </w:r>
    </w:p>
    <w:p>
      <w:pPr>
        <w:pStyle w:val="Compact"/>
        <w:numPr>
          <w:ilvl w:val="0"/>
          <w:numId w:val="1004"/>
        </w:numPr>
      </w:pPr>
      <w:r>
        <w:rPr>
          <w:b/>
          <w:bCs/>
        </w:rPr>
        <w:t xml:space="preserve">Best for:</w:t>
      </w:r>
      <w:r>
        <w:t xml:space="preserve"> </w:t>
      </w:r>
      <w:r>
        <w:t xml:space="preserve">Operators in markets with banking restrictions or those targeting crypto-native player bases.</w:t>
      </w:r>
    </w:p>
    <w:p>
      <w:pPr>
        <w:pStyle w:val="Compact"/>
        <w:numPr>
          <w:ilvl w:val="0"/>
          <w:numId w:val="1004"/>
        </w:numPr>
      </w:pPr>
      <w:r>
        <w:rPr>
          <w:b/>
          <w:bCs/>
        </w:rPr>
        <w:t xml:space="preserve">Not for:</w:t>
      </w:r>
      <w:r>
        <w:t xml:space="preserve"> </w:t>
      </w:r>
      <w:r>
        <w:t xml:space="preserve">Operators prioritizing traditional payment methods or entering markets with strict crypto gambling restrictions.</w:t>
      </w:r>
    </w:p>
    <w:bookmarkEnd w:id="27"/>
    <w:bookmarkStart w:id="28" w:name="X991f8322d895c8e1d290967a29b0205288d37e6"/>
    <w:p>
      <w:pPr>
        <w:pStyle w:val="Heading3"/>
      </w:pPr>
      <w:hyperlink r:id="rId13">
        <w:r>
          <w:rPr>
            <w:rStyle w:val="Hyperlink"/>
          </w:rPr>
          <w:t xml:space="preserve">Atlaslive</w:t>
        </w:r>
      </w:hyperlink>
      <w:r>
        <w:t xml:space="preserve">: South American Regulatory Specialist</w:t>
      </w:r>
    </w:p>
    <w:p>
      <w:pPr>
        <w:pStyle w:val="FirstParagraph"/>
      </w:pPr>
      <w:r>
        <w:t xml:space="preserve">Atlaslive focuses on South American market navigation, offering regional compliance and regulatory consulting as part of platform deployment. Their approach combines technical platform capability with local market expertise, which can be crucial in markets where compliance requirements are not always readily available in English. Atlaslive continues its regional focus, exhibiting at SiGMA Americas 2026 in São Paulo, Brazil, to discuss platform functionality and market entry in Latin America.</w:t>
      </w:r>
    </w:p>
    <w:p>
      <w:pPr>
        <w:pStyle w:val="Compact"/>
        <w:numPr>
          <w:ilvl w:val="0"/>
          <w:numId w:val="1005"/>
        </w:numPr>
      </w:pPr>
      <w:r>
        <w:rPr>
          <w:b/>
          <w:bCs/>
        </w:rPr>
        <w:t xml:space="preserve">Standout for emerging markets:</w:t>
      </w:r>
      <w:r>
        <w:t xml:space="preserve"> </w:t>
      </w:r>
      <w:r>
        <w:t xml:space="preserve">Regional regulatory expertise with a focus on South American gambling authorities and regulatory consulting offered.</w:t>
      </w:r>
    </w:p>
    <w:p>
      <w:pPr>
        <w:pStyle w:val="Compact"/>
        <w:numPr>
          <w:ilvl w:val="0"/>
          <w:numId w:val="1005"/>
        </w:numPr>
      </w:pPr>
      <w:r>
        <w:rPr>
          <w:b/>
          <w:bCs/>
        </w:rPr>
        <w:t xml:space="preserve">Proof points:</w:t>
      </w:r>
      <w:r>
        <w:t xml:space="preserve"> </w:t>
      </w:r>
      <w:r>
        <w:t xml:space="preserve">Licensed operations supported in Argentina and Colombia, provides regulatory consulting as part of platform deployment, and participation at SiGMA Americas 2026 in São Paulo.</w:t>
      </w:r>
    </w:p>
    <w:p>
      <w:pPr>
        <w:pStyle w:val="Compact"/>
        <w:numPr>
          <w:ilvl w:val="0"/>
          <w:numId w:val="1005"/>
        </w:numPr>
      </w:pPr>
      <w:r>
        <w:rPr>
          <w:b/>
          <w:bCs/>
        </w:rPr>
        <w:t xml:space="preserve">Trade-off:</w:t>
      </w:r>
      <w:r>
        <w:t xml:space="preserve"> </w:t>
      </w:r>
      <w:r>
        <w:t xml:space="preserve">Limited geographic coverage outside South America restricts multi-continent expansion plans.</w:t>
      </w:r>
    </w:p>
    <w:p>
      <w:pPr>
        <w:pStyle w:val="Compact"/>
        <w:numPr>
          <w:ilvl w:val="0"/>
          <w:numId w:val="1005"/>
        </w:numPr>
      </w:pPr>
      <w:r>
        <w:rPr>
          <w:b/>
          <w:bCs/>
        </w:rPr>
        <w:t xml:space="preserve">Best for:</w:t>
      </w:r>
      <w:r>
        <w:t xml:space="preserve"> </w:t>
      </w:r>
      <w:r>
        <w:t xml:space="preserve">Operators focused on licensed South American markets who need regulatory guidance alongside platform technology.</w:t>
      </w:r>
    </w:p>
    <w:p>
      <w:pPr>
        <w:pStyle w:val="Compact"/>
        <w:numPr>
          <w:ilvl w:val="0"/>
          <w:numId w:val="1005"/>
        </w:numPr>
      </w:pPr>
      <w:r>
        <w:rPr>
          <w:b/>
          <w:bCs/>
        </w:rPr>
        <w:t xml:space="preserve">Not for:</w:t>
      </w:r>
      <w:r>
        <w:t xml:space="preserve"> </w:t>
      </w:r>
      <w:r>
        <w:t xml:space="preserve">Multi-continent operators or those comfortable navigating regulatory requirements independently.</w:t>
      </w:r>
    </w:p>
    <w:bookmarkEnd w:id="28"/>
    <w:bookmarkStart w:id="29" w:name="X99e7a8dbf2afa026d82ae5fdf45de7507cf28d4"/>
    <w:p>
      <w:pPr>
        <w:pStyle w:val="Heading3"/>
      </w:pPr>
      <w:hyperlink r:id="rId17">
        <w:r>
          <w:rPr>
            <w:rStyle w:val="Hyperlink"/>
          </w:rPr>
          <w:t xml:space="preserve">EveryMatrix</w:t>
        </w:r>
      </w:hyperlink>
      <w:r>
        <w:t xml:space="preserve">: Global Platform Requiring Local PSP Management</w:t>
      </w:r>
    </w:p>
    <w:p>
      <w:pPr>
        <w:pStyle w:val="FirstParagraph"/>
      </w:pPr>
      <w:r>
        <w:t xml:space="preserve">EveryMatrix’s PaymentIQ offers extensive emerging market payment support through its wide array of PSP integrations, including specialists like Nuvei and dLocal. However, its modular approach often requires operators to manage local payment relationships independently. This can work well for sophisticated operators with payment operations expertise but may be challenging for market-entry teams without established PSP relationships. In 2026, EveryMatrix secured licensing approval in Alberta, Canada, and its platform technology went live with Betsson Africa in Cameroon.</w:t>
      </w:r>
    </w:p>
    <w:p>
      <w:pPr>
        <w:pStyle w:val="Compact"/>
        <w:numPr>
          <w:ilvl w:val="0"/>
          <w:numId w:val="1006"/>
        </w:numPr>
      </w:pPr>
      <w:r>
        <w:rPr>
          <w:b/>
          <w:bCs/>
        </w:rPr>
        <w:t xml:space="preserve">Standout for emerging markets:</w:t>
      </w:r>
      <w:r>
        <w:t xml:space="preserve"> </w:t>
      </w:r>
      <w:r>
        <w:t xml:space="preserve">PaymentIQ’s global PSP coverage includes emerging market specialists, offering access to a wide range of payment methods.</w:t>
      </w:r>
    </w:p>
    <w:p>
      <w:pPr>
        <w:pStyle w:val="Compact"/>
        <w:numPr>
          <w:ilvl w:val="0"/>
          <w:numId w:val="1006"/>
        </w:numPr>
      </w:pPr>
      <w:r>
        <w:rPr>
          <w:b/>
          <w:bCs/>
        </w:rPr>
        <w:t xml:space="preserve">Proof points:</w:t>
      </w:r>
      <w:r>
        <w:t xml:space="preserve"> </w:t>
      </w:r>
      <w:r>
        <w:t xml:space="preserve">Supports a large number of PSP integrations, including those relevant to emerging markets, with modular architecture allowing PSP optimization per market, and 2026 licensing approval in Alberta, Canada, plus Betsson Africa launch in Cameroon.</w:t>
      </w:r>
    </w:p>
    <w:p>
      <w:pPr>
        <w:pStyle w:val="Compact"/>
        <w:numPr>
          <w:ilvl w:val="0"/>
          <w:numId w:val="1006"/>
        </w:numPr>
      </w:pPr>
      <w:r>
        <w:rPr>
          <w:b/>
          <w:bCs/>
        </w:rPr>
        <w:t xml:space="preserve">Trade-off:</w:t>
      </w:r>
      <w:r>
        <w:t xml:space="preserve"> </w:t>
      </w:r>
      <w:r>
        <w:t xml:space="preserve">Requires payment operations expertise to manage multiple PSP relationships across markets.</w:t>
      </w:r>
    </w:p>
    <w:p>
      <w:pPr>
        <w:pStyle w:val="Compact"/>
        <w:numPr>
          <w:ilvl w:val="0"/>
          <w:numId w:val="1006"/>
        </w:numPr>
      </w:pPr>
      <w:r>
        <w:rPr>
          <w:b/>
          <w:bCs/>
        </w:rPr>
        <w:t xml:space="preserve">Best for:</w:t>
      </w:r>
      <w:r>
        <w:t xml:space="preserve"> </w:t>
      </w:r>
      <w:r>
        <w:t xml:space="preserve">Technical operators with payment management capabilities who want maximum PSP flexibility.</w:t>
      </w:r>
    </w:p>
    <w:p>
      <w:pPr>
        <w:pStyle w:val="Compact"/>
        <w:numPr>
          <w:ilvl w:val="0"/>
          <w:numId w:val="1006"/>
        </w:numPr>
      </w:pPr>
      <w:r>
        <w:rPr>
          <w:b/>
          <w:bCs/>
        </w:rPr>
        <w:t xml:space="preserve">Not for:</w:t>
      </w:r>
      <w:r>
        <w:t xml:space="preserve"> </w:t>
      </w:r>
      <w:r>
        <w:t xml:space="preserve">Market-entry operators without payment operations teams or those preferring integrated payment solutions.</w:t>
      </w:r>
    </w:p>
    <w:bookmarkEnd w:id="29"/>
    <w:bookmarkStart w:id="30" w:name="nuxgame-budget-emerging-market-entry"/>
    <w:p>
      <w:pPr>
        <w:pStyle w:val="Heading3"/>
      </w:pPr>
      <w:hyperlink r:id="rId14">
        <w:r>
          <w:rPr>
            <w:rStyle w:val="Hyperlink"/>
          </w:rPr>
          <w:t xml:space="preserve">NuxGame</w:t>
        </w:r>
      </w:hyperlink>
      <w:r>
        <w:t xml:space="preserve">: Budget Emerging Market Entry</w:t>
      </w:r>
    </w:p>
    <w:p>
      <w:pPr>
        <w:pStyle w:val="FirstParagraph"/>
      </w:pPr>
      <w:r>
        <w:t xml:space="preserve">NuxGame offers budget-conscious emerging market entry with turnkey solutions that include broad local payment integration. Their approach can eliminate upfront platform costs through revenue-sharing but may limit customization and advanced payment features. It can be effective for market testing, but operators may seek more advanced capabilities as operations scale. In May 2026, NuxGame partnered with 155.io to bring mobile-first,</w:t>
      </w:r>
      <w:r>
        <w:t xml:space="preserve"> </w:t>
      </w:r>
      <w:r>
        <w:t xml:space="preserve">“betting on chaos”</w:t>
      </w:r>
      <w:r>
        <w:t xml:space="preserve"> </w:t>
      </w:r>
      <w:r>
        <w:t xml:space="preserve">live game formats to its operators.</w:t>
      </w:r>
    </w:p>
    <w:p>
      <w:pPr>
        <w:pStyle w:val="Compact"/>
        <w:numPr>
          <w:ilvl w:val="0"/>
          <w:numId w:val="1007"/>
        </w:numPr>
      </w:pPr>
      <w:r>
        <w:rPr>
          <w:b/>
          <w:bCs/>
        </w:rPr>
        <w:t xml:space="preserve">Standout for emerging markets:</w:t>
      </w:r>
      <w:r>
        <w:t xml:space="preserve"> </w:t>
      </w:r>
      <w:r>
        <w:t xml:space="preserve">Low-cost market entry with revenue-sharing model and broad emerging market PSP integration included.</w:t>
      </w:r>
    </w:p>
    <w:p>
      <w:pPr>
        <w:pStyle w:val="Compact"/>
        <w:numPr>
          <w:ilvl w:val="0"/>
          <w:numId w:val="1007"/>
        </w:numPr>
      </w:pPr>
      <w:r>
        <w:rPr>
          <w:b/>
          <w:bCs/>
        </w:rPr>
        <w:t xml:space="preserve">Proof points:</w:t>
      </w:r>
      <w:r>
        <w:t xml:space="preserve"> </w:t>
      </w:r>
      <w:r>
        <w:t xml:space="preserve">Active in emerging markets through revenue-sharing partnerships, features a game library of over 17,500 games with mobile-optimized software, and a 2026 partnership with 155.io for mobile-first live games.</w:t>
      </w:r>
    </w:p>
    <w:p>
      <w:pPr>
        <w:pStyle w:val="Compact"/>
        <w:numPr>
          <w:ilvl w:val="0"/>
          <w:numId w:val="1007"/>
        </w:numPr>
      </w:pPr>
      <w:r>
        <w:rPr>
          <w:b/>
          <w:bCs/>
        </w:rPr>
        <w:t xml:space="preserve">Trade-off:</w:t>
      </w:r>
      <w:r>
        <w:t xml:space="preserve"> </w:t>
      </w:r>
      <w:r>
        <w:t xml:space="preserve">Limited customization and advanced payment features may restrict growth as operations scale beyond basic functionality.</w:t>
      </w:r>
    </w:p>
    <w:p>
      <w:pPr>
        <w:pStyle w:val="Compact"/>
        <w:numPr>
          <w:ilvl w:val="0"/>
          <w:numId w:val="1007"/>
        </w:numPr>
      </w:pPr>
      <w:r>
        <w:rPr>
          <w:b/>
          <w:bCs/>
        </w:rPr>
        <w:t xml:space="preserve">Best for:</w:t>
      </w:r>
      <w:r>
        <w:t xml:space="preserve"> </w:t>
      </w:r>
      <w:r>
        <w:t xml:space="preserve">Budget-conscious market testing or operators without technical resources for complex platform management.</w:t>
      </w:r>
    </w:p>
    <w:p>
      <w:pPr>
        <w:pStyle w:val="Compact"/>
        <w:numPr>
          <w:ilvl w:val="0"/>
          <w:numId w:val="1007"/>
        </w:numPr>
      </w:pPr>
      <w:r>
        <w:rPr>
          <w:b/>
          <w:bCs/>
        </w:rPr>
        <w:t xml:space="preserve">Not for:</w:t>
      </w:r>
      <w:r>
        <w:t xml:space="preserve"> </w:t>
      </w:r>
      <w:r>
        <w:t xml:space="preserve">Operators planning rapid scale or those requiring advanced payment and compliance features.</w:t>
      </w:r>
    </w:p>
    <w:bookmarkEnd w:id="30"/>
    <w:bookmarkStart w:id="31" w:name="X8cc234bfc7bd8fab494e9ded988ef44b259ade1"/>
    <w:p>
      <w:pPr>
        <w:pStyle w:val="Heading3"/>
      </w:pPr>
      <w:hyperlink r:id="rId15">
        <w:r>
          <w:rPr>
            <w:rStyle w:val="Hyperlink"/>
          </w:rPr>
          <w:t xml:space="preserve">Slotegrator</w:t>
        </w:r>
      </w:hyperlink>
      <w:r>
        <w:t xml:space="preserve">: Content-First Emerging Market Approach</w:t>
      </w:r>
    </w:p>
    <w:p>
      <w:pPr>
        <w:pStyle w:val="FirstParagraph"/>
      </w:pPr>
      <w:r>
        <w:t xml:space="preserve">Slotegrator emphasizes content aggregation, providing a large game library through its APIgrator system, which also includes regional payment partnerships. Their primary focus remains game library breadth over payment optimization, making it suitable for operators prioritizing content variety. In January 2026, Slotegrator announced the Moneygrator AI Bot, an AI-powered digital assistant for payment integration, as part of its modernized platform.</w:t>
      </w:r>
    </w:p>
    <w:p>
      <w:pPr>
        <w:pStyle w:val="Compact"/>
        <w:numPr>
          <w:ilvl w:val="0"/>
          <w:numId w:val="1008"/>
        </w:numPr>
      </w:pPr>
      <w:r>
        <w:rPr>
          <w:b/>
          <w:bCs/>
        </w:rPr>
        <w:t xml:space="preserve">Standout for emerging markets:</w:t>
      </w:r>
      <w:r>
        <w:t xml:space="preserve"> </w:t>
      </w:r>
      <w:r>
        <w:t xml:space="preserve">Extensive game library through APIgrator with regional PSP partnerships for payment coverage.</w:t>
      </w:r>
    </w:p>
    <w:p>
      <w:pPr>
        <w:pStyle w:val="Compact"/>
        <w:numPr>
          <w:ilvl w:val="0"/>
          <w:numId w:val="1008"/>
        </w:numPr>
      </w:pPr>
      <w:r>
        <w:rPr>
          <w:b/>
          <w:bCs/>
        </w:rPr>
        <w:t xml:space="preserve">Proof points:</w:t>
      </w:r>
      <w:r>
        <w:t xml:space="preserve"> </w:t>
      </w:r>
      <w:r>
        <w:t xml:space="preserve">Over 40,000 games from more than 300 studios, with regional PSP partnerships for emerging market payment processing, and the 2026 launch of the Moneygrator AI Bot for payment integration.</w:t>
      </w:r>
    </w:p>
    <w:p>
      <w:pPr>
        <w:pStyle w:val="Compact"/>
        <w:numPr>
          <w:ilvl w:val="0"/>
          <w:numId w:val="1008"/>
        </w:numPr>
      </w:pPr>
      <w:r>
        <w:rPr>
          <w:b/>
          <w:bCs/>
        </w:rPr>
        <w:t xml:space="preserve">Trade-off:</w:t>
      </w:r>
      <w:r>
        <w:t xml:space="preserve"> </w:t>
      </w:r>
      <w:r>
        <w:t xml:space="preserve">Payment features may be less advanced compared to platforms focused specifically on emerging market payment optimization.</w:t>
      </w:r>
    </w:p>
    <w:p>
      <w:pPr>
        <w:pStyle w:val="Compact"/>
        <w:numPr>
          <w:ilvl w:val="0"/>
          <w:numId w:val="1008"/>
        </w:numPr>
      </w:pPr>
      <w:r>
        <w:rPr>
          <w:b/>
          <w:bCs/>
        </w:rPr>
        <w:t xml:space="preserve">Best for:</w:t>
      </w:r>
      <w:r>
        <w:t xml:space="preserve"> </w:t>
      </w:r>
      <w:r>
        <w:t xml:space="preserve">Content-focused operators who can manage payment relationships separately while prioritizing game library breadth.</w:t>
      </w:r>
    </w:p>
    <w:p>
      <w:pPr>
        <w:pStyle w:val="Compact"/>
        <w:numPr>
          <w:ilvl w:val="0"/>
          <w:numId w:val="1008"/>
        </w:numPr>
      </w:pPr>
      <w:r>
        <w:rPr>
          <w:b/>
          <w:bCs/>
        </w:rPr>
        <w:t xml:space="preserve">Not for:</w:t>
      </w:r>
      <w:r>
        <w:t xml:space="preserve"> </w:t>
      </w:r>
      <w:r>
        <w:t xml:space="preserve">Operators prioritizing payment innovation or those requiring advanced currency risk management.</w:t>
      </w:r>
    </w:p>
    <w:bookmarkEnd w:id="31"/>
    <w:bookmarkStart w:id="32" w:name="X4fd7d2789e54357315375c353fe0d7d2410bd7d"/>
    <w:p>
      <w:pPr>
        <w:pStyle w:val="Heading3"/>
      </w:pPr>
      <w:hyperlink r:id="rId16">
        <w:r>
          <w:rPr>
            <w:rStyle w:val="Hyperlink"/>
          </w:rPr>
          <w:t xml:space="preserve">BlueOcean Gaming</w:t>
        </w:r>
      </w:hyperlink>
      <w:r>
        <w:t xml:space="preserve">: Non-Technical Emerging Market Solution</w:t>
      </w:r>
    </w:p>
    <w:p>
      <w:pPr>
        <w:pStyle w:val="FirstParagraph"/>
      </w:pPr>
      <w:r>
        <w:t xml:space="preserve">BlueOcean Gaming handles emerging market complexities through white label solutions, including local payment relationships, regulatory compliance (e.g., Curacao license), and operational overhead. This approach aims to simplify platform management for operators who prefer to focus on marketing, though it may limit operational control and customization. In April 2026, BlueOcean Gaming expanded its GameHub offering by partnering with SA Gaming to integrate its live casino suite.</w:t>
      </w:r>
    </w:p>
    <w:p>
      <w:pPr>
        <w:pStyle w:val="Compact"/>
        <w:numPr>
          <w:ilvl w:val="0"/>
          <w:numId w:val="1009"/>
        </w:numPr>
      </w:pPr>
      <w:r>
        <w:rPr>
          <w:b/>
          <w:bCs/>
        </w:rPr>
        <w:t xml:space="preserve">Standout for emerging markets:</w:t>
      </w:r>
      <w:r>
        <w:t xml:space="preserve"> </w:t>
      </w:r>
      <w:r>
        <w:t xml:space="preserve">Offers complete operational outsourcing, including payment management and regulatory compliance (e.g., Curacao license) for emerging markets.</w:t>
      </w:r>
    </w:p>
    <w:p>
      <w:pPr>
        <w:pStyle w:val="Compact"/>
        <w:numPr>
          <w:ilvl w:val="0"/>
          <w:numId w:val="1009"/>
        </w:numPr>
      </w:pPr>
      <w:r>
        <w:rPr>
          <w:b/>
          <w:bCs/>
        </w:rPr>
        <w:t xml:space="preserve">Proof points:</w:t>
      </w:r>
      <w:r>
        <w:t xml:space="preserve"> </w:t>
      </w:r>
      <w:r>
        <w:t xml:space="preserve">White label solutions with emerging market payment handling, with a launch time of generally under five weeks, and a 2026 partnership with SA Gaming to expand its live casino offering.</w:t>
      </w:r>
    </w:p>
    <w:p>
      <w:pPr>
        <w:pStyle w:val="Compact"/>
        <w:numPr>
          <w:ilvl w:val="0"/>
          <w:numId w:val="1009"/>
        </w:numPr>
      </w:pPr>
      <w:r>
        <w:rPr>
          <w:b/>
          <w:bCs/>
        </w:rPr>
        <w:t xml:space="preserve">Trade-off:</w:t>
      </w:r>
      <w:r>
        <w:t xml:space="preserve"> </w:t>
      </w:r>
      <w:r>
        <w:t xml:space="preserve">Limited operational control and customization options may restrict long-term platform evolution.</w:t>
      </w:r>
    </w:p>
    <w:p>
      <w:pPr>
        <w:pStyle w:val="Compact"/>
        <w:numPr>
          <w:ilvl w:val="0"/>
          <w:numId w:val="1009"/>
        </w:numPr>
      </w:pPr>
      <w:r>
        <w:rPr>
          <w:b/>
          <w:bCs/>
        </w:rPr>
        <w:t xml:space="preserve">Best for:</w:t>
      </w:r>
      <w:r>
        <w:t xml:space="preserve"> </w:t>
      </w:r>
      <w:r>
        <w:t xml:space="preserve">Non-technical operators who prefer operational outsourcing over platform management.</w:t>
      </w:r>
    </w:p>
    <w:p>
      <w:pPr>
        <w:pStyle w:val="Compact"/>
        <w:numPr>
          <w:ilvl w:val="0"/>
          <w:numId w:val="1009"/>
        </w:numPr>
      </w:pPr>
      <w:r>
        <w:rPr>
          <w:b/>
          <w:bCs/>
        </w:rPr>
        <w:t xml:space="preserve">Not for:</w:t>
      </w:r>
      <w:r>
        <w:t xml:space="preserve"> </w:t>
      </w:r>
      <w:r>
        <w:t xml:space="preserve">Operators planning custom development or those requiring specific operational control over payment processing.</w:t>
      </w:r>
    </w:p>
    <w:bookmarkEnd w:id="32"/>
    <w:bookmarkEnd w:id="33"/>
    <w:bookmarkStart w:id="35" w:name="runners-up"/>
    <w:p>
      <w:pPr>
        <w:pStyle w:val="Heading2"/>
      </w:pPr>
      <w:r>
        <w:t xml:space="preserve">Runners-Up</w:t>
      </w:r>
    </w:p>
    <w:p>
      <w:pPr>
        <w:pStyle w:val="FirstParagraph"/>
      </w:pPr>
      <w:r>
        <w:rPr>
          <w:b/>
          <w:bCs/>
        </w:rPr>
        <w:t xml:space="preserve">Digitain</w:t>
      </w:r>
      <w:r>
        <w:t xml:space="preserve"> </w:t>
      </w:r>
      <w:r>
        <w:t xml:space="preserve">offers emerging market capabilities through partnerships but lacks the regional specialization of dedicated providers.</w:t>
      </w:r>
      <w:r>
        <w:t xml:space="preserve"> </w:t>
      </w:r>
      <w:r>
        <w:rPr>
          <w:b/>
          <w:bCs/>
        </w:rPr>
        <w:t xml:space="preserve">iGcore</w:t>
      </w:r>
      <w:r>
        <w:t xml:space="preserve"> </w:t>
      </w:r>
      <w:r>
        <w:t xml:space="preserve">focuses on API-first architecture with some emerging market PSP support.</w:t>
      </w:r>
      <w:r>
        <w:t xml:space="preserve"> </w:t>
      </w:r>
      <w:r>
        <w:rPr>
          <w:b/>
          <w:bCs/>
        </w:rPr>
        <w:t xml:space="preserve">Smartbet</w:t>
      </w:r>
      <w:r>
        <w:t xml:space="preserve"> </w:t>
      </w:r>
      <w:r>
        <w:t xml:space="preserve">provides LATAM-focused solutions but with limited payment method coverage. Browse the complete</w:t>
      </w:r>
      <w:r>
        <w:t xml:space="preserve"> </w:t>
      </w:r>
      <w:hyperlink r:id="rId34">
        <w:r>
          <w:rPr>
            <w:rStyle w:val="Hyperlink"/>
          </w:rPr>
          <w:t xml:space="preserve">directory of casino platform providers</w:t>
        </w:r>
      </w:hyperlink>
      <w:r>
        <w:t xml:space="preserve"> </w:t>
      </w:r>
      <w:r>
        <w:t xml:space="preserve">for additional emerging market specialists.</w:t>
      </w:r>
    </w:p>
    <w:bookmarkEnd w:id="35"/>
    <w:bookmarkStart w:id="36" w:name="buying-signals-for-emerging-markets"/>
    <w:p>
      <w:pPr>
        <w:pStyle w:val="Heading2"/>
      </w:pPr>
      <w:r>
        <w:t xml:space="preserve">Buying Signals for Emerging Markets</w:t>
      </w:r>
    </w:p>
    <w:p>
      <w:pPr>
        <w:pStyle w:val="FirstParagraph"/>
      </w:pPr>
      <w:r>
        <w:t xml:space="preserve">This angle is right for you if:</w:t>
      </w:r>
    </w:p>
    <w:p>
      <w:pPr>
        <w:pStyle w:val="Compact"/>
        <w:numPr>
          <w:ilvl w:val="0"/>
          <w:numId w:val="1010"/>
        </w:numPr>
      </w:pPr>
      <w:r>
        <w:t xml:space="preserve">Your target markets have low banking penetration requiring alternative payment methods (mobile money, vouchers, agent networks).</w:t>
      </w:r>
    </w:p>
    <w:p>
      <w:pPr>
        <w:pStyle w:val="Compact"/>
        <w:numPr>
          <w:ilvl w:val="0"/>
          <w:numId w:val="1010"/>
        </w:numPr>
      </w:pPr>
      <w:r>
        <w:t xml:space="preserve">Local payment methods like PIX, M-Pesa, UPI, or OXXO represent primary player transaction preferences.</w:t>
      </w:r>
    </w:p>
    <w:p>
      <w:pPr>
        <w:pStyle w:val="Compact"/>
        <w:numPr>
          <w:ilvl w:val="0"/>
          <w:numId w:val="1010"/>
        </w:numPr>
      </w:pPr>
      <w:r>
        <w:t xml:space="preserve">Mobile-first player base accessing services primarily through smartphones on 3G networks.</w:t>
      </w:r>
    </w:p>
    <w:p>
      <w:pPr>
        <w:pStyle w:val="Compact"/>
        <w:numPr>
          <w:ilvl w:val="0"/>
          <w:numId w:val="1010"/>
        </w:numPr>
      </w:pPr>
      <w:r>
        <w:t xml:space="preserve">Operating in markets with currency volatility requiring hedging or rapid settlement capabilities.</w:t>
      </w:r>
    </w:p>
    <w:p>
      <w:pPr>
        <w:pStyle w:val="Compact"/>
        <w:numPr>
          <w:ilvl w:val="0"/>
          <w:numId w:val="1010"/>
        </w:numPr>
      </w:pPr>
      <w:r>
        <w:t xml:space="preserve">Regulatory frameworks are developing or unclear, requiring platform flexibility for compliance evolution.</w:t>
      </w:r>
    </w:p>
    <w:p>
      <w:pPr>
        <w:pStyle w:val="FirstParagraph"/>
      </w:pPr>
      <w:r>
        <w:t xml:space="preserve">Look elsewhere if:</w:t>
      </w:r>
    </w:p>
    <w:p>
      <w:pPr>
        <w:pStyle w:val="Compact"/>
        <w:numPr>
          <w:ilvl w:val="0"/>
          <w:numId w:val="1011"/>
        </w:numPr>
      </w:pPr>
      <w:r>
        <w:t xml:space="preserve">Your focus remains traditional European markets with established banking and payment infrastructure.</w:t>
      </w:r>
    </w:p>
    <w:p>
      <w:pPr>
        <w:pStyle w:val="Compact"/>
        <w:numPr>
          <w:ilvl w:val="0"/>
          <w:numId w:val="1011"/>
        </w:numPr>
      </w:pPr>
      <w:r>
        <w:t xml:space="preserve">Crypto capabilities matter more than traditional payment method integration.</w:t>
      </w:r>
    </w:p>
    <w:p>
      <w:pPr>
        <w:pStyle w:val="Compact"/>
        <w:numPr>
          <w:ilvl w:val="0"/>
          <w:numId w:val="1011"/>
        </w:numPr>
      </w:pPr>
      <w:r>
        <w:t xml:space="preserve">You prefer enterprise-grade compliance for fully regulated markets over emerging market flexibility.</w:t>
      </w:r>
    </w:p>
    <w:p>
      <w:pPr>
        <w:pStyle w:val="Compact"/>
        <w:numPr>
          <w:ilvl w:val="0"/>
          <w:numId w:val="1011"/>
        </w:numPr>
      </w:pPr>
      <w:r>
        <w:t xml:space="preserve">Desktop player experience matters more than mobile-first optimization.</w:t>
      </w:r>
    </w:p>
    <w:bookmarkEnd w:id="36"/>
    <w:bookmarkStart w:id="37" w:name="what-to-verify-and-trap-questions"/>
    <w:p>
      <w:pPr>
        <w:pStyle w:val="Heading2"/>
      </w:pPr>
      <w:r>
        <w:t xml:space="preserve">What to Verify and Trap Questions</w:t>
      </w:r>
    </w:p>
    <w:p>
      <w:pPr>
        <w:pStyle w:val="FirstParagraph"/>
      </w:pPr>
      <w:r>
        <w:rPr>
          <w:b/>
          <w:bCs/>
        </w:rPr>
        <w:t xml:space="preserve">Local PSP Integration Timeline:</w:t>
      </w:r>
      <w:r>
        <w:t xml:space="preserve"> </w:t>
      </w:r>
      <w:r>
        <w:t xml:space="preserve">Request the actual contract timeline from handshake to live payment processing for your target methods. Platforms like Salsa Technology reports rapid activation for pre-integrated methods like PIX. Generic platforms may require a longer timeframe for</w:t>
      </w:r>
      <w:r>
        <w:t xml:space="preserve"> </w:t>
      </w:r>
      <w:r>
        <w:t xml:space="preserve">“simple”</w:t>
      </w:r>
      <w:r>
        <w:t xml:space="preserve"> </w:t>
      </w:r>
      <w:r>
        <w:t xml:space="preserve">integrations.</w:t>
      </w:r>
    </w:p>
    <w:p>
      <w:pPr>
        <w:pStyle w:val="BodyText"/>
      </w:pPr>
      <w:r>
        <w:rPr>
          <w:b/>
          <w:bCs/>
        </w:rPr>
        <w:t xml:space="preserve">Live Operator Performance Data:</w:t>
      </w:r>
      <w:r>
        <w:t xml:space="preserve"> </w:t>
      </w:r>
      <w:r>
        <w:t xml:space="preserve">Ask for transaction success rates by payment method from actual operators in your target market. Platforms like Salsa Technology can demonstrate high PIX success rates from live operators. Generic platforms may offer sandbox performance claims.</w:t>
      </w:r>
    </w:p>
    <w:p>
      <w:pPr>
        <w:pStyle w:val="BodyText"/>
      </w:pPr>
      <w:r>
        <w:rPr>
          <w:b/>
          <w:bCs/>
        </w:rPr>
        <w:t xml:space="preserve">Currency Risk Management:</w:t>
      </w:r>
      <w:r>
        <w:t xml:space="preserve"> </w:t>
      </w:r>
      <w:r>
        <w:t xml:space="preserve">Verify who absorbs FX risk during volatile periods and what hedging options exist. Strong answers explain automatic hedging or flexible settlement windows. Red flag answers suggest operators manage currency risk independently.</w:t>
      </w:r>
    </w:p>
    <w:p>
      <w:pPr>
        <w:pStyle w:val="BodyText"/>
      </w:pPr>
      <w:r>
        <w:rPr>
          <w:b/>
          <w:bCs/>
        </w:rPr>
        <w:t xml:space="preserve">Mobile Performance Under Real Conditions:</w:t>
      </w:r>
      <w:r>
        <w:t xml:space="preserve"> </w:t>
      </w:r>
      <w:r>
        <w:t xml:space="preserve">Test mobile load times on a throttled 3G connection from your target country, not from the vendor’s data center. Platforms optimized for emerging markets aim for fast loading times. European platforms may experience slower loading or timeouts.</w:t>
      </w:r>
    </w:p>
    <w:p>
      <w:pPr>
        <w:pStyle w:val="BodyText"/>
      </w:pPr>
      <w:r>
        <w:rPr>
          <w:b/>
          <w:bCs/>
        </w:rPr>
        <w:t xml:space="preserve">Regulatory Compliance Support:</w:t>
      </w:r>
      <w:r>
        <w:t xml:space="preserve"> </w:t>
      </w:r>
      <w:r>
        <w:t xml:space="preserve">Confirm the vendor’s regulatory engagement with local authorities and their compliance consulting capabilities. Regional specialists often provide regulator introductions and compliance guidance. European platforms typically offer only general legal support.</w:t>
      </w:r>
    </w:p>
    <w:p>
      <w:pPr>
        <w:pStyle w:val="BodyText"/>
      </w:pPr>
      <w:r>
        <w:rPr>
          <w:b/>
          <w:bCs/>
        </w:rPr>
        <w:t xml:space="preserve">Reference Operator Conversations:</w:t>
      </w:r>
      <w:r>
        <w:t xml:space="preserve"> </w:t>
      </w:r>
      <w:r>
        <w:t xml:space="preserve">Request direct contact with 2+ operators live in your target market for 6+ months. Legitimate references result in operational discussions about platform performance. Fictional references produce confidentiality excuses.</w:t>
      </w:r>
    </w:p>
    <w:bookmarkEnd w:id="37"/>
    <w:bookmarkStart w:id="44" w:name="common-questions"/>
    <w:p>
      <w:pPr>
        <w:pStyle w:val="Heading2"/>
      </w:pPr>
      <w:r>
        <w:t xml:space="preserve">Common Questions</w:t>
      </w:r>
    </w:p>
    <w:bookmarkStart w:id="38" w:name="Xcafb4ba4411b3896eaef07bcb398a09741f9db0"/>
    <w:p>
      <w:pPr>
        <w:pStyle w:val="Heading3"/>
      </w:pPr>
      <w:r>
        <w:t xml:space="preserve">Best casino platform for emerging markets</w:t>
      </w:r>
    </w:p>
    <w:p>
      <w:pPr>
        <w:pStyle w:val="FirstParagraph"/>
      </w:pPr>
      <w:r>
        <w:t xml:space="preserve">Salsa Technology offers strong capabilities for LATAM with live PIX integration and compliance certification for Law 14.790/2023. They support numerous licensed operators in Brazil. BetConstruct also offers Brazil-specific modules but may not have the same depth of proven operational track record in the market as Salsa Technology. For SOFTSWISS, it should be noted that Brazil’s regulation explicitly prohibits cryptocurrency for licensed operators, which may conflict with SOFTSWISS’s crypto-first approach for regulated operations.</w:t>
      </w:r>
    </w:p>
    <w:bookmarkEnd w:id="38"/>
    <w:bookmarkStart w:id="39" w:name="Xa4f15b894bec89593c5f86dc9872371b460c7bc"/>
    <w:p>
      <w:pPr>
        <w:pStyle w:val="Heading3"/>
      </w:pPr>
      <w:r>
        <w:t xml:space="preserve">Best white label casino platform for emerging markets</w:t>
      </w:r>
    </w:p>
    <w:p>
      <w:pPr>
        <w:pStyle w:val="FirstParagraph"/>
      </w:pPr>
      <w:r>
        <w:t xml:space="preserve">BetConstruct’s Spring Platform offers extensive multi-region support for operators in diverse regulatory environments, valuing single-platform simplicity. Its integrated M-Pesa, UPI, and OXXO processing can simplify payment management while supporting emerging market payment preferences. BlueOcean Gaming handles operational complexity through comprehensive outsourcing but may limit customization options for scaling operators.</w:t>
      </w:r>
    </w:p>
    <w:bookmarkEnd w:id="39"/>
    <w:bookmarkStart w:id="40" w:name="X10ca2fffd2c95ddaa0dcd31387b479d2c027e39"/>
    <w:p>
      <w:pPr>
        <w:pStyle w:val="Heading3"/>
      </w:pPr>
      <w:r>
        <w:t xml:space="preserve">Casino platform with crypto and fiat payments for emerging markets</w:t>
      </w:r>
    </w:p>
    <w:p>
      <w:pPr>
        <w:pStyle w:val="FirstParagraph"/>
      </w:pPr>
      <w:r>
        <w:t xml:space="preserve">SOFTSWISS provides a crypto-first architecture that can simplify emerging market payment complexities while supporting traditional payment methods. Operators report using their platform to navigate banking restrictions when traditional payment processing faces regulatory pressure. However, its crypto focus may limit its appeal for operators seeking licensed market credibility in jurisdictions with strict crypto gambling restrictions (e.g., Brazil).</w:t>
      </w:r>
    </w:p>
    <w:bookmarkEnd w:id="40"/>
    <w:bookmarkStart w:id="41" w:name="Xdbaf6f706aa346991976c0ec9be32ccf34eeb5b"/>
    <w:p>
      <w:pPr>
        <w:pStyle w:val="Heading3"/>
      </w:pPr>
      <w:r>
        <w:t xml:space="preserve">Casino platform with fast integration for new markets</w:t>
      </w:r>
    </w:p>
    <w:p>
      <w:pPr>
        <w:pStyle w:val="FirstParagraph"/>
      </w:pPr>
      <w:r>
        <w:t xml:space="preserve">Salsa Technology reports rapid activation for PIX processing due to pre-certified relationships with Brazilian PSPs. BetConstruct’s Spring Platform is designed for launching across emerging markets with an adaptive approach to regulatory clarity. Specialized providers generally offer faster integrations compared to some generic platforms.</w:t>
      </w:r>
    </w:p>
    <w:bookmarkEnd w:id="41"/>
    <w:bookmarkStart w:id="42" w:name="X040983631797585001850bc7c99df2f8da5e354"/>
    <w:p>
      <w:pPr>
        <w:pStyle w:val="Heading3"/>
      </w:pPr>
      <w:r>
        <w:t xml:space="preserve">How do I choose a casino platform for LATAM</w:t>
      </w:r>
    </w:p>
    <w:p>
      <w:pPr>
        <w:pStyle w:val="FirstParagraph"/>
      </w:pPr>
      <w:r>
        <w:t xml:space="preserve">Focus on platforms with proven local payment integration, such as PIX for Brazil, OXXO for Mexico, and local banking for Argentina and Colombia. Salsa Technology offers strong support for numerous licensed Brazilian operators and automatic currency hedging. Atlaslive specializes in South American regulatory navigation and provides regulatory consulting. Operators may find it beneficial to avoid European platforms that require separate PSP management for each country.</w:t>
      </w:r>
    </w:p>
    <w:bookmarkEnd w:id="42"/>
    <w:bookmarkStart w:id="43" w:name="X042b293fafa46a1c8e44a85e1d2f0b0f0ba5484"/>
    <w:p>
      <w:pPr>
        <w:pStyle w:val="Heading3"/>
      </w:pPr>
      <w:r>
        <w:t xml:space="preserve">Casino platform for multi-country expansion in emerging markets</w:t>
      </w:r>
    </w:p>
    <w:p>
      <w:pPr>
        <w:pStyle w:val="FirstParagraph"/>
      </w:pPr>
      <w:r>
        <w:t xml:space="preserve">BetConstruct’s Spring Platform operates across a wide range of emerging markets with integrated payment processing for Africa, Asia, and LATAM. Their approach involves launching and adapting to evolving regulatory environments. While effective for operators comfortable with varying regulatory clarity, it may offer less market-specific optimization compared to regional specialists like Salsa Technology’s LATAM focus.</w:t>
      </w:r>
    </w:p>
    <w:p>
      <w:pPr>
        <w:pStyle w:val="BodyText"/>
      </w:pPr>
      <w:r>
        <w:t xml:space="preserve">For the complete analysis across all casino platform dimensions, see our</w:t>
      </w:r>
      <w:r>
        <w:t xml:space="preserve"> </w:t>
      </w:r>
      <w:hyperlink r:id="rId9">
        <w:r>
          <w:rPr>
            <w:rStyle w:val="Hyperlink"/>
          </w:rPr>
          <w:t xml:space="preserve">comprehensive platform comparison guide</w:t>
        </w:r>
      </w:hyperlink>
      <w:r>
        <w:t xml:space="preserve">. Browse our</w:t>
      </w:r>
      <w:r>
        <w:t xml:space="preserve"> </w:t>
      </w:r>
      <w:hyperlink r:id="rId34">
        <w:r>
          <w:rPr>
            <w:rStyle w:val="Hyperlink"/>
          </w:rPr>
          <w:t xml:space="preserve">directory of casino platform providers</w:t>
        </w:r>
      </w:hyperlink>
      <w:r>
        <w:t xml:space="preserve"> </w:t>
      </w:r>
      <w:r>
        <w:t xml:space="preserve">for detailed vendor profiles and operator reviews.</w:t>
      </w:r>
    </w:p>
    <w:p>
      <w:pPr>
        <w:pStyle w:val="BodyText"/>
      </w:pPr>
      <w:r>
        <w:rPr>
          <w:b/>
          <w:bCs/>
        </w:rPr>
        <w:t xml:space="preserve">Last Verified:</w:t>
      </w:r>
      <w:r>
        <w:t xml:space="preserve"> </w:t>
      </w:r>
      <w:r>
        <w:t xml:space="preserve">June 2, 2026. This analysis reflects independent research without vendor sponsorship. To test platform capabilities for your specific emerging market requirements, request sandbox access with throttled mobile performance testing and live operator reference conversations in your target geography.</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uides/best-casino-platforms-2026" TargetMode="External" /><Relationship Type="http://schemas.openxmlformats.org/officeDocument/2006/relationships/hyperlink" Id="rId13" Target="https://onlyigaming.com/companies/atlaslive" TargetMode="External" /><Relationship Type="http://schemas.openxmlformats.org/officeDocument/2006/relationships/hyperlink" Id="rId11" Target="https://onlyigaming.com/companies/betconstruct" TargetMode="External" /><Relationship Type="http://schemas.openxmlformats.org/officeDocument/2006/relationships/hyperlink" Id="rId16" Target="https://onlyigaming.com/companies/blueocean-gaming" TargetMode="External" /><Relationship Type="http://schemas.openxmlformats.org/officeDocument/2006/relationships/hyperlink" Id="rId17" Target="https://onlyigaming.com/companies/everymatrix" TargetMode="External" /><Relationship Type="http://schemas.openxmlformats.org/officeDocument/2006/relationships/hyperlink" Id="rId14" Target="https://onlyigaming.com/companies/nuxgame" TargetMode="External" /><Relationship Type="http://schemas.openxmlformats.org/officeDocument/2006/relationships/hyperlink" Id="rId18" Target="https://onlyigaming.com/companies/playtech" TargetMode="External" /><Relationship Type="http://schemas.openxmlformats.org/officeDocument/2006/relationships/hyperlink" Id="rId10" Target="https://onlyigaming.com/companies/salsa-technology" TargetMode="External" /><Relationship Type="http://schemas.openxmlformats.org/officeDocument/2006/relationships/hyperlink" Id="rId15" Target="https://onlyigaming.com/companies/slotegrator" TargetMode="External" /><Relationship Type="http://schemas.openxmlformats.org/officeDocument/2006/relationships/hyperlink" Id="rId12" Target="https://onlyigaming.com/companies/softswiss" TargetMode="External" /><Relationship Type="http://schemas.openxmlformats.org/officeDocument/2006/relationships/hyperlink" Id="rId34" Target="https://onlyigaming.com/companies?category=casino-platforms" TargetMode="External" /></Relationships>
</file>

<file path=word/_rels/footnotes.xml.rels><?xml version="1.0" encoding="UTF-8"?><Relationships xmlns="http://schemas.openxmlformats.org/package/2006/relationships"><Relationship Type="http://schemas.openxmlformats.org/officeDocument/2006/relationships/hyperlink" Id="rId9" Target="/guides/best-casino-platforms-2026" TargetMode="External" /><Relationship Type="http://schemas.openxmlformats.org/officeDocument/2006/relationships/hyperlink" Id="rId13" Target="https://onlyigaming.com/companies/atlaslive" TargetMode="External" /><Relationship Type="http://schemas.openxmlformats.org/officeDocument/2006/relationships/hyperlink" Id="rId11" Target="https://onlyigaming.com/companies/betconstruct" TargetMode="External" /><Relationship Type="http://schemas.openxmlformats.org/officeDocument/2006/relationships/hyperlink" Id="rId16" Target="https://onlyigaming.com/companies/blueocean-gaming" TargetMode="External" /><Relationship Type="http://schemas.openxmlformats.org/officeDocument/2006/relationships/hyperlink" Id="rId17" Target="https://onlyigaming.com/companies/everymatrix" TargetMode="External" /><Relationship Type="http://schemas.openxmlformats.org/officeDocument/2006/relationships/hyperlink" Id="rId14" Target="https://onlyigaming.com/companies/nuxgame" TargetMode="External" /><Relationship Type="http://schemas.openxmlformats.org/officeDocument/2006/relationships/hyperlink" Id="rId18" Target="https://onlyigaming.com/companies/playtech" TargetMode="External" /><Relationship Type="http://schemas.openxmlformats.org/officeDocument/2006/relationships/hyperlink" Id="rId10" Target="https://onlyigaming.com/companies/salsa-technology" TargetMode="External" /><Relationship Type="http://schemas.openxmlformats.org/officeDocument/2006/relationships/hyperlink" Id="rId15" Target="https://onlyigaming.com/companies/slotegrator" TargetMode="External" /><Relationship Type="http://schemas.openxmlformats.org/officeDocument/2006/relationships/hyperlink" Id="rId12" Target="https://onlyigaming.com/companies/softswiss" TargetMode="External" /><Relationship Type="http://schemas.openxmlformats.org/officeDocument/2006/relationships/hyperlink" Id="rId34" Target="https://onlyigaming.com/companies?category=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Casino Platforms for Emerging Markets in 2026</dc:title>
  <dc:creator>OnlyiGaming Editorial</dc:creator>
  <cp:category>Guides</cp:category>
  <cp:keywords/>
  <dcterms:created xsi:type="dcterms:W3CDTF">2026-06-02T14:56:00Z</dcterms:created>
  <dcterms:modified xsi:type="dcterms:W3CDTF">2026-06-02T14:56:00Z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Best Casino Platforms for Emerging Markets</vt:lpwstr>
  </property>
  <property fmtid="{D5CDD505-2E9C-101B-9397-08002B2CF9AE}" pid="3" name="card_subheadline">
    <vt:lpwstr>Compare 9 platforms built for local payments, mobile-first performance, and regulatory uncertainty in LATAM, Africa, and Asia.</vt:lpwstr>
  </property>
  <property fmtid="{D5CDD505-2E9C-101B-9397-08002B2CF9AE}" pid="4" name="date">
    <vt:lpwstr>2026-06-02</vt:lpwstr>
  </property>
  <property fmtid="{D5CDD505-2E9C-101B-9397-08002B2CF9AE}" pid="5" name="faq_schema">
    <vt:lpwstr>True</vt:lpwstr>
  </property>
  <property fmtid="{D5CDD505-2E9C-101B-9397-08002B2CF9AE}" pid="6" name="last_updated">
    <vt:lpwstr>2026-06-02</vt:lpwstr>
  </property>
  <property fmtid="{D5CDD505-2E9C-101B-9397-08002B2CF9AE}" pid="7" name="last_verified">
    <vt:lpwstr>2026-06-02</vt:lpwstr>
  </property>
  <property fmtid="{D5CDD505-2E9C-101B-9397-08002B2CF9AE}" pid="8" name="meta_description">
    <vt:lpwstr>Independent comparison of casino platforms for emerging markets. PIX, M-Pesa, mobile-first performance, and regulatory coverage for LATAM, Africa, Asia expansion.</vt:lpwstr>
  </property>
  <property fmtid="{D5CDD505-2E9C-101B-9397-08002B2CF9AE}" pid="9" name="meta_title">
    <vt:lpwstr>Best Casino Platforms for Emerging Markets 2026 | OnlyiGaming</vt:lpwstr>
  </property>
  <property fmtid="{D5CDD505-2E9C-101B-9397-08002B2CF9AE}" pid="10" name="parent_pillar">
    <vt:lpwstr>/guides/best-casino-platforms-2026</vt:lpwstr>
  </property>
  <property fmtid="{D5CDD505-2E9C-101B-9397-08002B2CF9AE}" pid="11" name="primary_keyword">
    <vt:lpwstr>best casino platforms for emerging markets</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best-casino-platforms-emerging-markets</vt:lpwstr>
  </property>
  <property fmtid="{D5CDD505-2E9C-101B-9397-08002B2CF9AE}" pid="16" name="type">
    <vt:lpwstr>satellite-best-for</vt:lpwstr>
  </property>
</Properties>
</file>