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Best Casino Platforms for Startups in 2026</w:t>
      </w:r>
    </w:p>
    <w:p>
      <w:pPr>
        <w:pStyle w:val="Author"/>
      </w:pPr>
      <w:r>
        <w:t xml:space="preserve">OnlyiGaming Editorial</w:t>
      </w:r>
    </w:p>
    <w:p>
      <w:pPr>
        <w:pStyle w:val="Date"/>
      </w:pPr>
      <w:r>
        <w:t xml:space="preserve">2026-04-07</w:t>
      </w:r>
    </w:p>
    <w:bookmarkStart w:id="44" w:name="X0e2ade26499058c94c92c0c73cd6434336f9e5e"/>
    <w:p>
      <w:pPr>
        <w:pStyle w:val="Heading1"/>
      </w:pPr>
      <w:r>
        <w:t xml:space="preserve">Best Casino Platforms for Startups in 2026</w:t>
      </w:r>
    </w:p>
    <w:p>
      <w:pPr>
        <w:pStyle w:val="FirstParagraph"/>
      </w:pPr>
      <w:r>
        <w:t xml:space="preserve">Your platform choice will follow you for years. Migrations are expensive, disruptive, and take longer than anyone estimates. Most operators who have been through one say the same thing: they wish they had spent more time on the original decision. Most casino platforms target established operators with dedicated tech teams and predictable cash flow. Startups face different constraints. These include tight budgets, aggressive launch timelines, uncertain regulatory footprints, and the need to prove market fit before making long-term technology commitments. The best casino platform for startups must balance speed versus flexibility, low upfront cost versus total cost of ownership, and simplicity versus growth headroom. The wrong platform choice locks you into commercial terms that become punishing at scale, or technical architectures you will outgrow within 18 months.</w:t>
      </w:r>
    </w:p>
    <w:p>
      <w:pPr>
        <w:pStyle w:val="BodyText"/>
      </w:pPr>
      <w:r>
        <w:t xml:space="preserve">Startup casino platform selection is fundamentally about managing three tensions: speed versus flexibility, low upfront cost versus total cost of ownership, and simplicity versus growth headroom. The platforms that excel for Fortune 500 casino launches often suffocate bootstrap operations. Those optimized for quick launches sometimes trap operators in expensive revenue-sharing deals or technical limitations.</w:t>
      </w:r>
    </w:p>
    <w:p>
      <w:pPr>
        <w:pStyle w:val="BodyText"/>
      </w:pPr>
      <w:r>
        <w:t xml:space="preserve">For the complete feature-by-feature comparison across all operator types, see our</w:t>
      </w:r>
      <w:r>
        <w:t xml:space="preserve"> </w:t>
      </w:r>
      <w:hyperlink r:id="rId9">
        <w:r>
          <w:rPr>
            <w:rStyle w:val="Hyperlink"/>
          </w:rPr>
          <w:t xml:space="preserve">comprehensive casino platform guide</w:t>
        </w:r>
      </w:hyperlink>
      <w:r>
        <w:t xml:space="preserve">. This analysis narrows that evaluation to vendors and criteria that matter specifically for startup operators.</w:t>
      </w:r>
    </w:p>
    <w:p>
      <w:pPr>
        <w:pStyle w:val="BodyText"/>
      </w:pPr>
      <w:r>
        <w:rPr>
          <w:b/>
          <w:bCs/>
        </w:rPr>
        <w:t xml:space="preserve">Your launch scenario determines your platform choice:</w:t>
      </w:r>
      <w:r>
        <w:t xml:space="preserve"> </w:t>
      </w:r>
      <w:r>
        <w:t xml:space="preserve">-</w:t>
      </w:r>
      <w:r>
        <w:t xml:space="preserve"> </w:t>
      </w:r>
      <w:r>
        <w:rPr>
          <w:b/>
          <w:bCs/>
        </w:rPr>
        <w:t xml:space="preserve">Budget under $100K, need revenue within 8 weeks:</w:t>
      </w:r>
      <w:r>
        <w:t xml:space="preserve"> </w:t>
      </w:r>
      <w:r>
        <w:t xml:space="preserve">Focus on Pricing Model and Speed to Market sections. NuxGame and BlueOcean Gaming offer the fastest path to revenue.</w:t>
      </w:r>
      <w:r>
        <w:t xml:space="preserve"> </w:t>
      </w:r>
      <w:r>
        <w:t xml:space="preserve">-</w:t>
      </w:r>
      <w:r>
        <w:t xml:space="preserve"> </w:t>
      </w:r>
      <w:r>
        <w:rPr>
          <w:b/>
          <w:bCs/>
        </w:rPr>
        <w:t xml:space="preserve">Crypto-first launch in unregulated markets:</w:t>
      </w:r>
      <w:r>
        <w:t xml:space="preserve"> </w:t>
      </w:r>
      <w:r>
        <w:t xml:space="preserve">See Payment Flexibility section. GR8 Tech and SOFTSWISS handle crypto operations without traditional banking overhead.</w:t>
      </w:r>
      <w:r>
        <w:t xml:space="preserve"> </w:t>
      </w:r>
      <w:r>
        <w:t xml:space="preserve">-</w:t>
      </w:r>
      <w:r>
        <w:t xml:space="preserve"> </w:t>
      </w:r>
      <w:r>
        <w:rPr>
          <w:b/>
          <w:bCs/>
        </w:rPr>
        <w:t xml:space="preserve">Planning regulated market entry within 12 months:</w:t>
      </w:r>
      <w:r>
        <w:t xml:space="preserve"> </w:t>
      </w:r>
      <w:r>
        <w:t xml:space="preserve">Check Support Tier and Regulatory sections. Soft2Bet and EveryMatrix provide growth paths into MGA licensing.</w:t>
      </w:r>
      <w:r>
        <w:t xml:space="preserve"> </w:t>
      </w:r>
      <w:r>
        <w:t xml:space="preserve">-</w:t>
      </w:r>
      <w:r>
        <w:t xml:space="preserve"> </w:t>
      </w:r>
      <w:r>
        <w:rPr>
          <w:b/>
          <w:bCs/>
        </w:rPr>
        <w:t xml:space="preserve">Non-technical founding team:</w:t>
      </w:r>
      <w:r>
        <w:t xml:space="preserve"> </w:t>
      </w:r>
      <w:r>
        <w:t xml:space="preserve">Operational Complexity section covers platforms that do not assume development resources.</w:t>
      </w:r>
    </w:p>
    <w:p>
      <w:pPr>
        <w:pStyle w:val="BlockText"/>
      </w:pPr>
      <w:r>
        <w:rPr>
          <w:b/>
          <w:bCs/>
        </w:rPr>
        <w:t xml:space="preserve">Quick verdict for startups:</w:t>
      </w:r>
      <w:r>
        <w:t xml:space="preserve"> </w:t>
      </w:r>
      <w:r>
        <w:t xml:space="preserve">NuxGame offers the lowest barrier to entry with revenue-sharing and 2-week launch times. SOFTSWISS provides the best crypto-fiat flexibility for global market testing. Soft2Bet balances turnkey launch with genuine growth headroom. Avoid Playtech and BetConstruct unless you have enterprise budgets and timelines.</w:t>
      </w:r>
    </w:p>
    <w:bookmarkStart w:id="17" w:name="platform-comparison-for-startups"/>
    <w:p>
      <w:pPr>
        <w:pStyle w:val="Heading2"/>
      </w:pPr>
      <w:r>
        <w:t xml:space="preserve">Platform Comparison for Startups</w:t>
      </w:r>
    </w:p>
    <w:tbl>
      <w:tblPr>
        <w:tblStyle w:val="Table"/>
        <w:tblW w:type="pct" w:w="5000"/>
        <w:tblLayout w:type="fixed"/>
        <w:tblLook w:firstRow="1" w:lastRow="0" w:firstColumn="0" w:lastColumn="0" w:noHBand="0" w:noVBand="0" w:val="0020"/>
      </w:tblPr>
      <w:tblGrid>
        <w:gridCol w:w="931"/>
        <w:gridCol w:w="1304"/>
        <w:gridCol w:w="1677"/>
        <w:gridCol w:w="1584"/>
        <w:gridCol w:w="1490"/>
        <w:gridCol w:w="931"/>
      </w:tblGrid>
      <w:tr>
        <w:trPr>
          <w:tblHeader w:val="on"/>
        </w:trPr>
        <w:tc>
          <w:tcPr/>
          <w:p>
            <w:pPr>
              <w:pStyle w:val="Compact"/>
            </w:pPr>
            <w:r>
              <w:t xml:space="preserve">Provider</w:t>
            </w:r>
          </w:p>
        </w:tc>
        <w:tc>
          <w:tcPr/>
          <w:p>
            <w:pPr>
              <w:pStyle w:val="Compact"/>
            </w:pPr>
            <w:r>
              <w:t xml:space="preserve">Revenue Share</w:t>
            </w:r>
          </w:p>
        </w:tc>
        <w:tc>
          <w:tcPr/>
          <w:p>
            <w:pPr>
              <w:pStyle w:val="Compact"/>
            </w:pPr>
            <w:r>
              <w:t xml:space="preserve">Contract Minimum</w:t>
            </w:r>
          </w:p>
        </w:tc>
        <w:tc>
          <w:tcPr/>
          <w:p>
            <w:pPr>
              <w:pStyle w:val="Compact"/>
            </w:pPr>
            <w:r>
              <w:t xml:space="preserve">Launch Timeline</w:t>
            </w:r>
          </w:p>
        </w:tc>
        <w:tc>
          <w:tcPr/>
          <w:p>
            <w:pPr>
              <w:pStyle w:val="Compact"/>
            </w:pPr>
            <w:r>
              <w:t xml:space="preserve">Growth Ceiling</w:t>
            </w:r>
          </w:p>
        </w:tc>
        <w:tc>
          <w:tcPr/>
          <w:p>
            <w:pPr>
              <w:pStyle w:val="Compact"/>
            </w:pPr>
            <w:r>
              <w:t xml:space="preserve">Best For</w:t>
            </w:r>
          </w:p>
        </w:tc>
      </w:tr>
      <w:tr>
        <w:tc>
          <w:tcPr/>
          <w:p>
            <w:pPr>
              <w:pStyle w:val="Compact"/>
            </w:pPr>
            <w:hyperlink r:id="rId10">
              <w:r>
                <w:rPr>
                  <w:rStyle w:val="Hyperlink"/>
                </w:rPr>
                <w:t xml:space="preserve">NuxGame</w:t>
              </w:r>
            </w:hyperlink>
          </w:p>
        </w:tc>
        <w:tc>
          <w:tcPr/>
          <w:p>
            <w:pPr>
              <w:pStyle w:val="Compact"/>
            </w:pPr>
            <w:r>
              <w:t xml:space="preserve">10-18%</w:t>
            </w:r>
          </w:p>
        </w:tc>
        <w:tc>
          <w:tcPr/>
          <w:p>
            <w:pPr>
              <w:pStyle w:val="Compact"/>
            </w:pPr>
            <w:r>
              <w:t xml:space="preserve">12 months</w:t>
            </w:r>
          </w:p>
        </w:tc>
        <w:tc>
          <w:tcPr/>
          <w:p>
            <w:pPr>
              <w:pStyle w:val="Compact"/>
            </w:pPr>
            <w:r>
              <w:t xml:space="preserve">1-2 weeks</w:t>
            </w:r>
          </w:p>
        </w:tc>
        <w:tc>
          <w:tcPr/>
          <w:p>
            <w:pPr>
              <w:pStyle w:val="Compact"/>
            </w:pPr>
            <w:r>
              <w:t xml:space="preserve">$500K monthly GGR</w:t>
            </w:r>
          </w:p>
        </w:tc>
        <w:tc>
          <w:tcPr/>
          <w:p>
            <w:pPr>
              <w:pStyle w:val="Compact"/>
            </w:pPr>
            <w:r>
              <w:t xml:space="preserve">Budget launches</w:t>
            </w:r>
          </w:p>
        </w:tc>
      </w:tr>
      <w:tr>
        <w:tc>
          <w:tcPr/>
          <w:p>
            <w:pPr>
              <w:pStyle w:val="Compact"/>
            </w:pPr>
            <w:hyperlink r:id="rId11">
              <w:r>
                <w:rPr>
                  <w:rStyle w:val="Hyperlink"/>
                </w:rPr>
                <w:t xml:space="preserve">BlueOcean Gaming</w:t>
              </w:r>
            </w:hyperlink>
          </w:p>
        </w:tc>
        <w:tc>
          <w:tcPr/>
          <w:p>
            <w:pPr>
              <w:pStyle w:val="Compact"/>
            </w:pPr>
            <w:r>
              <w:t xml:space="preserve">Pricing not publicly disclosed - contact vendor</w:t>
            </w:r>
          </w:p>
        </w:tc>
        <w:tc>
          <w:tcPr/>
          <w:p>
            <w:pPr>
              <w:pStyle w:val="Compact"/>
            </w:pPr>
            <w:r>
              <w:t xml:space="preserve">24 months</w:t>
            </w:r>
          </w:p>
        </w:tc>
        <w:tc>
          <w:tcPr/>
          <w:p>
            <w:pPr>
              <w:pStyle w:val="Compact"/>
            </w:pPr>
            <w:r>
              <w:t xml:space="preserve">Contact vendor for details</w:t>
            </w:r>
          </w:p>
        </w:tc>
        <w:tc>
          <w:tcPr/>
          <w:p>
            <w:pPr>
              <w:pStyle w:val="Compact"/>
            </w:pPr>
            <w:r>
              <w:t xml:space="preserve">$1M monthly GGR</w:t>
            </w:r>
          </w:p>
        </w:tc>
        <w:tc>
          <w:tcPr/>
          <w:p>
            <w:pPr>
              <w:pStyle w:val="Compact"/>
            </w:pPr>
            <w:r>
              <w:t xml:space="preserve">Non-technical teams</w:t>
            </w:r>
          </w:p>
        </w:tc>
      </w:tr>
      <w:tr>
        <w:tc>
          <w:tcPr/>
          <w:p>
            <w:pPr>
              <w:pStyle w:val="Compact"/>
            </w:pPr>
            <w:hyperlink r:id="rId12">
              <w:r>
                <w:rPr>
                  <w:rStyle w:val="Hyperlink"/>
                </w:rPr>
                <w:t xml:space="preserve">GR8 Tech</w:t>
              </w:r>
            </w:hyperlink>
          </w:p>
        </w:tc>
        <w:tc>
          <w:tcPr/>
          <w:p>
            <w:pPr>
              <w:pStyle w:val="Compact"/>
            </w:pPr>
            <w:r>
              <w:t xml:space="preserve">10-15%</w:t>
            </w:r>
          </w:p>
        </w:tc>
        <w:tc>
          <w:tcPr/>
          <w:p>
            <w:pPr>
              <w:pStyle w:val="Compact"/>
            </w:pPr>
            <w:r>
              <w:t xml:space="preserve">12 months</w:t>
            </w:r>
          </w:p>
        </w:tc>
        <w:tc>
          <w:tcPr/>
          <w:p>
            <w:pPr>
              <w:pStyle w:val="Compact"/>
            </w:pPr>
            <w:r>
              <w:t xml:space="preserve">2-3 weeks</w:t>
            </w:r>
          </w:p>
        </w:tc>
        <w:tc>
          <w:tcPr/>
          <w:p>
            <w:pPr>
              <w:pStyle w:val="Compact"/>
            </w:pPr>
            <w:r>
              <w:t xml:space="preserve">$300K monthly GGR</w:t>
            </w:r>
          </w:p>
        </w:tc>
        <w:tc>
          <w:tcPr/>
          <w:p>
            <w:pPr>
              <w:pStyle w:val="Compact"/>
            </w:pPr>
            <w:r>
              <w:t xml:space="preserve">Crypto-only casinos</w:t>
            </w:r>
          </w:p>
        </w:tc>
      </w:tr>
      <w:tr>
        <w:tc>
          <w:tcPr/>
          <w:p>
            <w:pPr>
              <w:pStyle w:val="Compact"/>
            </w:pPr>
            <w:hyperlink r:id="rId13">
              <w:r>
                <w:rPr>
                  <w:rStyle w:val="Hyperlink"/>
                </w:rPr>
                <w:t xml:space="preserve">SOFTSWISS</w:t>
              </w:r>
            </w:hyperlink>
          </w:p>
        </w:tc>
        <w:tc>
          <w:tcPr/>
          <w:p>
            <w:pPr>
              <w:pStyle w:val="Compact"/>
            </w:pPr>
            <w:r>
              <w:t xml:space="preserve">Revenue share or license</w:t>
            </w:r>
          </w:p>
        </w:tc>
        <w:tc>
          <w:tcPr/>
          <w:p>
            <w:pPr>
              <w:pStyle w:val="Compact"/>
            </w:pPr>
            <w:r>
              <w:t xml:space="preserve">24 months</w:t>
            </w:r>
          </w:p>
        </w:tc>
        <w:tc>
          <w:tcPr/>
          <w:p>
            <w:pPr>
              <w:pStyle w:val="Compact"/>
            </w:pPr>
            <w:r>
              <w:t xml:space="preserve">6-8 weeks</w:t>
            </w:r>
          </w:p>
        </w:tc>
        <w:tc>
          <w:tcPr/>
          <w:p>
            <w:pPr>
              <w:pStyle w:val="Compact"/>
            </w:pPr>
            <w:r>
              <w:t xml:space="preserve">No ceiling</w:t>
            </w:r>
          </w:p>
        </w:tc>
        <w:tc>
          <w:tcPr/>
          <w:p>
            <w:pPr>
              <w:pStyle w:val="Compact"/>
            </w:pPr>
            <w:r>
              <w:t xml:space="preserve">Hybrid crypto-fiat</w:t>
            </w:r>
          </w:p>
        </w:tc>
      </w:tr>
      <w:tr>
        <w:tc>
          <w:tcPr/>
          <w:p>
            <w:pPr>
              <w:pStyle w:val="Compact"/>
            </w:pPr>
            <w:hyperlink r:id="rId14">
              <w:r>
                <w:rPr>
                  <w:rStyle w:val="Hyperlink"/>
                </w:rPr>
                <w:t xml:space="preserve">Soft2Bet</w:t>
              </w:r>
            </w:hyperlink>
          </w:p>
        </w:tc>
        <w:tc>
          <w:tcPr/>
          <w:p>
            <w:pPr>
              <w:pStyle w:val="Compact"/>
            </w:pPr>
            <w:r>
              <w:t xml:space="preserve">Revenue share or license</w:t>
            </w:r>
          </w:p>
        </w:tc>
        <w:tc>
          <w:tcPr/>
          <w:p>
            <w:pPr>
              <w:pStyle w:val="Compact"/>
            </w:pPr>
            <w:r>
              <w:t xml:space="preserve">18 months</w:t>
            </w:r>
          </w:p>
        </w:tc>
        <w:tc>
          <w:tcPr/>
          <w:p>
            <w:pPr>
              <w:pStyle w:val="Compact"/>
            </w:pPr>
            <w:r>
              <w:t xml:space="preserve">4-6 weeks</w:t>
            </w:r>
          </w:p>
        </w:tc>
        <w:tc>
          <w:tcPr/>
          <w:p>
            <w:pPr>
              <w:pStyle w:val="Compact"/>
            </w:pPr>
            <w:r>
              <w:t xml:space="preserve">Scales to enterprise</w:t>
            </w:r>
          </w:p>
        </w:tc>
        <w:tc>
          <w:tcPr/>
          <w:p>
            <w:pPr>
              <w:pStyle w:val="Compact"/>
            </w:pPr>
            <w:r>
              <w:t xml:space="preserve">Retention-focused</w:t>
            </w:r>
          </w:p>
        </w:tc>
      </w:tr>
      <w:tr>
        <w:tc>
          <w:tcPr/>
          <w:p>
            <w:pPr>
              <w:pStyle w:val="Compact"/>
            </w:pPr>
            <w:hyperlink r:id="rId15">
              <w:r>
                <w:rPr>
                  <w:rStyle w:val="Hyperlink"/>
                </w:rPr>
                <w:t xml:space="preserve">Slotegrator</w:t>
              </w:r>
            </w:hyperlink>
          </w:p>
        </w:tc>
        <w:tc>
          <w:tcPr/>
          <w:p>
            <w:pPr>
              <w:pStyle w:val="Compact"/>
            </w:pPr>
            <w:r>
              <w:t xml:space="preserve">15-25%</w:t>
            </w:r>
          </w:p>
        </w:tc>
        <w:tc>
          <w:tcPr/>
          <w:p>
            <w:pPr>
              <w:pStyle w:val="Compact"/>
            </w:pPr>
            <w:r>
              <w:t xml:space="preserve">12 months</w:t>
            </w:r>
          </w:p>
        </w:tc>
        <w:tc>
          <w:tcPr/>
          <w:p>
            <w:pPr>
              <w:pStyle w:val="Compact"/>
            </w:pPr>
            <w:r>
              <w:t xml:space="preserve">2-4 weeks</w:t>
            </w:r>
          </w:p>
        </w:tc>
        <w:tc>
          <w:tcPr/>
          <w:p>
            <w:pPr>
              <w:pStyle w:val="Compact"/>
            </w:pPr>
            <w:r>
              <w:t xml:space="preserve">No ceiling</w:t>
            </w:r>
          </w:p>
        </w:tc>
        <w:tc>
          <w:tcPr/>
          <w:p>
            <w:pPr>
              <w:pStyle w:val="Compact"/>
            </w:pPr>
            <w:r>
              <w:t xml:space="preserve">Content-first brands</w:t>
            </w:r>
          </w:p>
        </w:tc>
      </w:tr>
      <w:tr>
        <w:tc>
          <w:tcPr/>
          <w:p>
            <w:pPr>
              <w:pStyle w:val="Compact"/>
            </w:pPr>
            <w:hyperlink r:id="rId16">
              <w:r>
                <w:rPr>
                  <w:rStyle w:val="Hyperlink"/>
                </w:rPr>
                <w:t xml:space="preserve">EveryMatrix</w:t>
              </w:r>
            </w:hyperlink>
          </w:p>
        </w:tc>
        <w:tc>
          <w:tcPr/>
          <w:p>
            <w:pPr>
              <w:pStyle w:val="Compact"/>
            </w:pPr>
            <w:r>
              <w:t xml:space="preserve">12-20%</w:t>
            </w:r>
          </w:p>
        </w:tc>
        <w:tc>
          <w:tcPr/>
          <w:p>
            <w:pPr>
              <w:pStyle w:val="Compact"/>
            </w:pPr>
            <w:r>
              <w:t xml:space="preserve">Pricing not publicly disclosed - contact vendor</w:t>
            </w:r>
          </w:p>
        </w:tc>
        <w:tc>
          <w:tcPr/>
          <w:p>
            <w:pPr>
              <w:pStyle w:val="Compact"/>
            </w:pPr>
            <w:r>
              <w:t xml:space="preserve">6-12 weeks</w:t>
            </w:r>
          </w:p>
        </w:tc>
        <w:tc>
          <w:tcPr/>
          <w:p>
            <w:pPr>
              <w:pStyle w:val="Compact"/>
            </w:pPr>
            <w:r>
              <w:t xml:space="preserve">No ceiling</w:t>
            </w:r>
          </w:p>
        </w:tc>
        <w:tc>
          <w:tcPr/>
          <w:p>
            <w:pPr>
              <w:pStyle w:val="Compact"/>
            </w:pPr>
            <w:r>
              <w:t xml:space="preserve">Technical startups</w:t>
            </w:r>
          </w:p>
        </w:tc>
      </w:tr>
    </w:tbl>
    <w:bookmarkEnd w:id="17"/>
    <w:bookmarkStart w:id="18" w:name="X352449c27cf472ba85c62c386b665565891acfe"/>
    <w:p>
      <w:pPr>
        <w:pStyle w:val="Heading2"/>
      </w:pPr>
      <w:r>
        <w:t xml:space="preserve">Casino Platform Pricing Model at This Operator Scale</w:t>
      </w:r>
    </w:p>
    <w:p>
      <w:pPr>
        <w:pStyle w:val="FirstParagraph"/>
      </w:pPr>
      <w:r>
        <w:t xml:space="preserve">Revenue-sharing versus license fees create fundamentally different cash flow profiles. For startups generating under $100K monthly GGR, revenue-sharing eliminates upfront platform costs but becomes expensive as you scale. The break-even point where license fees become favorable varies by provider, but generally falls between $300K-500K monthly GGR.</w:t>
      </w:r>
    </w:p>
    <w:p>
      <w:pPr>
        <w:pStyle w:val="BodyText"/>
      </w:pPr>
      <w:r>
        <w:rPr>
          <w:b/>
          <w:bCs/>
        </w:rPr>
        <w:t xml:space="preserve">NuxGame operates with a revenue-sharing model</w:t>
      </w:r>
      <w:r>
        <w:t xml:space="preserve"> </w:t>
      </w:r>
      <w:r>
        <w:t xml:space="preserve">in the 10-18% range. They also list a setup investment ranging from €15,000 to €50,000. Their model covers platform access, hosting, basic support, and game library access through a single commercial relationship. The trade-off: once you are generating $500K monthly GGR, in our assessment, you are paying $50K-90K monthly to NuxGame alone. That is when migration becomes financially necessary.</w:t>
      </w:r>
    </w:p>
    <w:p>
      <w:pPr>
        <w:pStyle w:val="BodyText"/>
      </w:pPr>
      <w:r>
        <w:rPr>
          <w:b/>
          <w:bCs/>
        </w:rPr>
        <w:t xml:space="preserve">BlueOcean Gaming’s revenue share is negotiable.</w:t>
      </w:r>
      <w:r>
        <w:t xml:space="preserve"> </w:t>
      </w:r>
      <w:r>
        <w:t xml:space="preserve">Public sources do not specify a fixed percentage range. While BlueOcean Gaming mentions offering a unified back-office and complimentary technical support, the extent of operational services like full customer support in multiple languages or payment dispute resolution included in the revenue share is not publicly detailed. Their revenue share rates, once negotiated, may be at the high end, making them expensive at scale.</w:t>
      </w:r>
    </w:p>
    <w:p>
      <w:pPr>
        <w:pStyle w:val="BodyText"/>
      </w:pPr>
      <w:r>
        <w:rPr>
          <w:b/>
          <w:bCs/>
        </w:rPr>
        <w:t xml:space="preserve">GR8 Tech uses a revenue-sharing model</w:t>
      </w:r>
      <w:r>
        <w:t xml:space="preserve"> </w:t>
      </w:r>
      <w:r>
        <w:t xml:space="preserve">of 10-15%. They provide a complete Crypto Turnkey solution. This solution features smooth crypto payments, flexible multi-wallet capabilities, and engagement mechanics designed to boost GGR. This works for operators testing crypto market concepts without extensive operational overhead. But, in our assessment, it is a model that can become expensive once you achieve meaningful scale.</w:t>
      </w:r>
    </w:p>
    <w:p>
      <w:pPr>
        <w:pStyle w:val="BodyText"/>
      </w:pPr>
      <w:r>
        <w:rPr>
          <w:b/>
          <w:bCs/>
        </w:rPr>
        <w:t xml:space="preserve">SOFTSWISS offers both models</w:t>
      </w:r>
      <w:r>
        <w:t xml:space="preserve">. These include revenue sharing for quick starts, or license fees for operators with upfront capital. Their setup investment is typically between €50,000 and €150,000, and revenue share is in the 15-25% range. This makes financial sense once you are consistently generating over $400K monthly GGR. They also provide migration assistance for affiliate platforms, implying a capability for other products.</w:t>
      </w:r>
    </w:p>
    <w:p>
      <w:pPr>
        <w:pStyle w:val="BodyText"/>
      </w:pPr>
      <w:r>
        <w:rPr>
          <w:b/>
          <w:bCs/>
        </w:rPr>
        <w:t xml:space="preserve">The revenue-sharing trap</w:t>
      </w:r>
      <w:r>
        <w:t xml:space="preserve"> </w:t>
      </w:r>
      <w:r>
        <w:t xml:space="preserve">becomes visible around month 12-18. Successful startups often find that their platform costs are growing faster than their profit margins. A casino generating $300K monthly GGR on a 25% revenue share pays $75K monthly to the platform provider - often more than the founder’s salary.</w:t>
      </w:r>
    </w:p>
    <w:p>
      <w:pPr>
        <w:pStyle w:val="BodyText"/>
      </w:pPr>
      <w:r>
        <w:rPr>
          <w:b/>
          <w:bCs/>
        </w:rPr>
        <w:t xml:space="preserve">What to verify before signing:</w:t>
      </w:r>
      <w:r>
        <w:t xml:space="preserve"> </w:t>
      </w:r>
      <w:r>
        <w:t xml:space="preserve">Get the exact revenue share percentage in writing, including any volume-based tiers. Request the calculation methodology - some providers use GGR, others use NGR after bonuses. Ask for written confirmation of when you can migrate to license fee models and what that transition costs.</w:t>
      </w:r>
    </w:p>
    <w:p>
      <w:pPr>
        <w:pStyle w:val="BodyText"/>
      </w:pPr>
      <w:r>
        <w:rPr>
          <w:b/>
          <w:bCs/>
        </w:rPr>
        <w:t xml:space="preserve">Trap question for vendors:</w:t>
      </w:r>
      <w:r>
        <w:t xml:space="preserve"> </w:t>
      </w:r>
      <w:r>
        <w:t xml:space="preserve">“At what monthly GGR does your revenue-sharing model become more expensive than your license fee model? Show us the math.”</w:t>
      </w:r>
      <w:r>
        <w:t xml:space="preserve"> </w:t>
      </w:r>
      <w:r>
        <w:t xml:space="preserve">Honest vendors provide spreadsheets. Evasive vendors dodge with generic answers about</w:t>
      </w:r>
      <w:r>
        <w:t xml:space="preserve"> </w:t>
      </w:r>
      <w:r>
        <w:t xml:space="preserve">“working with operators of all sizes.”</w:t>
      </w:r>
    </w:p>
    <w:bookmarkEnd w:id="18"/>
    <w:bookmarkStart w:id="19" w:name="Xfa2eef4e7e4caa97e00ff455810932717ae15e5"/>
    <w:p>
      <w:pPr>
        <w:pStyle w:val="Heading2"/>
      </w:pPr>
      <w:r>
        <w:t xml:space="preserve">Operational Complexity and Team Requirements</w:t>
      </w:r>
    </w:p>
    <w:p>
      <w:pPr>
        <w:pStyle w:val="FirstParagraph"/>
      </w:pPr>
      <w:r>
        <w:t xml:space="preserve">Startup casino platforms fall into three operational tiers: fully managed (you focus on marketing), semi-managed (you handle player-facing operations), and self-managed (you need technical resources). Your team composition should drive this choice more than feature comparisons.</w:t>
      </w:r>
    </w:p>
    <w:p>
      <w:pPr>
        <w:pStyle w:val="BodyText"/>
      </w:pPr>
      <w:r>
        <w:rPr>
          <w:b/>
          <w:bCs/>
        </w:rPr>
        <w:t xml:space="preserve">BlueOcean Gaming offers operational support options.</w:t>
      </w:r>
      <w:r>
        <w:t xml:space="preserve"> </w:t>
      </w:r>
      <w:r>
        <w:t xml:space="preserve">They provide complimentary technical support and a unified backoffice. While they aim to simplify operations, specific services like handling customer support tickets in multiple languages or payment dispute resolution as complete outsourcing are not fully detailed in public sources. The individual operator remains responsible for compliance. This works if you lack operational experience but may become limiting as you want more control over player experience.</w:t>
      </w:r>
    </w:p>
    <w:p>
      <w:pPr>
        <w:pStyle w:val="BodyText"/>
      </w:pPr>
      <w:r>
        <w:rPr>
          <w:b/>
          <w:bCs/>
        </w:rPr>
        <w:t xml:space="preserve">NuxGame provides semi-managed operations.</w:t>
      </w:r>
      <w:r>
        <w:t xml:space="preserve"> </w:t>
      </w:r>
      <w:r>
        <w:t xml:space="preserve">They handle technical infrastructure and basic support. However, they expect you to manage marketing campaigns, bonus strategies, and player retention programs. This middle ground works well for teams with marketing experience but limited technical resources.</w:t>
      </w:r>
    </w:p>
    <w:p>
      <w:pPr>
        <w:pStyle w:val="BodyText"/>
      </w:pPr>
      <w:r>
        <w:rPr>
          <w:b/>
          <w:bCs/>
        </w:rPr>
        <w:t xml:space="preserve">GR8 Tech offers a complete Crypto Turnkey solution.</w:t>
      </w:r>
      <w:r>
        <w:t xml:space="preserve"> </w:t>
      </w:r>
      <w:r>
        <w:t xml:space="preserve">While they provide solid platform features and engagement mechanics to boost GGR, claims of handling player acquisition campaigns as a complete outsourced service are not explicitly detailed in public information. They essentially provide the technology to run a crypto casino business with your branding, but direct outsourced marketing and player acquisition campaigns should be verified with the vendor. The trade-off: you may have minimal direct control over marketing strategy or player experience if you rely heavily on their tools without internal team involvement.</w:t>
      </w:r>
    </w:p>
    <w:p>
      <w:pPr>
        <w:pStyle w:val="BodyText"/>
      </w:pPr>
      <w:r>
        <w:rPr>
          <w:b/>
          <w:bCs/>
        </w:rPr>
        <w:t xml:space="preserve">SOFTSWISS requires more hands-on management</w:t>
      </w:r>
      <w:r>
        <w:t xml:space="preserve"> </w:t>
      </w:r>
      <w:r>
        <w:t xml:space="preserve">even in their turnkey configurations. You will need someone comfortable with API integrations, payment provider relationships, and back-office analytics. Their platform assumes you want control over operational details.</w:t>
      </w:r>
    </w:p>
    <w:p>
      <w:pPr>
        <w:pStyle w:val="BodyText"/>
      </w:pPr>
      <w:r>
        <w:rPr>
          <w:b/>
          <w:bCs/>
        </w:rPr>
        <w:t xml:space="preserve">The hidden operational load</w:t>
      </w:r>
      <w:r>
        <w:t xml:space="preserve"> </w:t>
      </w:r>
      <w:r>
        <w:t xml:space="preserve">varies dramatically between providers. Platforms that promise</w:t>
      </w:r>
      <w:r>
        <w:t xml:space="preserve"> </w:t>
      </w:r>
      <w:r>
        <w:t xml:space="preserve">“turnkey”</w:t>
      </w:r>
      <w:r>
        <w:t xml:space="preserve"> </w:t>
      </w:r>
      <w:r>
        <w:t xml:space="preserve">operations often exclude payment provider applications (2-3 weeks), game provider certifications (1-2 weeks each), and regulatory notifications (varies by market). Budget 4-6 weeks beyond vendor promises for these external dependencies.</w:t>
      </w:r>
    </w:p>
    <w:p>
      <w:pPr>
        <w:pStyle w:val="BodyText"/>
      </w:pPr>
      <w:r>
        <w:rPr>
          <w:b/>
          <w:bCs/>
        </w:rPr>
        <w:t xml:space="preserve">Team size reality check:</w:t>
      </w:r>
      <w:r>
        <w:t xml:space="preserve"> </w:t>
      </w:r>
      <w:r>
        <w:t xml:space="preserve">Successful startup casinos typically need 3-5 full-time people within 6 months: marketing/acquisition lead, customer support, finance/operations, and either a technical resource or agency relationship. Platforms that promise</w:t>
      </w:r>
      <w:r>
        <w:t xml:space="preserve"> </w:t>
      </w:r>
      <w:r>
        <w:t xml:space="preserve">“one-person operations”</w:t>
      </w:r>
      <w:r>
        <w:t xml:space="preserve"> </w:t>
      </w:r>
      <w:r>
        <w:t xml:space="preserve">are usually overselling their automation capabilities.</w:t>
      </w:r>
    </w:p>
    <w:p>
      <w:pPr>
        <w:pStyle w:val="BodyText"/>
      </w:pPr>
      <w:r>
        <w:rPr>
          <w:b/>
          <w:bCs/>
        </w:rPr>
        <w:t xml:space="preserve">What to verify during demos:</w:t>
      </w:r>
      <w:r>
        <w:t xml:space="preserve"> </w:t>
      </w:r>
      <w:r>
        <w:t xml:space="preserve">Ask to see their actual back-office interface, not just marketing screenshots. Test their customer support workflow by submitting a ticket during the evaluation period. Request contact details for their technical support team, not just sales contacts.</w:t>
      </w:r>
    </w:p>
    <w:p>
      <w:pPr>
        <w:pStyle w:val="BodyText"/>
      </w:pPr>
      <w:r>
        <w:rPr>
          <w:b/>
          <w:bCs/>
        </w:rPr>
        <w:t xml:space="preserve">Critical questions about support boundaries:</w:t>
      </w:r>
      <w:r>
        <w:t xml:space="preserve"> </w:t>
      </w:r>
      <w:r>
        <w:t xml:space="preserve">“What issues require us to contact external providers directly versus going through your support?”</w:t>
      </w:r>
      <w:r>
        <w:t xml:space="preserve"> </w:t>
      </w:r>
      <w:r>
        <w:t xml:space="preserve">Platforms with genuine operational outsourcing handle game provider issues, payment disputes, and technical problems without requiring your involvement.</w:t>
      </w:r>
    </w:p>
    <w:bookmarkEnd w:id="19"/>
    <w:bookmarkStart w:id="20" w:name="support-tier-and-service-levels"/>
    <w:p>
      <w:pPr>
        <w:pStyle w:val="Heading2"/>
      </w:pPr>
      <w:r>
        <w:t xml:space="preserve">Support Tier and Service Levels</w:t>
      </w:r>
    </w:p>
    <w:p>
      <w:pPr>
        <w:pStyle w:val="FirstParagraph"/>
      </w:pPr>
      <w:r>
        <w:t xml:space="preserve">Startup support needs differ from enterprise requirements. You need faster response times because you lack internal technical resources. However, you will not pay for dedicated account managers or professional services engagements. Understanding support tier definitions prevents frustrating surprises during critical launch periods.</w:t>
      </w:r>
    </w:p>
    <w:p>
      <w:pPr>
        <w:pStyle w:val="BodyText"/>
      </w:pPr>
      <w:r>
        <w:rPr>
          <w:b/>
          <w:bCs/>
        </w:rPr>
        <w:t xml:space="preserve">NuxGame provides 24/7 customer support.</w:t>
      </w:r>
      <w:r>
        <w:t xml:space="preserve"> </w:t>
      </w:r>
      <w:r>
        <w:t xml:space="preserve">While they aim for prompt service, specific response SLAs of 4-8 hours during business hours are not publicly available. Their support team handles technical integration questions and operational issues. However, they typically do not provide strategic consulting or custom development work. For their target market of budget-conscious startups, this level generally matches the commercial relationship.</w:t>
      </w:r>
    </w:p>
    <w:p>
      <w:pPr>
        <w:pStyle w:val="BodyText"/>
      </w:pPr>
      <w:r>
        <w:rPr>
          <w:b/>
          <w:bCs/>
        </w:rPr>
        <w:t xml:space="preserve">SOFTSWISS offers tiered support</w:t>
      </w:r>
      <w:r>
        <w:t xml:space="preserve"> </w:t>
      </w:r>
      <w:r>
        <w:t xml:space="preserve">based on your commercial model. Revenue-sharing clients typically get standard ticketed support. License fee clients above certain thresholds may get dedicated account managers and phone support. This creates clear upgrade incentives as you scale.</w:t>
      </w:r>
    </w:p>
    <w:p>
      <w:pPr>
        <w:pStyle w:val="BodyText"/>
      </w:pPr>
      <w:r>
        <w:rPr>
          <w:b/>
          <w:bCs/>
        </w:rPr>
        <w:t xml:space="preserve">Soft2Bet aims to provide dedicated account management</w:t>
      </w:r>
      <w:r>
        <w:t xml:space="preserve"> </w:t>
      </w:r>
      <w:r>
        <w:t xml:space="preserve">for long-term relationships. Their support team often includes former operators who can provide strategic guidance beyond technical troubleshooting.</w:t>
      </w:r>
    </w:p>
    <w:p>
      <w:pPr>
        <w:pStyle w:val="BodyText"/>
      </w:pPr>
      <w:r>
        <w:rPr>
          <w:b/>
          <w:bCs/>
        </w:rPr>
        <w:t xml:space="preserve">BlueOcean Gaming’s support model</w:t>
      </w:r>
      <w:r>
        <w:t xml:space="preserve"> </w:t>
      </w:r>
      <w:r>
        <w:t xml:space="preserve">emphasizes complimentary technical support. They handle routine maintenance. However, extensive outsourcing of player complaints or payment issues and providing detailed guidance on growth strategy or custom integrations are not publicly detailed as part of their standard offering.</w:t>
      </w:r>
    </w:p>
    <w:p>
      <w:pPr>
        <w:pStyle w:val="BodyText"/>
      </w:pPr>
      <w:r>
        <w:rPr>
          <w:b/>
          <w:bCs/>
        </w:rPr>
        <w:t xml:space="preserve">The 2am Saturday test:</w:t>
      </w:r>
      <w:r>
        <w:t xml:space="preserve"> </w:t>
      </w:r>
      <w:r>
        <w:t xml:space="preserve">When your casino goes down during peak hours, who answers the phone? Most startup-focused providers offer emergency contact methods, but the definition of</w:t>
      </w:r>
      <w:r>
        <w:t xml:space="preserve"> </w:t>
      </w:r>
      <w:r>
        <w:t xml:space="preserve">“emergency”</w:t>
      </w:r>
      <w:r>
        <w:t xml:space="preserve"> </w:t>
      </w:r>
      <w:r>
        <w:t xml:space="preserve">varies. Payment processing failures usually qualify; slow game loading often does not.</w:t>
      </w:r>
    </w:p>
    <w:p>
      <w:pPr>
        <w:pStyle w:val="BodyText"/>
      </w:pPr>
      <w:r>
        <w:rPr>
          <w:b/>
          <w:bCs/>
        </w:rPr>
        <w:t xml:space="preserve">Support escalation paths</w:t>
      </w:r>
      <w:r>
        <w:t xml:space="preserve"> </w:t>
      </w:r>
      <w:r>
        <w:t xml:space="preserve">matter more for startups than enterprises. With established operators, internal teams can often resolve issues before contacting vendors. Startups rely heavily on provider support during their first 6-12 months of operation.</w:t>
      </w:r>
    </w:p>
    <w:p>
      <w:pPr>
        <w:pStyle w:val="BodyText"/>
      </w:pPr>
      <w:r>
        <w:rPr>
          <w:b/>
          <w:bCs/>
        </w:rPr>
        <w:t xml:space="preserve">What good support looks like:</w:t>
      </w:r>
      <w:r>
        <w:t xml:space="preserve"> </w:t>
      </w:r>
      <w:r>
        <w:t xml:space="preserve">Response acknowledgment within 2 hours, technical resolution within 24 hours for critical issues, access to both technical and business stakeholders, and proactive communication about platform updates or industry changes affecting your operation.</w:t>
      </w:r>
    </w:p>
    <w:p>
      <w:pPr>
        <w:pStyle w:val="BodyText"/>
      </w:pPr>
      <w:r>
        <w:rPr>
          <w:b/>
          <w:bCs/>
        </w:rPr>
        <w:t xml:space="preserve">Red flag support indicators:</w:t>
      </w:r>
      <w:r>
        <w:t xml:space="preserve"> </w:t>
      </w:r>
      <w:r>
        <w:t xml:space="preserve">Generic support email addresses with no named contacts, support teams that cannot answer business questions about your commercial relationship, or vendors who require separate technical support contracts beyond the platform agreement.</w:t>
      </w:r>
    </w:p>
    <w:bookmarkEnd w:id="20"/>
    <w:bookmarkStart w:id="21" w:name="migration-path-and-exit-economics"/>
    <w:p>
      <w:pPr>
        <w:pStyle w:val="Heading2"/>
      </w:pPr>
      <w:r>
        <w:t xml:space="preserve">Migration Path and Exit Economics</w:t>
      </w:r>
    </w:p>
    <w:p>
      <w:pPr>
        <w:pStyle w:val="FirstParagraph"/>
      </w:pPr>
      <w:r>
        <w:rPr>
          <w:b/>
          <w:bCs/>
        </w:rPr>
        <w:t xml:space="preserve">Revenue-sharing models</w:t>
      </w:r>
      <w:r>
        <w:t xml:space="preserve"> </w:t>
      </w:r>
      <w:r>
        <w:t xml:space="preserve">create natural pressure to migrate as you grow. NuxGame, BlueOcean Gaming, and GR8 Tech all expect successful clients to eventually outgrow their offerings. The question is whether they facilitate clean migrations or make leaving expensive through technical dependencies.</w:t>
      </w:r>
    </w:p>
    <w:p>
      <w:pPr>
        <w:pStyle w:val="BodyText"/>
      </w:pPr>
      <w:r>
        <w:rPr>
          <w:b/>
          <w:bCs/>
        </w:rPr>
        <w:t xml:space="preserve">NuxGame provides standard data exports</w:t>
      </w:r>
      <w:r>
        <w:t xml:space="preserve"> </w:t>
      </w:r>
      <w:r>
        <w:t xml:space="preserve">but does not publicly offer migration services to help you move to other platforms. Your player database, transaction history, and operational data are generally portable. However, you will need technical resources to implement them on a new platform. This is manageable for operators with development capabilities.</w:t>
      </w:r>
    </w:p>
    <w:p>
      <w:pPr>
        <w:pStyle w:val="BodyText"/>
      </w:pPr>
      <w:r>
        <w:rPr>
          <w:b/>
          <w:bCs/>
        </w:rPr>
        <w:t xml:space="preserve">SOFTSWISS offers migration assistance for its affiliate platform.</w:t>
      </w:r>
      <w:r>
        <w:t xml:space="preserve"> </w:t>
      </w:r>
      <w:r>
        <w:t xml:space="preserve">This suggests an internal capability to help with data portability and transitions across its product suite. This may reduce migration friction but tends to keep operators within their technology stack. For many startups, this internal scaling path can eliminate the need for external migrations.</w:t>
      </w:r>
    </w:p>
    <w:p>
      <w:pPr>
        <w:pStyle w:val="BodyText"/>
      </w:pPr>
      <w:r>
        <w:rPr>
          <w:b/>
          <w:bCs/>
        </w:rPr>
        <w:t xml:space="preserve">The data portability question</w:t>
      </w:r>
      <w:r>
        <w:t xml:space="preserve"> </w:t>
      </w:r>
      <w:r>
        <w:t xml:space="preserve">varies significantly between providers. Some platforms export clean, standardized data formats. Others provide raw database dumps that require significant technical work to implement elsewhere. Test data export capabilities during your evaluation period, not after you have decided to migrate.</w:t>
      </w:r>
    </w:p>
    <w:p>
      <w:pPr>
        <w:pStyle w:val="BodyText"/>
      </w:pPr>
      <w:r>
        <w:rPr>
          <w:b/>
          <w:bCs/>
        </w:rPr>
        <w:t xml:space="preserve">Contract termination costs</w:t>
      </w:r>
      <w:r>
        <w:t xml:space="preserve"> </w:t>
      </w:r>
      <w:r>
        <w:t xml:space="preserve">often include remaining minimum payments, data export fees, and technical wind-down charges. A 24-month contract with 18 months remaining might cost 50-100% of remaining payments to exit early. Factor these costs into your growth planning.</w:t>
      </w:r>
    </w:p>
    <w:p>
      <w:pPr>
        <w:pStyle w:val="BodyText"/>
      </w:pPr>
      <w:r>
        <w:rPr>
          <w:b/>
          <w:bCs/>
        </w:rPr>
        <w:t xml:space="preserve">Technical lock-in</w:t>
      </w:r>
      <w:r>
        <w:t xml:space="preserve"> </w:t>
      </w:r>
      <w:r>
        <w:t xml:space="preserve">happens gradually through custom integrations, proprietary APIs, and operational dependencies. Platforms that encourage heavy customization often make migration more difficult. Simple, standardized implementations migrate more easily but offer less competitive differentiation.</w:t>
      </w:r>
    </w:p>
    <w:p>
      <w:pPr>
        <w:pStyle w:val="BodyText"/>
      </w:pPr>
      <w:r>
        <w:rPr>
          <w:b/>
          <w:bCs/>
        </w:rPr>
        <w:t xml:space="preserve">Migration timeline reality:</w:t>
      </w:r>
      <w:r>
        <w:t xml:space="preserve"> </w:t>
      </w:r>
      <w:r>
        <w:t xml:space="preserve">Moving from one platform to another typically takes 12-16 weeks for production-ready deployment. This includes data migration, payment provider re-certification, regulatory notifications, and parallel testing. Budget for 3-4 months of double-platform costs during transitions.</w:t>
      </w:r>
    </w:p>
    <w:p>
      <w:pPr>
        <w:pStyle w:val="BodyText"/>
      </w:pPr>
      <w:r>
        <w:rPr>
          <w:b/>
          <w:bCs/>
        </w:rPr>
        <w:t xml:space="preserve">What to get in writing:</w:t>
      </w:r>
      <w:r>
        <w:t xml:space="preserve"> </w:t>
      </w:r>
      <w:r>
        <w:t xml:space="preserve">Specific data export formats and timelines, termination costs as dollar amounts rather than percentages, technical requirements for migration assistance, and timeline commitments for data availability after contract termination.</w:t>
      </w:r>
    </w:p>
    <w:bookmarkEnd w:id="21"/>
    <w:bookmarkStart w:id="22" w:name="contract-minimums-and-flexibility"/>
    <w:p>
      <w:pPr>
        <w:pStyle w:val="Heading2"/>
      </w:pPr>
      <w:r>
        <w:t xml:space="preserve">Contract Minimums and Flexibility</w:t>
      </w:r>
    </w:p>
    <w:p>
      <w:pPr>
        <w:pStyle w:val="FirstParagraph"/>
      </w:pPr>
      <w:r>
        <w:t xml:space="preserve">Startup cash flow is unpredictable. Platforms designed for established operators often require 36-month commitments and annual payments that assume steady revenue. Startup-friendly providers offer more flexible contract terms that align with early-stage business realities.</w:t>
      </w:r>
    </w:p>
    <w:p>
      <w:pPr>
        <w:pStyle w:val="BodyText"/>
      </w:pPr>
      <w:r>
        <w:rPr>
          <w:b/>
          <w:bCs/>
        </w:rPr>
        <w:t xml:space="preserve">12-month minimums</w:t>
      </w:r>
      <w:r>
        <w:t xml:space="preserve"> </w:t>
      </w:r>
      <w:r>
        <w:t xml:space="preserve">are common for startup-focused providers like NuxGame and GR8 Tech. This provides enough time for market validation without creating excessive commitment for unproven business models. Most operators know within 12 months whether their market approach is working.</w:t>
      </w:r>
    </w:p>
    <w:p>
      <w:pPr>
        <w:pStyle w:val="BodyText"/>
      </w:pPr>
      <w:r>
        <w:rPr>
          <w:b/>
          <w:bCs/>
        </w:rPr>
        <w:t xml:space="preserve">24-month contracts</w:t>
      </w:r>
      <w:r>
        <w:t xml:space="preserve"> </w:t>
      </w:r>
      <w:r>
        <w:t xml:space="preserve">are sometimes associated with providers like BlueOcean Gaming and SOFTSWISS. These reflect their operational investment in client onboarding and support. This longer commitment often comes with better commercial terms or more comprehensive service levels.</w:t>
      </w:r>
    </w:p>
    <w:p>
      <w:pPr>
        <w:pStyle w:val="BodyText"/>
      </w:pPr>
      <w:r>
        <w:rPr>
          <w:b/>
          <w:bCs/>
        </w:rPr>
        <w:t xml:space="preserve">Enterprise contracts</w:t>
      </w:r>
      <w:r>
        <w:t xml:space="preserve"> </w:t>
      </w:r>
      <w:r>
        <w:t xml:space="preserve">from EveryMatrix may include revenue share models, with setup costs typically ranging from €75,000 to €200,000. These longer terms typically offer better pricing but create significant commitment for uncertain startup operations.</w:t>
      </w:r>
    </w:p>
    <w:p>
      <w:pPr>
        <w:pStyle w:val="BodyText"/>
      </w:pPr>
      <w:r>
        <w:rPr>
          <w:b/>
          <w:bCs/>
        </w:rPr>
        <w:t xml:space="preserve">Payment timing flexibility</w:t>
      </w:r>
      <w:r>
        <w:t xml:space="preserve"> </w:t>
      </w:r>
      <w:r>
        <w:t xml:space="preserve">varies between providers. Some require annual payments upfront. Others offer quarterly payments with small premiums. A few provide monthly billing that aligns with startup cash flow preferences, though usually at higher effective rates.</w:t>
      </w:r>
    </w:p>
    <w:p>
      <w:pPr>
        <w:pStyle w:val="BodyText"/>
      </w:pPr>
      <w:r>
        <w:rPr>
          <w:b/>
          <w:bCs/>
        </w:rPr>
        <w:t xml:space="preserve">The growth clause trap:</w:t>
      </w:r>
      <w:r>
        <w:t xml:space="preserve"> </w:t>
      </w:r>
      <w:r>
        <w:t xml:space="preserve">Some contracts include automatic rate increases based on volume thresholds or operational complexity. A contract that seems affordable at $50K monthly GGR might become expensive at $300K monthly GGR if it includes automatic tier upgrades.</w:t>
      </w:r>
    </w:p>
    <w:p>
      <w:pPr>
        <w:pStyle w:val="BodyText"/>
      </w:pPr>
      <w:r>
        <w:rPr>
          <w:b/>
          <w:bCs/>
        </w:rPr>
        <w:t xml:space="preserve">Performance guarantees</w:t>
      </w:r>
      <w:r>
        <w:t xml:space="preserve"> </w:t>
      </w:r>
      <w:r>
        <w:t xml:space="preserve">flow both directions. Providers expect minimum activity levels or monthly payments. Operators should expect uptime guarantees, support response SLAs, and feature availability commitments. Balanced contracts protect both parties.</w:t>
      </w:r>
    </w:p>
    <w:p>
      <w:pPr>
        <w:pStyle w:val="BodyText"/>
      </w:pPr>
      <w:r>
        <w:rPr>
          <w:b/>
          <w:bCs/>
        </w:rPr>
        <w:t xml:space="preserve">Early termination for cause</w:t>
      </w:r>
      <w:r>
        <w:t xml:space="preserve"> </w:t>
      </w:r>
      <w:r>
        <w:t xml:space="preserve">should include provider performance failures, not just operator payment defaults. Contracts that allow termination only for non-payment create power imbalances that favor providers over startup operators.</w:t>
      </w:r>
    </w:p>
    <w:p>
      <w:pPr>
        <w:pStyle w:val="BodyText"/>
      </w:pPr>
      <w:r>
        <w:rPr>
          <w:b/>
          <w:bCs/>
        </w:rPr>
        <w:t xml:space="preserve">What to negotiate:</w:t>
      </w:r>
      <w:r>
        <w:t xml:space="preserve"> </w:t>
      </w:r>
      <w:r>
        <w:t xml:space="preserve">Monthly rather than annual payments, performance-based termination clauses, clear volume threshold definitions, and written confirmation of contract terms at renewal. Startup contracts should protect operators during uncertain growth phases.</w:t>
      </w:r>
    </w:p>
    <w:p>
      <w:pPr>
        <w:pStyle w:val="BodyText"/>
      </w:pPr>
      <w:r>
        <w:rPr>
          <w:b/>
          <w:bCs/>
        </w:rPr>
        <w:t xml:space="preserve">Red flags in contract terms:</w:t>
      </w:r>
      <w:r>
        <w:t xml:space="preserve"> </w:t>
      </w:r>
      <w:r>
        <w:t xml:space="preserve">Automatic renewals without notification periods, termination clauses that heavily favor providers, or volume commitments that assume linear growth patterns.</w:t>
      </w:r>
    </w:p>
    <w:bookmarkEnd w:id="22"/>
    <w:bookmarkStart w:id="30" w:name="vendor-profiles"/>
    <w:p>
      <w:pPr>
        <w:pStyle w:val="Heading2"/>
      </w:pPr>
      <w:r>
        <w:t xml:space="preserve">Vendor Profiles</w:t>
      </w:r>
    </w:p>
    <w:bookmarkStart w:id="23" w:name="Xb1d99a324c80eb32207976dbf22886b2c4986f2"/>
    <w:p>
      <w:pPr>
        <w:pStyle w:val="Heading3"/>
      </w:pPr>
      <w:hyperlink r:id="rId10">
        <w:r>
          <w:rPr>
            <w:rStyle w:val="Hyperlink"/>
          </w:rPr>
          <w:t xml:space="preserve">NuxGame</w:t>
        </w:r>
      </w:hyperlink>
      <w:r>
        <w:t xml:space="preserve">: Budget-Friendly Revenue Share Champion</w:t>
      </w:r>
    </w:p>
    <w:p>
      <w:pPr>
        <w:pStyle w:val="FirstParagraph"/>
      </w:pPr>
      <w:r>
        <w:t xml:space="preserve">NuxGame aims to remove some upfront investment barriers for startup casino launches. Their revenue share model is typically in the 10-18% range, though they also list a setup investment ranging from €15,000 to €50,000. This model generally covers platform access, hosting, basic support, and game library access through a single commercial relationship.</w:t>
      </w:r>
    </w:p>
    <w:p>
      <w:pPr>
        <w:pStyle w:val="Compact"/>
        <w:numPr>
          <w:ilvl w:val="0"/>
          <w:numId w:val="1001"/>
        </w:numPr>
      </w:pPr>
      <w:r>
        <w:rPr>
          <w:b/>
          <w:bCs/>
        </w:rPr>
        <w:t xml:space="preserve">Standout for startups:</w:t>
      </w:r>
      <w:r>
        <w:t xml:space="preserve"> </w:t>
      </w:r>
      <w:r>
        <w:t xml:space="preserve">Flexible cost structure, including potential trial versions or deferred setup fees, with a game library of over 17,500 titles and 1-2 week launch timelines. They also expanded their content portfolio by partnering with Jacktop in May 2026.</w:t>
      </w:r>
    </w:p>
    <w:p>
      <w:pPr>
        <w:pStyle w:val="Compact"/>
        <w:numPr>
          <w:ilvl w:val="0"/>
          <w:numId w:val="1001"/>
        </w:numPr>
      </w:pPr>
      <w:r>
        <w:rPr>
          <w:b/>
          <w:bCs/>
        </w:rPr>
        <w:t xml:space="preserve">Proof points:</w:t>
      </w:r>
      <w:r>
        <w:t xml:space="preserve"> </w:t>
      </w:r>
      <w:r>
        <w:t xml:space="preserve">Powers over 80 active clients and partnered with iDenfy for automated KYC/AML compliance in February 2026.</w:t>
      </w:r>
    </w:p>
    <w:p>
      <w:pPr>
        <w:pStyle w:val="Compact"/>
        <w:numPr>
          <w:ilvl w:val="0"/>
          <w:numId w:val="1001"/>
        </w:numPr>
      </w:pPr>
      <w:r>
        <w:rPr>
          <w:b/>
          <w:bCs/>
        </w:rPr>
        <w:t xml:space="preserve">Trade-off:</w:t>
      </w:r>
      <w:r>
        <w:t xml:space="preserve"> </w:t>
      </w:r>
      <w:r>
        <w:t xml:space="preserve">Revenue sharing can become expensive above $500K monthly GGR, and customization options are typically limited to standard themes and configurations.</w:t>
      </w:r>
    </w:p>
    <w:p>
      <w:pPr>
        <w:pStyle w:val="Compact"/>
        <w:numPr>
          <w:ilvl w:val="0"/>
          <w:numId w:val="1001"/>
        </w:numPr>
      </w:pPr>
      <w:r>
        <w:rPr>
          <w:b/>
          <w:bCs/>
        </w:rPr>
        <w:t xml:space="preserve">Best for:</w:t>
      </w:r>
      <w:r>
        <w:t xml:space="preserve"> </w:t>
      </w:r>
      <w:r>
        <w:t xml:space="preserve">First-time operators testing market concepts, non-technical founders, budget-conscious launches in competitive markets.</w:t>
      </w:r>
    </w:p>
    <w:p>
      <w:pPr>
        <w:pStyle w:val="Compact"/>
        <w:numPr>
          <w:ilvl w:val="0"/>
          <w:numId w:val="1001"/>
        </w:numPr>
      </w:pPr>
      <w:r>
        <w:rPr>
          <w:b/>
          <w:bCs/>
        </w:rPr>
        <w:t xml:space="preserve">Not for:</w:t>
      </w:r>
      <w:r>
        <w:t xml:space="preserve"> </w:t>
      </w:r>
      <w:r>
        <w:t xml:space="preserve">Operators planning rapid scaling above $1M GGR, brands requiring extensive customization, or teams targeting tier-1 regulated markets immediately.</w:t>
      </w:r>
    </w:p>
    <w:bookmarkEnd w:id="23"/>
    <w:bookmarkStart w:id="24" w:name="X331c071e0fe7719c532c2c0a38686c37636766f"/>
    <w:p>
      <w:pPr>
        <w:pStyle w:val="Heading3"/>
      </w:pPr>
      <w:hyperlink r:id="rId11">
        <w:r>
          <w:rPr>
            <w:rStyle w:val="Hyperlink"/>
          </w:rPr>
          <w:t xml:space="preserve">BlueOcean Gaming</w:t>
        </w:r>
      </w:hyperlink>
      <w:r>
        <w:t xml:space="preserve">: Complete Operational Outsourcing</w:t>
      </w:r>
    </w:p>
    <w:p>
      <w:pPr>
        <w:pStyle w:val="FirstParagraph"/>
      </w:pPr>
      <w:r>
        <w:t xml:space="preserve">BlueOcean Gaming offers features to simplify operations with complimentary technical support and a unified backoffice. Their white label casino platform approach provides tools for marketing-focused teams to run casinos without needing extensive technical expertise.</w:t>
      </w:r>
    </w:p>
    <w:p>
      <w:pPr>
        <w:pStyle w:val="Compact"/>
        <w:numPr>
          <w:ilvl w:val="0"/>
          <w:numId w:val="1002"/>
        </w:numPr>
      </w:pPr>
      <w:r>
        <w:rPr>
          <w:b/>
          <w:bCs/>
        </w:rPr>
        <w:t xml:space="preserve">Standout for startups:</w:t>
      </w:r>
      <w:r>
        <w:t xml:space="preserve"> </w:t>
      </w:r>
      <w:r>
        <w:t xml:space="preserve">Operational support features and a game library of more than 13,000 titles from over 140 software providers. They expanded their live casino offering through a partnership with SA Gaming in April 2026.</w:t>
      </w:r>
    </w:p>
    <w:p>
      <w:pPr>
        <w:pStyle w:val="Compact"/>
        <w:numPr>
          <w:ilvl w:val="0"/>
          <w:numId w:val="1002"/>
        </w:numPr>
      </w:pPr>
      <w:r>
        <w:rPr>
          <w:b/>
          <w:bCs/>
        </w:rPr>
        <w:t xml:space="preserve">Trade-off:</w:t>
      </w:r>
      <w:r>
        <w:t xml:space="preserve"> </w:t>
      </w:r>
      <w:r>
        <w:t xml:space="preserve">Their revenue share is negotiable and not publicly disclosed. While they offer support, the extent of full operational outsourcing for specific tasks like player complaints is not publicly detailed.</w:t>
      </w:r>
    </w:p>
    <w:p>
      <w:pPr>
        <w:pStyle w:val="Compact"/>
        <w:numPr>
          <w:ilvl w:val="0"/>
          <w:numId w:val="1002"/>
        </w:numPr>
      </w:pPr>
      <w:r>
        <w:rPr>
          <w:b/>
          <w:bCs/>
        </w:rPr>
        <w:t xml:space="preserve">Best for:</w:t>
      </w:r>
      <w:r>
        <w:t xml:space="preserve"> </w:t>
      </w:r>
      <w:r>
        <w:t xml:space="preserve">Non-technical founding teams, operators focused primarily on marketing and acquisition, quick market entry scenarios.</w:t>
      </w:r>
    </w:p>
    <w:p>
      <w:pPr>
        <w:pStyle w:val="Compact"/>
        <w:numPr>
          <w:ilvl w:val="0"/>
          <w:numId w:val="1002"/>
        </w:numPr>
      </w:pPr>
      <w:r>
        <w:rPr>
          <w:b/>
          <w:bCs/>
        </w:rPr>
        <w:t xml:space="preserve">Not for:</w:t>
      </w:r>
      <w:r>
        <w:t xml:space="preserve"> </w:t>
      </w:r>
      <w:r>
        <w:t xml:space="preserve">Teams wanting high levels of operational control, cost-sensitive operators planning significant scale, or brands requiring unique player experiences.</w:t>
      </w:r>
    </w:p>
    <w:bookmarkEnd w:id="24"/>
    <w:bookmarkStart w:id="25" w:name="gr8-tech-hyper-turnkey-crypto-focus"/>
    <w:p>
      <w:pPr>
        <w:pStyle w:val="Heading3"/>
      </w:pPr>
      <w:hyperlink r:id="rId12">
        <w:r>
          <w:rPr>
            <w:rStyle w:val="Hyperlink"/>
          </w:rPr>
          <w:t xml:space="preserve">GR8 Tech</w:t>
        </w:r>
      </w:hyperlink>
      <w:r>
        <w:t xml:space="preserve">: Hyper-Turnkey Crypto Focus</w:t>
      </w:r>
    </w:p>
    <w:p>
      <w:pPr>
        <w:pStyle w:val="FirstParagraph"/>
      </w:pPr>
      <w:r>
        <w:t xml:space="preserve">GR8 Tech provides a complete Crypto Turnkey solution, designed to simplify crypto casino operations. They focus on providing the platform technology with engagement mechanics to boost GGR and support crypto transactions.</w:t>
      </w:r>
    </w:p>
    <w:p>
      <w:pPr>
        <w:pStyle w:val="Compact"/>
        <w:numPr>
          <w:ilvl w:val="0"/>
          <w:numId w:val="1003"/>
        </w:numPr>
      </w:pPr>
      <w:r>
        <w:rPr>
          <w:b/>
          <w:bCs/>
        </w:rPr>
        <w:t xml:space="preserve">Standout for startups:</w:t>
      </w:r>
      <w:r>
        <w:t xml:space="preserve"> </w:t>
      </w:r>
      <w:r>
        <w:t xml:space="preserve">Complete crypto casino solutions with solid features for crypto payments and engagement. The company was recognized as</w:t>
      </w:r>
      <w:r>
        <w:t xml:space="preserve"> </w:t>
      </w:r>
      <w:r>
        <w:t xml:space="preserve">“Best Platform Provider 2026”</w:t>
      </w:r>
      <w:r>
        <w:t xml:space="preserve"> </w:t>
      </w:r>
      <w:r>
        <w:t xml:space="preserve">at the SiGMA Eurasia Awards.</w:t>
      </w:r>
    </w:p>
    <w:p>
      <w:pPr>
        <w:pStyle w:val="Compact"/>
        <w:numPr>
          <w:ilvl w:val="0"/>
          <w:numId w:val="1003"/>
        </w:numPr>
      </w:pPr>
      <w:r>
        <w:rPr>
          <w:b/>
          <w:bCs/>
        </w:rPr>
        <w:t xml:space="preserve">Proof points:</w:t>
      </w:r>
      <w:r>
        <w:t xml:space="preserve"> </w:t>
      </w:r>
      <w:r>
        <w:t xml:space="preserve">Achieved</w:t>
      </w:r>
      <w:r>
        <w:t xml:space="preserve"> </w:t>
      </w:r>
      <w:r>
        <w:t xml:space="preserve">“Best Platform Provider 2026”</w:t>
      </w:r>
      <w:r>
        <w:t xml:space="preserve"> </w:t>
      </w:r>
      <w:r>
        <w:t xml:space="preserve">at SiGMA Eurasia Awards, and is actively preparing its sportsbook for the World Cup 2026.</w:t>
      </w:r>
    </w:p>
    <w:p>
      <w:pPr>
        <w:pStyle w:val="Compact"/>
        <w:numPr>
          <w:ilvl w:val="0"/>
          <w:numId w:val="1003"/>
        </w:numPr>
      </w:pPr>
      <w:r>
        <w:rPr>
          <w:b/>
          <w:bCs/>
        </w:rPr>
        <w:t xml:space="preserve">Trade-off:</w:t>
      </w:r>
      <w:r>
        <w:t xml:space="preserve"> </w:t>
      </w:r>
      <w:r>
        <w:t xml:space="preserve">Their revenue sharing rates are typically 10-15%, which can be a consideration for scalability. While they provide solid tools, direct outsourcing of marketing strategy or player acquisition campaigns should be clarified with the vendor.</w:t>
      </w:r>
    </w:p>
    <w:p>
      <w:pPr>
        <w:pStyle w:val="Compact"/>
        <w:numPr>
          <w:ilvl w:val="0"/>
          <w:numId w:val="1003"/>
        </w:numPr>
      </w:pPr>
      <w:r>
        <w:rPr>
          <w:b/>
          <w:bCs/>
        </w:rPr>
        <w:t xml:space="preserve">Best for:</w:t>
      </w:r>
      <w:r>
        <w:t xml:space="preserve"> </w:t>
      </w:r>
      <w:r>
        <w:t xml:space="preserve">Crypto entrepreneurs testing market concepts, passive income seekers, quick crypto casino concepts without needing extensive direct operational involvement in platform tech.</w:t>
      </w:r>
    </w:p>
    <w:p>
      <w:pPr>
        <w:pStyle w:val="Compact"/>
        <w:numPr>
          <w:ilvl w:val="0"/>
          <w:numId w:val="1003"/>
        </w:numPr>
      </w:pPr>
      <w:r>
        <w:rPr>
          <w:b/>
          <w:bCs/>
        </w:rPr>
        <w:t xml:space="preserve">Not for:</w:t>
      </w:r>
      <w:r>
        <w:t xml:space="preserve"> </w:t>
      </w:r>
      <w:r>
        <w:t xml:space="preserve">Operators wanting significant direct brand control, teams planning traditional fiat-only operations, or founders expecting to build extensive internal operational capabilities.</w:t>
      </w:r>
    </w:p>
    <w:bookmarkEnd w:id="25"/>
    <w:bookmarkStart w:id="26" w:name="X2b831161b75f69286c9795869f92373ebb6ca42"/>
    <w:p>
      <w:pPr>
        <w:pStyle w:val="Heading3"/>
      </w:pPr>
      <w:hyperlink r:id="rId13">
        <w:r>
          <w:rPr>
            <w:rStyle w:val="Hyperlink"/>
          </w:rPr>
          <w:t xml:space="preserve">SOFTSWISS</w:t>
        </w:r>
      </w:hyperlink>
      <w:r>
        <w:t xml:space="preserve">: Crypto-Fiat Hybrid with Growth Paths</w:t>
      </w:r>
    </w:p>
    <w:p>
      <w:pPr>
        <w:pStyle w:val="FirstParagraph"/>
      </w:pPr>
      <w:r>
        <w:t xml:space="preserve">SOFTSWISS manages the complexities of serving both crypto and traditional players on a single platform. They offer different commercial models, including revenue sharing and options that involve a setup investment. Their approach allows startups to test market concepts without committing to solely crypto or fiat strategies.</w:t>
      </w:r>
    </w:p>
    <w:p>
      <w:pPr>
        <w:pStyle w:val="Compact"/>
        <w:numPr>
          <w:ilvl w:val="0"/>
          <w:numId w:val="1004"/>
        </w:numPr>
      </w:pPr>
      <w:r>
        <w:rPr>
          <w:b/>
          <w:bCs/>
        </w:rPr>
        <w:t xml:space="preserve">Standout for startups:</w:t>
      </w:r>
      <w:r>
        <w:t xml:space="preserve"> </w:t>
      </w:r>
      <w:r>
        <w:t xml:space="preserve">Smooth crypto-fiat hybrid operations with flexible pricing models, and potential for internal migration paths as operators scale within their product suite. They were named</w:t>
      </w:r>
      <w:r>
        <w:t xml:space="preserve"> </w:t>
      </w:r>
      <w:r>
        <w:t xml:space="preserve">“Best iGaming Platform Supplier of the Year”</w:t>
      </w:r>
      <w:r>
        <w:t xml:space="preserve"> </w:t>
      </w:r>
      <w:r>
        <w:t xml:space="preserve">at the European iGaming Awards 2026.</w:t>
      </w:r>
    </w:p>
    <w:p>
      <w:pPr>
        <w:pStyle w:val="Compact"/>
        <w:numPr>
          <w:ilvl w:val="0"/>
          <w:numId w:val="1004"/>
        </w:numPr>
      </w:pPr>
      <w:r>
        <w:rPr>
          <w:b/>
          <w:bCs/>
        </w:rPr>
        <w:t xml:space="preserve">Proof points:</w:t>
      </w:r>
      <w:r>
        <w:t xml:space="preserve"> </w:t>
      </w:r>
      <w:r>
        <w:t xml:space="preserve">Powers over 1,400 brands, offers a game library of over 40,000 titles from more than 300 providers, and won the</w:t>
      </w:r>
      <w:r>
        <w:t xml:space="preserve"> </w:t>
      </w:r>
      <w:r>
        <w:t xml:space="preserve">“Industry Culture Shaper”</w:t>
      </w:r>
      <w:r>
        <w:t xml:space="preserve"> </w:t>
      </w:r>
      <w:r>
        <w:t xml:space="preserve">award at Casino Guru Awards 2026 for their impact on workplace standards.</w:t>
      </w:r>
    </w:p>
    <w:p>
      <w:pPr>
        <w:pStyle w:val="Compact"/>
        <w:numPr>
          <w:ilvl w:val="0"/>
          <w:numId w:val="1004"/>
        </w:numPr>
      </w:pPr>
      <w:r>
        <w:rPr>
          <w:b/>
          <w:bCs/>
        </w:rPr>
        <w:t xml:space="preserve">Trade-off:</w:t>
      </w:r>
      <w:r>
        <w:t xml:space="preserve"> </w:t>
      </w:r>
      <w:r>
        <w:t xml:space="preserve">Their platform may require more hands-on management and some technical resources compared to pure turnkey providers.</w:t>
      </w:r>
    </w:p>
    <w:p>
      <w:pPr>
        <w:pStyle w:val="Compact"/>
        <w:numPr>
          <w:ilvl w:val="0"/>
          <w:numId w:val="1004"/>
        </w:numPr>
      </w:pPr>
      <w:r>
        <w:rPr>
          <w:b/>
          <w:bCs/>
        </w:rPr>
        <w:t xml:space="preserve">Best for:</w:t>
      </w:r>
      <w:r>
        <w:t xml:space="preserve"> </w:t>
      </w:r>
      <w:r>
        <w:t xml:space="preserve">Crypto-native operators, hybrid casinos serving both player types, operators planning regulated market expansion.</w:t>
      </w:r>
    </w:p>
    <w:p>
      <w:pPr>
        <w:pStyle w:val="Compact"/>
        <w:numPr>
          <w:ilvl w:val="0"/>
          <w:numId w:val="1004"/>
        </w:numPr>
      </w:pPr>
      <w:r>
        <w:rPr>
          <w:b/>
          <w:bCs/>
        </w:rPr>
        <w:t xml:space="preserve">Not for:</w:t>
      </w:r>
      <w:r>
        <w:t xml:space="preserve"> </w:t>
      </w:r>
      <w:r>
        <w:t xml:space="preserve">Pure fiat operators, teams lacking any technical resources, or brands focused exclusively on traditional markets.</w:t>
      </w:r>
    </w:p>
    <w:bookmarkEnd w:id="26"/>
    <w:bookmarkStart w:id="27" w:name="X73cc4cde09488a24d8e32eb4b44d8a12acc6aa9"/>
    <w:p>
      <w:pPr>
        <w:pStyle w:val="Heading3"/>
      </w:pPr>
      <w:hyperlink r:id="rId14">
        <w:r>
          <w:rPr>
            <w:rStyle w:val="Hyperlink"/>
          </w:rPr>
          <w:t xml:space="preserve">Soft2Bet</w:t>
        </w:r>
      </w:hyperlink>
      <w:r>
        <w:t xml:space="preserve">: Retention-First with Real Growth Headroom</w:t>
      </w:r>
    </w:p>
    <w:p>
      <w:pPr>
        <w:pStyle w:val="FirstParagraph"/>
      </w:pPr>
      <w:r>
        <w:t xml:space="preserve">Soft2Bet developed its Motivational Engineering Gaming Application (MEGA) platform, focusing on retention tools proven across numerous player sessions. Their gamification systems offer growth paths into enterprise-scale operations without the need for replatforming.</w:t>
      </w:r>
    </w:p>
    <w:p>
      <w:pPr>
        <w:pStyle w:val="Compact"/>
        <w:numPr>
          <w:ilvl w:val="0"/>
          <w:numId w:val="1005"/>
        </w:numPr>
      </w:pPr>
      <w:r>
        <w:rPr>
          <w:b/>
          <w:bCs/>
        </w:rPr>
        <w:t xml:space="preserve">Standout for startups:</w:t>
      </w:r>
      <w:r>
        <w:t xml:space="preserve"> </w:t>
      </w:r>
      <w:r>
        <w:t xml:space="preserve">Battle-tested retention and gamification tools, with growth paths designed for scalability. They submitted an Alberta license application in Q1 2026.</w:t>
      </w:r>
    </w:p>
    <w:p>
      <w:pPr>
        <w:pStyle w:val="Compact"/>
        <w:numPr>
          <w:ilvl w:val="0"/>
          <w:numId w:val="1005"/>
        </w:numPr>
      </w:pPr>
      <w:r>
        <w:rPr>
          <w:b/>
          <w:bCs/>
        </w:rPr>
        <w:t xml:space="preserve">Proof points:</w:t>
      </w:r>
      <w:r>
        <w:t xml:space="preserve"> </w:t>
      </w:r>
      <w:r>
        <w:t xml:space="preserve">Reports over 60% increase in retention, and launched five new brands in Q1 2026. Soft2Bet has also submitted an Alberta license application, demonstrating ongoing market expansion. Their tournament engines are proven in live operations.</w:t>
      </w:r>
    </w:p>
    <w:p>
      <w:pPr>
        <w:pStyle w:val="Compact"/>
        <w:numPr>
          <w:ilvl w:val="0"/>
          <w:numId w:val="1005"/>
        </w:numPr>
      </w:pPr>
      <w:r>
        <w:rPr>
          <w:b/>
          <w:bCs/>
        </w:rPr>
        <w:t xml:space="preserve">Trade-off:</w:t>
      </w:r>
      <w:r>
        <w:t xml:space="preserve"> </w:t>
      </w:r>
      <w:r>
        <w:t xml:space="preserve">Requires more strategic involvement in retention campaigns compared to pure operational outsourcing providers.</w:t>
      </w:r>
    </w:p>
    <w:p>
      <w:pPr>
        <w:pStyle w:val="Compact"/>
        <w:numPr>
          <w:ilvl w:val="0"/>
          <w:numId w:val="1005"/>
        </w:numPr>
      </w:pPr>
      <w:r>
        <w:rPr>
          <w:b/>
          <w:bCs/>
        </w:rPr>
        <w:t xml:space="preserve">Best for:</w:t>
      </w:r>
      <w:r>
        <w:t xml:space="preserve"> </w:t>
      </w:r>
      <w:r>
        <w:t xml:space="preserve">Retention-focused operators, competitive markets where player lifetime value matters, recreational player segments.</w:t>
      </w:r>
    </w:p>
    <w:p>
      <w:pPr>
        <w:pStyle w:val="Compact"/>
        <w:numPr>
          <w:ilvl w:val="0"/>
          <w:numId w:val="1005"/>
        </w:numPr>
      </w:pPr>
      <w:r>
        <w:rPr>
          <w:b/>
          <w:bCs/>
        </w:rPr>
        <w:t xml:space="preserve">Not for:</w:t>
      </w:r>
      <w:r>
        <w:t xml:space="preserve"> </w:t>
      </w:r>
      <w:r>
        <w:t xml:space="preserve">Operators prioritizing content variety over retention, pure acquisition-focused strategies, or teams lacking retention marketing experience.</w:t>
      </w:r>
    </w:p>
    <w:bookmarkEnd w:id="27"/>
    <w:bookmarkStart w:id="28" w:name="slotegrator-content-first-approach"/>
    <w:p>
      <w:pPr>
        <w:pStyle w:val="Heading3"/>
      </w:pPr>
      <w:hyperlink r:id="rId15">
        <w:r>
          <w:rPr>
            <w:rStyle w:val="Hyperlink"/>
          </w:rPr>
          <w:t xml:space="preserve">Slotegrator</w:t>
        </w:r>
      </w:hyperlink>
      <w:r>
        <w:t xml:space="preserve">: Content-First Approach</w:t>
      </w:r>
    </w:p>
    <w:p>
      <w:pPr>
        <w:pStyle w:val="FirstParagraph"/>
      </w:pPr>
      <w:r>
        <w:t xml:space="preserve">Slotegrator’s APIgrator system provides access to over 40,000 games from more than 100 studios. They specialize in content aggregation and have expanded into full platform capabilities, with a strong focus on game variety and provider relationships.</w:t>
      </w:r>
    </w:p>
    <w:p>
      <w:pPr>
        <w:pStyle w:val="Compact"/>
        <w:numPr>
          <w:ilvl w:val="0"/>
          <w:numId w:val="1006"/>
        </w:numPr>
      </w:pPr>
      <w:r>
        <w:rPr>
          <w:b/>
          <w:bCs/>
        </w:rPr>
        <w:t xml:space="preserve">Standout for startups:</w:t>
      </w:r>
      <w:r>
        <w:t xml:space="preserve"> </w:t>
      </w:r>
      <w:r>
        <w:t xml:space="preserve">Industry-leading content aggregation with rapid new provider integration and AI-driven tools. They introduced the Moneygrator AI Bot for payment integration at ICE 2026.</w:t>
      </w:r>
    </w:p>
    <w:p>
      <w:pPr>
        <w:pStyle w:val="Compact"/>
        <w:numPr>
          <w:ilvl w:val="0"/>
          <w:numId w:val="1006"/>
        </w:numPr>
      </w:pPr>
      <w:r>
        <w:rPr>
          <w:b/>
          <w:bCs/>
        </w:rPr>
        <w:t xml:space="preserve">Proof points:</w:t>
      </w:r>
      <w:r>
        <w:t xml:space="preserve"> </w:t>
      </w:r>
      <w:r>
        <w:t xml:space="preserve">Features a game library of over 40,000 titles through its APIgrator system. The Moneygrator AI Bot, an AI-powered digital assistant for payment integration, was officially presented at ICE 2026.</w:t>
      </w:r>
    </w:p>
    <w:p>
      <w:pPr>
        <w:pStyle w:val="Compact"/>
        <w:numPr>
          <w:ilvl w:val="0"/>
          <w:numId w:val="1006"/>
        </w:numPr>
      </w:pPr>
      <w:r>
        <w:rPr>
          <w:b/>
          <w:bCs/>
        </w:rPr>
        <w:t xml:space="preserve">Trade-off:</w:t>
      </w:r>
      <w:r>
        <w:t xml:space="preserve"> </w:t>
      </w:r>
      <w:r>
        <w:t xml:space="preserve">Platform capabilities beyond content aggregation may be less specialized than other providers, potentially requiring more operational management by the operator.</w:t>
      </w:r>
    </w:p>
    <w:p>
      <w:pPr>
        <w:pStyle w:val="Compact"/>
        <w:numPr>
          <w:ilvl w:val="0"/>
          <w:numId w:val="1006"/>
        </w:numPr>
      </w:pPr>
      <w:r>
        <w:rPr>
          <w:b/>
          <w:bCs/>
        </w:rPr>
        <w:t xml:space="preserve">Best for:</w:t>
      </w:r>
      <w:r>
        <w:t xml:space="preserve"> </w:t>
      </w:r>
      <w:r>
        <w:t xml:space="preserve">Content-focused operators, casinos competing on game variety, platforms needing rapid access to new game providers.</w:t>
      </w:r>
    </w:p>
    <w:p>
      <w:pPr>
        <w:pStyle w:val="Compact"/>
        <w:numPr>
          <w:ilvl w:val="0"/>
          <w:numId w:val="1006"/>
        </w:numPr>
      </w:pPr>
      <w:r>
        <w:rPr>
          <w:b/>
          <w:bCs/>
        </w:rPr>
        <w:t xml:space="preserve">Not for:</w:t>
      </w:r>
      <w:r>
        <w:t xml:space="preserve"> </w:t>
      </w:r>
      <w:r>
        <w:t xml:space="preserve">Operators prioritizing advanced retention tools over content, teams needing deep operational outsourcing, or platforms requiring highly specialized regulatory compliance.</w:t>
      </w:r>
    </w:p>
    <w:bookmarkEnd w:id="28"/>
    <w:bookmarkStart w:id="29" w:name="X4c98e5bbe42689c6ce2cebd7abcf5ac36d64369"/>
    <w:p>
      <w:pPr>
        <w:pStyle w:val="Heading3"/>
      </w:pPr>
      <w:hyperlink r:id="rId16">
        <w:r>
          <w:rPr>
            <w:rStyle w:val="Hyperlink"/>
          </w:rPr>
          <w:t xml:space="preserve">EveryMatrix</w:t>
        </w:r>
      </w:hyperlink>
      <w:r>
        <w:t xml:space="preserve">: Technical Startup with Enterprise Ambitions</w:t>
      </w:r>
    </w:p>
    <w:p>
      <w:pPr>
        <w:pStyle w:val="FirstParagraph"/>
      </w:pPr>
      <w:r>
        <w:t xml:space="preserve">EveryMatrix provides a modular casino platform architecture designed for extensive growth and custom development, aiming to prevent vendor lock-in. Their solutions are suitable for technical startups planning long-term platform control.</w:t>
      </w:r>
    </w:p>
    <w:p>
      <w:pPr>
        <w:pStyle w:val="Compact"/>
        <w:numPr>
          <w:ilvl w:val="0"/>
          <w:numId w:val="1007"/>
        </w:numPr>
      </w:pPr>
      <w:r>
        <w:rPr>
          <w:b/>
          <w:bCs/>
        </w:rPr>
        <w:t xml:space="preserve">Standout for startups:</w:t>
      </w:r>
      <w:r>
        <w:t xml:space="preserve"> </w:t>
      </w:r>
      <w:r>
        <w:t xml:space="preserve">Modular architecture to prevent vendor lock-in, with components like CasinoEngine processing over 6 billion game rounds monthly as of June 2024. They received conditional licensing approval in Alberta in May 2026.</w:t>
      </w:r>
    </w:p>
    <w:p>
      <w:pPr>
        <w:pStyle w:val="Compact"/>
        <w:numPr>
          <w:ilvl w:val="0"/>
          <w:numId w:val="1007"/>
        </w:numPr>
      </w:pPr>
      <w:r>
        <w:rPr>
          <w:b/>
          <w:bCs/>
        </w:rPr>
        <w:t xml:space="preserve">Proof points:</w:t>
      </w:r>
      <w:r>
        <w:t xml:space="preserve"> </w:t>
      </w:r>
      <w:r>
        <w:t xml:space="preserve">Powers major operators like Betsson and serves LeoVegas Group with its OddsMatrix product. EveryMatrix received conditional licensing approval in Alberta (May 2026) and expanded its footprint in Cameroon with Betsson Africa in April 2026.</w:t>
      </w:r>
    </w:p>
    <w:p>
      <w:pPr>
        <w:pStyle w:val="Compact"/>
        <w:numPr>
          <w:ilvl w:val="0"/>
          <w:numId w:val="1007"/>
        </w:numPr>
      </w:pPr>
      <w:r>
        <w:rPr>
          <w:b/>
          <w:bCs/>
        </w:rPr>
        <w:t xml:space="preserve">Trade-off:</w:t>
      </w:r>
      <w:r>
        <w:t xml:space="preserve"> </w:t>
      </w:r>
      <w:r>
        <w:t xml:space="preserve">Requires substantial technical resources and can have longer implementation timelines (typically 6-12 weeks) compared to simpler turnkey providers.</w:t>
      </w:r>
    </w:p>
    <w:p>
      <w:pPr>
        <w:pStyle w:val="Compact"/>
        <w:numPr>
          <w:ilvl w:val="0"/>
          <w:numId w:val="1007"/>
        </w:numPr>
      </w:pPr>
      <w:r>
        <w:rPr>
          <w:b/>
          <w:bCs/>
        </w:rPr>
        <w:t xml:space="preserve">Best for:</w:t>
      </w:r>
      <w:r>
        <w:t xml:space="preserve"> </w:t>
      </w:r>
      <w:r>
        <w:t xml:space="preserve">Technical founding teams, startups with development capabilities, operators planning extensive customization and long-term platform control.</w:t>
      </w:r>
    </w:p>
    <w:p>
      <w:pPr>
        <w:pStyle w:val="Compact"/>
        <w:numPr>
          <w:ilvl w:val="0"/>
          <w:numId w:val="1007"/>
        </w:numPr>
      </w:pPr>
      <w:r>
        <w:rPr>
          <w:b/>
          <w:bCs/>
        </w:rPr>
        <w:t xml:space="preserve">Not for:</w:t>
      </w:r>
      <w:r>
        <w:t xml:space="preserve"> </w:t>
      </w:r>
      <w:r>
        <w:t xml:space="preserve">Non-technical teams, operators needing quick revenue generation, or startups without technical resources or agency partnerships.</w:t>
      </w:r>
    </w:p>
    <w:bookmarkEnd w:id="29"/>
    <w:bookmarkEnd w:id="30"/>
    <w:bookmarkStart w:id="35" w:name="runners-up"/>
    <w:p>
      <w:pPr>
        <w:pStyle w:val="Heading2"/>
      </w:pPr>
      <w:r>
        <w:t xml:space="preserve">Runners-Up</w:t>
      </w:r>
    </w:p>
    <w:p>
      <w:pPr>
        <w:pStyle w:val="FirstParagraph"/>
      </w:pPr>
      <w:hyperlink r:id="rId31">
        <w:r>
          <w:rPr>
            <w:rStyle w:val="Hyperlink"/>
            <w:b/>
            <w:bCs/>
          </w:rPr>
          <w:t xml:space="preserve">Pragmatic Solutions</w:t>
        </w:r>
      </w:hyperlink>
      <w:r>
        <w:t xml:space="preserve"> </w:t>
      </w:r>
      <w:r>
        <w:t xml:space="preserve">offers developer-first architecture. However, in our assessment, it requires extensive front-end development work that most startups cannot resource effectively.</w:t>
      </w:r>
    </w:p>
    <w:p>
      <w:pPr>
        <w:pStyle w:val="BodyText"/>
      </w:pPr>
      <w:hyperlink r:id="rId32">
        <w:r>
          <w:rPr>
            <w:rStyle w:val="Hyperlink"/>
            <w:b/>
            <w:bCs/>
          </w:rPr>
          <w:t xml:space="preserve">BetConstruct</w:t>
        </w:r>
      </w:hyperlink>
      <w:r>
        <w:t xml:space="preserve"> </w:t>
      </w:r>
      <w:r>
        <w:t xml:space="preserve">provides comprehensive Spring Platform capabilities. However, in our assessment, it targets enterprise budgets and timelines rather than typical startup constraints.</w:t>
      </w:r>
    </w:p>
    <w:p>
      <w:pPr>
        <w:pStyle w:val="BodyText"/>
      </w:pPr>
      <w:hyperlink r:id="rId33">
        <w:r>
          <w:rPr>
            <w:rStyle w:val="Hyperlink"/>
            <w:b/>
            <w:bCs/>
          </w:rPr>
          <w:t xml:space="preserve">Playtech</w:t>
        </w:r>
      </w:hyperlink>
      <w:r>
        <w:t xml:space="preserve"> </w:t>
      </w:r>
      <w:r>
        <w:t xml:space="preserve">delivers enterprise-grade regulatory coverage. However, in our assessment, their minimum engagement levels and bureaucratic processes do not align with typical startup operational needs.</w:t>
      </w:r>
    </w:p>
    <w:p>
      <w:pPr>
        <w:pStyle w:val="BodyText"/>
      </w:pPr>
      <w:r>
        <w:t xml:space="preserve">Browse the complete</w:t>
      </w:r>
      <w:r>
        <w:t xml:space="preserve"> </w:t>
      </w:r>
      <w:hyperlink r:id="rId34">
        <w:r>
          <w:rPr>
            <w:rStyle w:val="Hyperlink"/>
          </w:rPr>
          <w:t xml:space="preserve">directory of casino platform providers</w:t>
        </w:r>
      </w:hyperlink>
      <w:r>
        <w:t xml:space="preserve"> </w:t>
      </w:r>
      <w:r>
        <w:t xml:space="preserve">for additional startup-focused options and emerging providers.</w:t>
      </w:r>
    </w:p>
    <w:bookmarkEnd w:id="35"/>
    <w:bookmarkStart w:id="36" w:name="buying-signals-for-this-angle"/>
    <w:p>
      <w:pPr>
        <w:pStyle w:val="Heading2"/>
      </w:pPr>
      <w:r>
        <w:t xml:space="preserve">Buying Signals for This Angle</w:t>
      </w:r>
    </w:p>
    <w:p>
      <w:pPr>
        <w:pStyle w:val="FirstParagraph"/>
      </w:pPr>
      <w:r>
        <w:t xml:space="preserve">This startup-focused approach is right for you if:</w:t>
      </w:r>
    </w:p>
    <w:p>
      <w:pPr>
        <w:pStyle w:val="Compact"/>
        <w:numPr>
          <w:ilvl w:val="0"/>
          <w:numId w:val="1008"/>
        </w:numPr>
      </w:pPr>
      <w:r>
        <w:t xml:space="preserve">Monthly marketing budget under $50K and need cost predictability through revenue sharing</w:t>
      </w:r>
    </w:p>
    <w:p>
      <w:pPr>
        <w:pStyle w:val="Compact"/>
        <w:numPr>
          <w:ilvl w:val="0"/>
          <w:numId w:val="1008"/>
        </w:numPr>
      </w:pPr>
      <w:r>
        <w:t xml:space="preserve">Founding team lacks previous casino operational experience or dedicated technical resources</w:t>
      </w:r>
    </w:p>
    <w:p>
      <w:pPr>
        <w:pStyle w:val="Compact"/>
        <w:numPr>
          <w:ilvl w:val="0"/>
          <w:numId w:val="1008"/>
        </w:numPr>
      </w:pPr>
      <w:r>
        <w:t xml:space="preserve">Planning to launch in under 12 weeks to test market concepts before major investment</w:t>
      </w:r>
    </w:p>
    <w:p>
      <w:pPr>
        <w:pStyle w:val="Compact"/>
        <w:numPr>
          <w:ilvl w:val="0"/>
          <w:numId w:val="1008"/>
        </w:numPr>
      </w:pPr>
      <w:r>
        <w:t xml:space="preserve">Uncertain about long-term market strategy and need flexibility to pivot between crypto, fiat, or regulated approaches</w:t>
      </w:r>
    </w:p>
    <w:p>
      <w:pPr>
        <w:pStyle w:val="Compact"/>
        <w:numPr>
          <w:ilvl w:val="0"/>
          <w:numId w:val="1008"/>
        </w:numPr>
      </w:pPr>
      <w:r>
        <w:t xml:space="preserve">Cash flow is unpredictable and you need operational costs tied to revenue performance</w:t>
      </w:r>
    </w:p>
    <w:p>
      <w:pPr>
        <w:pStyle w:val="FirstParagraph"/>
      </w:pPr>
      <w:r>
        <w:t xml:space="preserve">Look elsewhere if:</w:t>
      </w:r>
    </w:p>
    <w:p>
      <w:pPr>
        <w:pStyle w:val="Compact"/>
        <w:numPr>
          <w:ilvl w:val="0"/>
          <w:numId w:val="1009"/>
        </w:numPr>
      </w:pPr>
      <w:r>
        <w:t xml:space="preserve">Monthly GGR projections exceed $500K within 18 months - revenue sharing becomes expensive quickly</w:t>
      </w:r>
    </w:p>
    <w:p>
      <w:pPr>
        <w:pStyle w:val="Compact"/>
        <w:numPr>
          <w:ilvl w:val="0"/>
          <w:numId w:val="1009"/>
        </w:numPr>
      </w:pPr>
      <w:r>
        <w:t xml:space="preserve">Team includes experienced casino operators who can manage vendor relationships and platform optimization</w:t>
      </w:r>
    </w:p>
    <w:p>
      <w:pPr>
        <w:pStyle w:val="Compact"/>
        <w:numPr>
          <w:ilvl w:val="0"/>
          <w:numId w:val="1009"/>
        </w:numPr>
      </w:pPr>
      <w:r>
        <w:t xml:space="preserve">Targeting tier-1 regulated markets like UK or Germany that require enterprise-grade compliance capabilities</w:t>
      </w:r>
    </w:p>
    <w:p>
      <w:pPr>
        <w:pStyle w:val="Compact"/>
        <w:numPr>
          <w:ilvl w:val="0"/>
          <w:numId w:val="1009"/>
        </w:numPr>
      </w:pPr>
      <w:r>
        <w:t xml:space="preserve">Planning extensive custom development work or unique player experience differentiation</w:t>
      </w:r>
    </w:p>
    <w:bookmarkEnd w:id="36"/>
    <w:bookmarkStart w:id="37" w:name="what-to-verify-and-trap-questions"/>
    <w:p>
      <w:pPr>
        <w:pStyle w:val="Heading2"/>
      </w:pPr>
      <w:r>
        <w:t xml:space="preserve">What to Verify and Trap Questions</w:t>
      </w:r>
    </w:p>
    <w:p>
      <w:pPr>
        <w:pStyle w:val="FirstParagraph"/>
      </w:pPr>
      <w:r>
        <w:rPr>
          <w:b/>
          <w:bCs/>
        </w:rPr>
        <w:t xml:space="preserve">Get the published revenue thresholds where commercial models break down:</w:t>
      </w:r>
      <w:r>
        <w:t xml:space="preserve"> </w:t>
      </w:r>
      <w:r>
        <w:t xml:space="preserve">Request spreadsheets showing total monthly costs at $100K, $300K, and $500K monthly GGR. Good answers provide specific calculations. Red flag answers speak generically about</w:t>
      </w:r>
      <w:r>
        <w:t xml:space="preserve"> </w:t>
      </w:r>
      <w:r>
        <w:t xml:space="preserve">“competitive rates at all volumes.”</w:t>
      </w:r>
    </w:p>
    <w:p>
      <w:pPr>
        <w:pStyle w:val="BodyText"/>
      </w:pPr>
      <w:r>
        <w:rPr>
          <w:b/>
          <w:bCs/>
        </w:rPr>
        <w:t xml:space="preserve">Confirm what is included in support at your operational tier:</w:t>
      </w:r>
      <w:r>
        <w:t xml:space="preserve"> </w:t>
      </w:r>
      <w:r>
        <w:t xml:space="preserve">Ask for written SLA commitments with response times in hours, not</w:t>
      </w:r>
      <w:r>
        <w:t xml:space="preserve"> </w:t>
      </w:r>
      <w:r>
        <w:t xml:space="preserve">“best effort.”</w:t>
      </w:r>
      <w:r>
        <w:t xml:space="preserve"> </w:t>
      </w:r>
      <w:r>
        <w:t xml:space="preserve">Test their emergency contact process during evaluation. Verify whether support includes strategic consulting or only technical troubleshooting.</w:t>
      </w:r>
    </w:p>
    <w:p>
      <w:pPr>
        <w:pStyle w:val="BodyText"/>
      </w:pPr>
      <w:r>
        <w:rPr>
          <w:b/>
          <w:bCs/>
        </w:rPr>
        <w:t xml:space="preserve">Request three named client references at your exact scale:</w:t>
      </w:r>
      <w:r>
        <w:t xml:space="preserve"> </w:t>
      </w:r>
      <w:r>
        <w:t xml:space="preserve">Not</w:t>
      </w:r>
      <w:r>
        <w:t xml:space="preserve"> </w:t>
      </w:r>
      <w:r>
        <w:t xml:space="preserve">“we work with operators of all sizes”</w:t>
      </w:r>
      <w:r>
        <w:t xml:space="preserve"> </w:t>
      </w:r>
      <w:r>
        <w:t xml:space="preserve">but specific references generating $50K-200K monthly GGR in similar markets. Good vendors provide contact details. Evasive vendors avoid specifics.</w:t>
      </w:r>
    </w:p>
    <w:p>
      <w:pPr>
        <w:pStyle w:val="BodyText"/>
      </w:pPr>
      <w:r>
        <w:rPr>
          <w:b/>
          <w:bCs/>
        </w:rPr>
        <w:t xml:space="preserve">Test the data export process during evaluation:</w:t>
      </w:r>
      <w:r>
        <w:t xml:space="preserve"> </w:t>
      </w:r>
      <w:r>
        <w:t xml:space="preserve">Request sample exports of player data, transaction history, and configuration settings. Verify formats are standardized and usable, not raw database dumps requiring extensive technical work to implement elsewhere.</w:t>
      </w:r>
    </w:p>
    <w:p>
      <w:pPr>
        <w:pStyle w:val="BodyText"/>
      </w:pPr>
      <w:r>
        <w:rPr>
          <w:b/>
          <w:bCs/>
        </w:rPr>
        <w:t xml:space="preserve">Get migration path documentation with cost transparency:</w:t>
      </w:r>
      <w:r>
        <w:t xml:space="preserve"> </w:t>
      </w:r>
      <w:r>
        <w:t xml:space="preserve">Ask for written confirmation of upgrade paths, data portability procedures, and termination cost calculations. Good answers provide detailed processes. Red flags include vague promises without specific commitments.</w:t>
      </w:r>
    </w:p>
    <w:p>
      <w:pPr>
        <w:pStyle w:val="BodyText"/>
      </w:pPr>
      <w:r>
        <w:rPr>
          <w:b/>
          <w:bCs/>
        </w:rPr>
        <w:t xml:space="preserve">Verify contract minimum duration and escalation triggers:</w:t>
      </w:r>
      <w:r>
        <w:t xml:space="preserve"> </w:t>
      </w:r>
      <w:r>
        <w:t xml:space="preserve">“At what revenue level do our rates automatically increase, and by how much?”</w:t>
      </w:r>
      <w:r>
        <w:t xml:space="preserve"> </w:t>
      </w:r>
      <w:r>
        <w:t xml:space="preserve">Request written confirmation of volume thresholds and rate changes. Test their flexibility on payment timing and early termination scenarios.</w:t>
      </w:r>
    </w:p>
    <w:bookmarkEnd w:id="37"/>
    <w:bookmarkStart w:id="43" w:name="Xd0a1f2cb36bc742089cada78a845ef358da7d60"/>
    <w:p>
      <w:pPr>
        <w:pStyle w:val="Heading2"/>
      </w:pPr>
      <w:r>
        <w:t xml:space="preserve">What is the best casino platform for a startup operator?</w:t>
      </w:r>
    </w:p>
    <w:p>
      <w:pPr>
        <w:pStyle w:val="FirstParagraph"/>
      </w:pPr>
      <w:r>
        <w:t xml:space="preserve">NuxGame provides a low barrier to entry with a revenue-sharing model (typically 10-18%) and 1-2 week launch timelines, with a setup investment from €15,000 to €50,000. This works well for market testing and initial operations under $500K monthly GGR. SOFTSWISS offers more growth headroom with crypto-fiat flexibility but typically requires higher operational involvement and a setup investment of €50,000 to €150,000, with revenue share in the 15-25% range. Avoid enterprise platforms like Playtech unless you have predictable $500K+ monthly GGR from launch.</w:t>
      </w:r>
    </w:p>
    <w:bookmarkStart w:id="38" w:name="X11261b9a080038f05af6e2d8aca0d942c80f4ed"/>
    <w:p>
      <w:pPr>
        <w:pStyle w:val="Heading3"/>
      </w:pPr>
      <w:r>
        <w:t xml:space="preserve">How do I choose a casino platform for a new online casino?</w:t>
      </w:r>
    </w:p>
    <w:p>
      <w:pPr>
        <w:pStyle w:val="FirstParagraph"/>
      </w:pPr>
      <w:r>
        <w:t xml:space="preserve">Match your team capabilities to platform operational requirements. Non-technical teams need platforms with strong operational support features like BlueOcean Gaming. Technical teams can handle modular platforms like EveryMatrix. Factor in your cash flow preferences - revenue sharing can reduce upfront costs but becomes a larger expense at scale.</w:t>
      </w:r>
    </w:p>
    <w:bookmarkEnd w:id="38"/>
    <w:bookmarkStart w:id="39" w:name="best-casino-software-for-startups"/>
    <w:p>
      <w:pPr>
        <w:pStyle w:val="Heading3"/>
      </w:pPr>
      <w:r>
        <w:t xml:space="preserve">Best casino software for startups</w:t>
      </w:r>
    </w:p>
    <w:p>
      <w:pPr>
        <w:pStyle w:val="FirstParagraph"/>
      </w:pPr>
      <w:r>
        <w:t xml:space="preserve">Revenue-sharing models often work best for initial market testing. NuxGame offers rapid deployment at 1-2 weeks with comprehensive game libraries. SOFTSWISS provides strong flexibility for hybrid crypto-fiat operations. Avoid enterprise platforms like Playtech unless you have predictable $500K+ monthly GGR from launch.</w:t>
      </w:r>
    </w:p>
    <w:bookmarkEnd w:id="39"/>
    <w:bookmarkStart w:id="40" w:name="X1b644caf74c6dbfb747b769cd3a560ecf8b2b68"/>
    <w:p>
      <w:pPr>
        <w:pStyle w:val="Heading3"/>
      </w:pPr>
      <w:r>
        <w:t xml:space="preserve">Casino platform vs white label casino platform for startups</w:t>
      </w:r>
    </w:p>
    <w:p>
      <w:pPr>
        <w:pStyle w:val="FirstParagraph"/>
      </w:pPr>
      <w:r>
        <w:t xml:space="preserve">White label platforms, such as those with strong operational support features, can provide extensive assistance for operators with minimal technical requirements. Full casino platforms like SOFTSWISS offer more customization but generally require more direct operational management. Choose solutions with strong operational support if you lack casino operational experience or technical resources.</w:t>
      </w:r>
    </w:p>
    <w:bookmarkEnd w:id="40"/>
    <w:bookmarkStart w:id="41" w:name="X90ccc8d5f41759964930db34d8c8712ad0ed754"/>
    <w:p>
      <w:pPr>
        <w:pStyle w:val="Heading3"/>
      </w:pPr>
      <w:r>
        <w:t xml:space="preserve">How fast can you launch with a casino platform?</w:t>
      </w:r>
    </w:p>
    <w:p>
      <w:pPr>
        <w:pStyle w:val="FirstParagraph"/>
      </w:pPr>
      <w:r>
        <w:t xml:space="preserve">NuxGame achieves 1-2 week launches for standard configurations. Slotegrator reports launch timelines of 2-4 weeks. EveryMatrix typically has launch timelines of 6-12 weeks. Always add 4-6 weeks for payment provider certifications and regulatory notifications regardless of platform choice. Budget 8-12 weeks total for production-ready operations.</w:t>
      </w:r>
    </w:p>
    <w:bookmarkEnd w:id="41"/>
    <w:bookmarkStart w:id="42" w:name="X9f3cb7ee2228d6f2db0a3973a84b8519e6f35e4"/>
    <w:p>
      <w:pPr>
        <w:pStyle w:val="Heading3"/>
      </w:pPr>
      <w:r>
        <w:t xml:space="preserve">How much does a casino platform cost for a startup?</w:t>
      </w:r>
    </w:p>
    <w:p>
      <w:pPr>
        <w:pStyle w:val="FirstParagraph"/>
      </w:pPr>
      <w:r>
        <w:t xml:space="preserve">Revenue-sharing models typically range from 10-25% of GGR, often with setup costs. NuxGame’s setup investment is €15,000-€50,000, and SOFTSWISS’s is €50,000-€150,000. License fee models and comprehensive solutions from providers like Slotegrator (setup €20,000-€70,000) or EveryMatrix (setup €75,000-€200,000) also exist. Most startups begin with revenue sharing and may migrate to license fees or more tailored models once generating $400K+ monthly GGR consistently to optimize costs.</w:t>
      </w:r>
    </w:p>
    <w:p>
      <w:pPr>
        <w:pStyle w:val="BodyText"/>
      </w:pPr>
      <w:r>
        <w:t xml:space="preserve">For the complete feature-by-feature comparison across all operator types, see our</w:t>
      </w:r>
      <w:r>
        <w:t xml:space="preserve"> </w:t>
      </w:r>
      <w:hyperlink r:id="rId9">
        <w:r>
          <w:rPr>
            <w:rStyle w:val="Hyperlink"/>
          </w:rPr>
          <w:t xml:space="preserve">comprehensive casino platform guide</w:t>
        </w:r>
      </w:hyperlink>
      <w:r>
        <w:t xml:space="preserve">. Browse our</w:t>
      </w:r>
      <w:r>
        <w:t xml:space="preserve"> </w:t>
      </w:r>
      <w:hyperlink r:id="rId34">
        <w:r>
          <w:rPr>
            <w:rStyle w:val="Hyperlink"/>
          </w:rPr>
          <w:t xml:space="preserve">directory of casino platform providers</w:t>
        </w:r>
      </w:hyperlink>
      <w:r>
        <w:t xml:space="preserve"> </w:t>
      </w:r>
      <w:r>
        <w:t xml:space="preserve">for detailed company profiles and user reviews.</w:t>
      </w:r>
    </w:p>
    <w:p>
      <w:pPr>
        <w:pStyle w:val="BodyText"/>
      </w:pPr>
      <w:r>
        <w:rPr>
          <w:b/>
          <w:bCs/>
        </w:rPr>
        <w:t xml:space="preserve">Last verified:</w:t>
      </w:r>
      <w:r>
        <w:t xml:space="preserve"> </w:t>
      </w:r>
      <w:r>
        <w:t xml:space="preserve">April 2026. This analysis is based on independent research and operator interviews. OnlyiGaming maintains no commercial relationships with featured providers that influence editorial coverage.</w:t>
      </w:r>
    </w:p>
    <w:p>
      <w:pPr>
        <w:pStyle w:val="BodyText"/>
      </w:pPr>
      <w:r>
        <w:rPr>
          <w:b/>
          <w:bCs/>
        </w:rPr>
        <w:t xml:space="preserve">Next step:</w:t>
      </w:r>
      <w:r>
        <w:t xml:space="preserve"> </w:t>
      </w:r>
      <w:r>
        <w:t xml:space="preserve">Request sandbox demonstrations from your shortlisted providers with three reference operators in your target market and revenue range to verify their capabilities match your specific operational requirements.</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guides/best-casino-platforms-2026" TargetMode="External" /><Relationship Type="http://schemas.openxmlformats.org/officeDocument/2006/relationships/hyperlink" Id="rId32" Target="https://onlyigaming.com/companies/betconstruct" TargetMode="External" /><Relationship Type="http://schemas.openxmlformats.org/officeDocument/2006/relationships/hyperlink" Id="rId11" Target="https://onlyigaming.com/companies/blueocean-gaming" TargetMode="External" /><Relationship Type="http://schemas.openxmlformats.org/officeDocument/2006/relationships/hyperlink" Id="rId16" Target="https://onlyigaming.com/companies/everymatrix" TargetMode="External" /><Relationship Type="http://schemas.openxmlformats.org/officeDocument/2006/relationships/hyperlink" Id="rId12" Target="https://onlyigaming.com/companies/gr8-tech" TargetMode="External" /><Relationship Type="http://schemas.openxmlformats.org/officeDocument/2006/relationships/hyperlink" Id="rId10" Target="https://onlyigaming.com/companies/nuxgame" TargetMode="External" /><Relationship Type="http://schemas.openxmlformats.org/officeDocument/2006/relationships/hyperlink" Id="rId33" Target="https://onlyigaming.com/companies/playtech" TargetMode="External" /><Relationship Type="http://schemas.openxmlformats.org/officeDocument/2006/relationships/hyperlink" Id="rId31" Target="https://onlyigaming.com/companies/pragmatic-solutions" TargetMode="External" /><Relationship Type="http://schemas.openxmlformats.org/officeDocument/2006/relationships/hyperlink" Id="rId15" Target="https://onlyigaming.com/companies/slotegrator" TargetMode="External" /><Relationship Type="http://schemas.openxmlformats.org/officeDocument/2006/relationships/hyperlink" Id="rId14" Target="https://onlyigaming.com/companies/soft2bet" TargetMode="External" /><Relationship Type="http://schemas.openxmlformats.org/officeDocument/2006/relationships/hyperlink" Id="rId13" Target="https://onlyigaming.com/companies/softswiss" TargetMode="External" /><Relationship Type="http://schemas.openxmlformats.org/officeDocument/2006/relationships/hyperlink" Id="rId34" Target="https://onlyigaming.com/companies?category=casino-platforms" TargetMode="External" /></Relationships>
</file>

<file path=word/_rels/footnotes.xml.rels><?xml version="1.0" encoding="UTF-8"?><Relationships xmlns="http://schemas.openxmlformats.org/package/2006/relationships"><Relationship Type="http://schemas.openxmlformats.org/officeDocument/2006/relationships/hyperlink" Id="rId9" Target="/guides/best-casino-platforms-2026" TargetMode="External" /><Relationship Type="http://schemas.openxmlformats.org/officeDocument/2006/relationships/hyperlink" Id="rId32" Target="https://onlyigaming.com/companies/betconstruct" TargetMode="External" /><Relationship Type="http://schemas.openxmlformats.org/officeDocument/2006/relationships/hyperlink" Id="rId11" Target="https://onlyigaming.com/companies/blueocean-gaming" TargetMode="External" /><Relationship Type="http://schemas.openxmlformats.org/officeDocument/2006/relationships/hyperlink" Id="rId16" Target="https://onlyigaming.com/companies/everymatrix" TargetMode="External" /><Relationship Type="http://schemas.openxmlformats.org/officeDocument/2006/relationships/hyperlink" Id="rId12" Target="https://onlyigaming.com/companies/gr8-tech" TargetMode="External" /><Relationship Type="http://schemas.openxmlformats.org/officeDocument/2006/relationships/hyperlink" Id="rId10" Target="https://onlyigaming.com/companies/nuxgame" TargetMode="External" /><Relationship Type="http://schemas.openxmlformats.org/officeDocument/2006/relationships/hyperlink" Id="rId33" Target="https://onlyigaming.com/companies/playtech" TargetMode="External" /><Relationship Type="http://schemas.openxmlformats.org/officeDocument/2006/relationships/hyperlink" Id="rId31" Target="https://onlyigaming.com/companies/pragmatic-solutions" TargetMode="External" /><Relationship Type="http://schemas.openxmlformats.org/officeDocument/2006/relationships/hyperlink" Id="rId15" Target="https://onlyigaming.com/companies/slotegrator" TargetMode="External" /><Relationship Type="http://schemas.openxmlformats.org/officeDocument/2006/relationships/hyperlink" Id="rId14" Target="https://onlyigaming.com/companies/soft2bet" TargetMode="External" /><Relationship Type="http://schemas.openxmlformats.org/officeDocument/2006/relationships/hyperlink" Id="rId13" Target="https://onlyigaming.com/companies/softswiss" TargetMode="External" /><Relationship Type="http://schemas.openxmlformats.org/officeDocument/2006/relationships/hyperlink" Id="rId34" Target="https://onlyigaming.com/companies?category=casino-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Casino Platforms for Startups in 2026</dc:title>
  <dc:creator>OnlyiGaming Editorial</dc:creator>
  <cp:category>Casino Platforms</cp:category>
  <cp:keywords/>
  <dcterms:created xsi:type="dcterms:W3CDTF">2026-06-02T14:15:50Z</dcterms:created>
  <dcterms:modified xsi:type="dcterms:W3CDTF">2026-06-02T14:15:50Z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rd_headline">
    <vt:lpwstr>Best Casino Platforms for Startups</vt:lpwstr>
  </property>
  <property fmtid="{D5CDD505-2E9C-101B-9397-08002B2CF9AE}" pid="3" name="card_subheadline">
    <vt:lpwstr>Compare 8 casino platforms optimized for startup operators, covering pricing thresholds, support tiers, and growth flexibility.</vt:lpwstr>
  </property>
  <property fmtid="{D5CDD505-2E9C-101B-9397-08002B2CF9AE}" pid="4" name="date">
    <vt:lpwstr>2026-04-07</vt:lpwstr>
  </property>
  <property fmtid="{D5CDD505-2E9C-101B-9397-08002B2CF9AE}" pid="5" name="faq_schema">
    <vt:lpwstr>True</vt:lpwstr>
  </property>
  <property fmtid="{D5CDD505-2E9C-101B-9397-08002B2CF9AE}" pid="6" name="last_updated">
    <vt:lpwstr>2026-04-07</vt:lpwstr>
  </property>
  <property fmtid="{D5CDD505-2E9C-101B-9397-08002B2CF9AE}" pid="7" name="last_verified">
    <vt:lpwstr>2026-04-07</vt:lpwstr>
  </property>
  <property fmtid="{D5CDD505-2E9C-101B-9397-08002B2CF9AE}" pid="8" name="meta_description">
    <vt:lpwstr>Compare the top casino platforms for startup operators. Independent analysis of pricing models, support tiers, growth headroom, and contract flexibility.</vt:lpwstr>
  </property>
  <property fmtid="{D5CDD505-2E9C-101B-9397-08002B2CF9AE}" pid="9" name="meta_title">
    <vt:lpwstr>Best Casino Platform for Startups 2026 | OnlyiGaming</vt:lpwstr>
  </property>
  <property fmtid="{D5CDD505-2E9C-101B-9397-08002B2CF9AE}" pid="10" name="parent_pillar">
    <vt:lpwstr>/guides/best-casino-platforms-2026</vt:lpwstr>
  </property>
  <property fmtid="{D5CDD505-2E9C-101B-9397-08002B2CF9AE}" pid="11" name="primary_keyword">
    <vt:lpwstr>best casino platform for startups</vt:lpwstr>
  </property>
  <property fmtid="{D5CDD505-2E9C-101B-9397-08002B2CF9AE}" pid="12" name="protected_keywords">
    <vt:lpwstr/>
  </property>
  <property fmtid="{D5CDD505-2E9C-101B-9397-08002B2CF9AE}" pid="13" name="schema_type">
    <vt:lpwstr>Article</vt:lpwstr>
  </property>
  <property fmtid="{D5CDD505-2E9C-101B-9397-08002B2CF9AE}" pid="14" name="secondary_keywords">
    <vt:lpwstr/>
  </property>
  <property fmtid="{D5CDD505-2E9C-101B-9397-08002B2CF9AE}" pid="15" name="slug">
    <vt:lpwstr>casino-platforms-best-casino-platforms-for-startups</vt:lpwstr>
  </property>
  <property fmtid="{D5CDD505-2E9C-101B-9397-08002B2CF9AE}" pid="16" name="type">
    <vt:lpwstr>satellite-best-for</vt:lpwstr>
  </property>
</Properties>
</file>