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a08f137049cbf1c00b3d15b3932b63aa3085eba"/>
    <w:p>
      <w:pPr>
        <w:pStyle w:val="Heading1"/>
      </w:pPr>
      <w:r>
        <w:t xml:space="preserve">AML Solutions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AML Solutions</w:t>
      </w:r>
    </w:p>
    <w:p>
      <w:pPr>
        <w:pStyle w:val="Compact"/>
        <w:numPr>
          <w:ilvl w:val="0"/>
          <w:numId w:val="1001"/>
        </w:numPr>
      </w:pPr>
      <w:r>
        <w:rPr>
          <w:b/>
          <w:bCs/>
        </w:rPr>
        <w:t xml:space="preserve">Slug:</w:t>
      </w:r>
      <w:r>
        <w:t xml:space="preserve"> </w:t>
      </w:r>
      <w:r>
        <w:t xml:space="preserve">aml-solutions</w:t>
      </w:r>
    </w:p>
    <w:p>
      <w:pPr>
        <w:pStyle w:val="Compact"/>
        <w:numPr>
          <w:ilvl w:val="0"/>
          <w:numId w:val="1001"/>
        </w:numPr>
      </w:pPr>
      <w:r>
        <w:rPr>
          <w:b/>
          <w:bCs/>
        </w:rPr>
        <w:t xml:space="preserve">Parent:</w:t>
      </w:r>
      <w:r>
        <w:t xml:space="preserve"> </w:t>
      </w:r>
      <w:r>
        <w:t xml:space="preserve">Compliance &amp; Legal</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~3,200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AML compliance has shifted from a legal checkbox to an operational necessity for licensed gambling operators. This FAQ covers transaction monitoring systems, regulatory requirements by jurisdiction, provider selection, and the real costs of getting AML wrong.</w:t>
      </w:r>
    </w:p>
    <w:p>
      <w:r>
        <w:pict>
          <v:rect style="width:0;height:1.5pt" o:hralign="center" o:hrstd="t" o:hr="t"/>
        </w:pict>
      </w:r>
    </w:p>
    <w:bookmarkEnd w:id="10"/>
    <w:bookmarkStart w:id="15" w:name="what-is-aml-in-igaming"/>
    <w:p>
      <w:pPr>
        <w:pStyle w:val="Heading2"/>
      </w:pPr>
      <w:r>
        <w:t xml:space="preserve">What is AML in iGaming?</w:t>
      </w:r>
    </w:p>
    <w:p>
      <w:pPr>
        <w:pStyle w:val="FirstParagraph"/>
      </w:pPr>
      <w:r>
        <w:t xml:space="preserve">AML (Anti-Money Laundering) in iGaming refers to the systems, policies, and procedures that prevent gambling platforms from being used to launder money or finance criminal activity. It’s a regulatory requirement in all licensed jurisdictions that makes gambling operators legally responsible for detecting and reporting suspicious financial activity.</w:t>
      </w:r>
    </w:p>
    <w:p>
      <w:pPr>
        <w:pStyle w:val="BodyText"/>
      </w:pPr>
      <w:r>
        <w:t xml:space="preserve">For operators, AML compliance has shifted from being a legal obligation to a core survival mechanism. If you’re running a casino or betting platform, you aren’t just a gaming business—you’re a financial institution in the eyes of the law. FinCEN in the US, the UKGC in the UK, and the MGA in Malta all treat licensed gambling operators as entities with financial reporting obligations.</w:t>
      </w:r>
    </w:p>
    <w:bookmarkStart w:id="11" w:name="core-aml-requirements"/>
    <w:p>
      <w:pPr>
        <w:pStyle w:val="Heading4"/>
      </w:pPr>
      <w:r>
        <w:t xml:space="preserve">Core AML requirements</w:t>
      </w:r>
    </w:p>
    <w:p>
      <w:pPr>
        <w:pStyle w:val="Compact"/>
        <w:numPr>
          <w:ilvl w:val="0"/>
          <w:numId w:val="1002"/>
        </w:numPr>
      </w:pPr>
      <w:r>
        <w:rPr>
          <w:b/>
          <w:bCs/>
        </w:rPr>
        <w:t xml:space="preserve">Customer Due Diligence (CDD):</w:t>
      </w:r>
      <w:r>
        <w:t xml:space="preserve"> </w:t>
      </w:r>
      <w:r>
        <w:t xml:space="preserve">Verify player identity and assess risk level before and during the relationship</w:t>
      </w:r>
    </w:p>
    <w:p>
      <w:pPr>
        <w:pStyle w:val="Compact"/>
        <w:numPr>
          <w:ilvl w:val="0"/>
          <w:numId w:val="1002"/>
        </w:numPr>
      </w:pPr>
      <w:r>
        <w:rPr>
          <w:b/>
          <w:bCs/>
        </w:rPr>
        <w:t xml:space="preserve">Transaction Monitoring:</w:t>
      </w:r>
      <w:r>
        <w:t xml:space="preserve"> </w:t>
      </w:r>
      <w:r>
        <w:t xml:space="preserve">Track deposits, withdrawals, and betting patterns for suspicious activity</w:t>
      </w:r>
    </w:p>
    <w:p>
      <w:pPr>
        <w:pStyle w:val="Compact"/>
        <w:numPr>
          <w:ilvl w:val="0"/>
          <w:numId w:val="1002"/>
        </w:numPr>
      </w:pPr>
      <w:r>
        <w:rPr>
          <w:b/>
          <w:bCs/>
        </w:rPr>
        <w:t xml:space="preserve">Suspicious Activity Reports (SARs):</w:t>
      </w:r>
      <w:r>
        <w:t xml:space="preserve"> </w:t>
      </w:r>
      <w:r>
        <w:t xml:space="preserve">Report suspicious transactions to financial intelligence units</w:t>
      </w:r>
    </w:p>
    <w:p>
      <w:pPr>
        <w:pStyle w:val="Compact"/>
        <w:numPr>
          <w:ilvl w:val="0"/>
          <w:numId w:val="1002"/>
        </w:numPr>
      </w:pPr>
      <w:r>
        <w:rPr>
          <w:b/>
          <w:bCs/>
        </w:rPr>
        <w:t xml:space="preserve">Currency Transaction Reports (CTRs):</w:t>
      </w:r>
      <w:r>
        <w:t xml:space="preserve"> </w:t>
      </w:r>
      <w:r>
        <w:t xml:space="preserve">Report cash transactions over threshold amounts (e.g., $10,000 in US)</w:t>
      </w:r>
    </w:p>
    <w:p>
      <w:pPr>
        <w:pStyle w:val="Compact"/>
        <w:numPr>
          <w:ilvl w:val="0"/>
          <w:numId w:val="1002"/>
        </w:numPr>
      </w:pPr>
      <w:r>
        <w:rPr>
          <w:b/>
          <w:bCs/>
        </w:rPr>
        <w:t xml:space="preserve">Record Keeping:</w:t>
      </w:r>
      <w:r>
        <w:t xml:space="preserve"> </w:t>
      </w:r>
      <w:r>
        <w:t xml:space="preserve">Maintain transaction logs, player records, and SAR filings for 5+ years</w:t>
      </w:r>
    </w:p>
    <w:p>
      <w:pPr>
        <w:pStyle w:val="Compact"/>
        <w:numPr>
          <w:ilvl w:val="0"/>
          <w:numId w:val="1002"/>
        </w:numPr>
      </w:pPr>
      <w:r>
        <w:rPr>
          <w:b/>
          <w:bCs/>
        </w:rPr>
        <w:t xml:space="preserve">Sanctions Screening:</w:t>
      </w:r>
      <w:r>
        <w:t xml:space="preserve"> </w:t>
      </w:r>
      <w:r>
        <w:t xml:space="preserve">Check players against PEP and sanctions watchlists</w:t>
      </w:r>
    </w:p>
    <w:bookmarkEnd w:id="11"/>
    <w:bookmarkStart w:id="14" w:name="why-aml-matters-beyond-compliance"/>
    <w:p>
      <w:pPr>
        <w:pStyle w:val="Heading4"/>
      </w:pPr>
      <w:r>
        <w:t xml:space="preserve">Why AML matters beyond compliance</w:t>
      </w:r>
    </w:p>
    <w:p>
      <w:pPr>
        <w:pStyle w:val="FirstParagraph"/>
      </w:pPr>
      <w:r>
        <w:t xml:space="preserve">Regulators are increasingly aggressive. The UKGC issued £10 million, £1.4 million, and £1 million fines to operators in 2025 alone for AML failures. Beyond fines, serious breaches result in license suspension or revocation—ending your ability to operate.</w:t>
      </w:r>
    </w:p>
    <w:p>
      <w:pPr>
        <w:pStyle w:val="BodyText"/>
      </w:pPr>
      <w:r>
        <w:t xml:space="preserve">Related:</w:t>
      </w:r>
      <w:r>
        <w:t xml:space="preserve"> </w:t>
      </w:r>
      <w:hyperlink r:id="rId12">
        <w:r>
          <w:rPr>
            <w:rStyle w:val="Hyperlink"/>
          </w:rPr>
          <w:t xml:space="preserve">KYC Services</w:t>
        </w:r>
      </w:hyperlink>
      <w:r>
        <w:t xml:space="preserve"> </w:t>
      </w:r>
      <w:r>
        <w:t xml:space="preserve">|</w:t>
      </w:r>
      <w:r>
        <w:t xml:space="preserve"> </w:t>
      </w:r>
      <w:hyperlink r:id="rId13">
        <w:r>
          <w:rPr>
            <w:rStyle w:val="Hyperlink"/>
          </w:rPr>
          <w:t xml:space="preserve">Compliance &amp; Regulatory Services</w:t>
        </w:r>
      </w:hyperlink>
    </w:p>
    <w:p>
      <w:r>
        <w:pict>
          <v:rect style="width:0;height:1.5pt" o:hralign="center" o:hrstd="t" o:hr="t"/>
        </w:pict>
      </w:r>
    </w:p>
    <w:bookmarkEnd w:id="14"/>
    <w:bookmarkEnd w:id="15"/>
    <w:bookmarkStart w:id="23" w:name="how-much-does-aml-compliance-cost"/>
    <w:p>
      <w:pPr>
        <w:pStyle w:val="Heading2"/>
      </w:pPr>
      <w:r>
        <w:t xml:space="preserve">How much does AML compliance cost?</w:t>
      </w:r>
    </w:p>
    <w:p>
      <w:pPr>
        <w:pStyle w:val="FirstParagraph"/>
      </w:pPr>
      <w:r>
        <w:t xml:space="preserve">AML compliance costs vary dramatically by operator size, but budget €50,000-€500,000+ annually for a comprehensive program. This includes technology, staffing, training, and regulatory overhead. Larger operators running multi-market compliance programs spend €1-5 million annually.</w:t>
      </w:r>
    </w:p>
    <w:bookmarkStart w:id="16" w:name="cost-breakdown-2026"/>
    <w:p>
      <w:pPr>
        <w:pStyle w:val="Heading4"/>
      </w:pPr>
      <w:r>
        <w:t xml:space="preserve">Cost breakdown (2026)</w:t>
      </w:r>
    </w:p>
    <w:p>
      <w:pPr>
        <w:pStyle w:val="Compact"/>
        <w:numPr>
          <w:ilvl w:val="0"/>
          <w:numId w:val="1003"/>
        </w:numPr>
      </w:pPr>
      <w:r>
        <w:rPr>
          <w:b/>
          <w:bCs/>
        </w:rPr>
        <w:t xml:space="preserve">AML software platform:</w:t>
      </w:r>
      <w:r>
        <w:t xml:space="preserve"> </w:t>
      </w:r>
      <w:r>
        <w:t xml:space="preserve">€20,000-€200,000/year. Transaction monitoring, screening, and case management tools. Enterprise platforms like NICE Actimize at the high end; SaaS solutions like Sumsub or SEON at lower tiers</w:t>
      </w:r>
    </w:p>
    <w:p>
      <w:pPr>
        <w:pStyle w:val="Compact"/>
        <w:numPr>
          <w:ilvl w:val="0"/>
          <w:numId w:val="1003"/>
        </w:numPr>
      </w:pPr>
      <w:r>
        <w:rPr>
          <w:b/>
          <w:bCs/>
        </w:rPr>
        <w:t xml:space="preserve">Compliance staff:</w:t>
      </w:r>
      <w:r>
        <w:t xml:space="preserve"> </w:t>
      </w:r>
      <w:r>
        <w:t xml:space="preserve">€50,000-€120,000/year per compliance officer. Most operators need 2-5 dedicated AML staff depending on volume</w:t>
      </w:r>
    </w:p>
    <w:p>
      <w:pPr>
        <w:pStyle w:val="Compact"/>
        <w:numPr>
          <w:ilvl w:val="0"/>
          <w:numId w:val="1003"/>
        </w:numPr>
      </w:pPr>
      <w:r>
        <w:rPr>
          <w:b/>
          <w:bCs/>
        </w:rPr>
        <w:t xml:space="preserve">Training and certification:</w:t>
      </w:r>
      <w:r>
        <w:t xml:space="preserve"> </w:t>
      </w:r>
      <w:r>
        <w:t xml:space="preserve">€5,000-€20,000/year. Staff training, certification programs, regulatory updates</w:t>
      </w:r>
    </w:p>
    <w:p>
      <w:pPr>
        <w:pStyle w:val="Compact"/>
        <w:numPr>
          <w:ilvl w:val="0"/>
          <w:numId w:val="1003"/>
        </w:numPr>
      </w:pPr>
      <w:r>
        <w:rPr>
          <w:b/>
          <w:bCs/>
        </w:rPr>
        <w:t xml:space="preserve">External audits:</w:t>
      </w:r>
      <w:r>
        <w:t xml:space="preserve"> </w:t>
      </w:r>
      <w:r>
        <w:t xml:space="preserve">€10,000-€50,000/year. Third-party audits often required after enforcement actions or for license renewals</w:t>
      </w:r>
    </w:p>
    <w:p>
      <w:pPr>
        <w:pStyle w:val="Compact"/>
        <w:numPr>
          <w:ilvl w:val="0"/>
          <w:numId w:val="1003"/>
        </w:numPr>
      </w:pPr>
      <w:r>
        <w:rPr>
          <w:b/>
          <w:bCs/>
        </w:rPr>
        <w:t xml:space="preserve">SAR/CTR filing infrastructure:</w:t>
      </w:r>
      <w:r>
        <w:t xml:space="preserve"> </w:t>
      </w:r>
      <w:r>
        <w:t xml:space="preserve">€5,000-€30,000/year. Systems for generating and submitting regulatory reports</w:t>
      </w:r>
    </w:p>
    <w:p>
      <w:pPr>
        <w:pStyle w:val="Compact"/>
        <w:numPr>
          <w:ilvl w:val="0"/>
          <w:numId w:val="1003"/>
        </w:numPr>
      </w:pPr>
      <w:r>
        <w:rPr>
          <w:b/>
          <w:bCs/>
        </w:rPr>
        <w:t xml:space="preserve">Legal and consulting:</w:t>
      </w:r>
      <w:r>
        <w:t xml:space="preserve"> </w:t>
      </w:r>
      <w:r>
        <w:t xml:space="preserve">€20,000-€100,000/year. Regulatory guidance, policy development, enforcement response</w:t>
      </w:r>
    </w:p>
    <w:bookmarkEnd w:id="16"/>
    <w:bookmarkStart w:id="18" w:name="the-cost-of-non-compliance"/>
    <w:p>
      <w:pPr>
        <w:pStyle w:val="Heading4"/>
      </w:pPr>
      <w:r>
        <w:t xml:space="preserve">The cost of non-compliance</w:t>
      </w:r>
    </w:p>
    <w:p>
      <w:pPr>
        <w:pStyle w:val="FirstParagraph"/>
      </w:pPr>
      <w:r>
        <w:t xml:space="preserve">UKGC fines in 2025: Platinum Gaming £10 million, Aspire Global £1.4 million, ProgressPlay £1 million, Betfred £825,000, Videoslots £650,000. These fines often come with mandatory third-party audits costing additional £50,000-£200,000.</w:t>
      </w:r>
    </w:p>
    <w:p>
      <w:pPr>
        <w:pStyle w:val="BodyText"/>
      </w:pPr>
      <w:r>
        <w:t xml:space="preserve">Historical penalties have reached £17 million (Entain, 2022) and £19 million (William Hill, 2023). The math is clear: compliance costs less than non-compliance.</w:t>
      </w:r>
    </w:p>
    <w:p>
      <w:pPr>
        <w:pStyle w:val="BodyText"/>
      </w:pPr>
      <w:r>
        <w:t xml:space="preserve">Related:</w:t>
      </w:r>
      <w:r>
        <w:t xml:space="preserve"> </w:t>
      </w:r>
      <w:hyperlink r:id="rId17">
        <w:r>
          <w:rPr>
            <w:rStyle w:val="Hyperlink"/>
          </w:rPr>
          <w:t xml:space="preserve">Licensing &amp; Regulatory Consulting</w:t>
        </w:r>
      </w:hyperlink>
    </w:p>
    <w:p>
      <w:r>
        <w:pict>
          <v:rect style="width:0;height:1.5pt" o:hralign="center" o:hrstd="t" o:hr="t"/>
        </w:pict>
      </w:r>
    </w:p>
    <w:bookmarkEnd w:id="18"/>
    <w:bookmarkStart w:id="22" w:name="X35be18af6244ad0772df6ae6cbb626f882aceec"/>
    <w:p>
      <w:pPr>
        <w:pStyle w:val="Heading3"/>
      </w:pPr>
      <w:r>
        <w:t xml:space="preserve">What are the hidden costs of AML compliance?</w:t>
      </w:r>
    </w:p>
    <w:p>
      <w:pPr>
        <w:pStyle w:val="FirstParagraph"/>
      </w:pPr>
      <w:r>
        <w:t xml:space="preserve">The visible costs—software, staff, audits—represent roughly half of true AML program spend. Factor in operational overhead, false positive investigation, and opportunity costs for realistic budgeting.</w:t>
      </w:r>
    </w:p>
    <w:bookmarkStart w:id="19" w:name="commonly-overlooked-costs"/>
    <w:p>
      <w:pPr>
        <w:pStyle w:val="Heading4"/>
      </w:pPr>
      <w:r>
        <w:t xml:space="preserve">Commonly overlooked costs</w:t>
      </w:r>
    </w:p>
    <w:p>
      <w:pPr>
        <w:pStyle w:val="Compact"/>
        <w:numPr>
          <w:ilvl w:val="0"/>
          <w:numId w:val="1004"/>
        </w:numPr>
      </w:pPr>
      <w:r>
        <w:rPr>
          <w:b/>
          <w:bCs/>
        </w:rPr>
        <w:t xml:space="preserve">False positive investigation:</w:t>
      </w:r>
      <w:r>
        <w:t xml:space="preserve"> </w:t>
      </w:r>
      <w:r>
        <w:t xml:space="preserve">Transaction monitoring flags 2-10% of activity for review. Each false positive requires 15-60 minutes of analyst time. At scale, this consumes significant staff capacity</w:t>
      </w:r>
    </w:p>
    <w:p>
      <w:pPr>
        <w:pStyle w:val="Compact"/>
        <w:numPr>
          <w:ilvl w:val="0"/>
          <w:numId w:val="1004"/>
        </w:numPr>
      </w:pPr>
      <w:r>
        <w:rPr>
          <w:b/>
          <w:bCs/>
        </w:rPr>
        <w:t xml:space="preserve">Player friction and abandonment:</w:t>
      </w:r>
      <w:r>
        <w:t xml:space="preserve"> </w:t>
      </w:r>
      <w:r>
        <w:t xml:space="preserve">Enhanced due diligence (source of funds requests) causes 10-30% of affected players to abandon verification. Lost player LTV isn’t captured in compliance budgets</w:t>
      </w:r>
    </w:p>
    <w:p>
      <w:pPr>
        <w:pStyle w:val="Compact"/>
        <w:numPr>
          <w:ilvl w:val="0"/>
          <w:numId w:val="1004"/>
        </w:numPr>
      </w:pPr>
      <w:r>
        <w:rPr>
          <w:b/>
          <w:bCs/>
        </w:rPr>
        <w:t xml:space="preserve">Technology integration and maintenance:</w:t>
      </w:r>
      <w:r>
        <w:t xml:space="preserve"> </w:t>
      </w:r>
      <w:r>
        <w:t xml:space="preserve">AML platforms require integration with payment systems, player databases, and reporting infrastructure. Ongoing maintenance and updates add €10,000-€50,000/year</w:t>
      </w:r>
    </w:p>
    <w:p>
      <w:pPr>
        <w:pStyle w:val="Compact"/>
        <w:numPr>
          <w:ilvl w:val="0"/>
          <w:numId w:val="1004"/>
        </w:numPr>
      </w:pPr>
      <w:r>
        <w:rPr>
          <w:b/>
          <w:bCs/>
        </w:rPr>
        <w:t xml:space="preserve">Regulatory relationship management:</w:t>
      </w:r>
      <w:r>
        <w:t xml:space="preserve"> </w:t>
      </w:r>
      <w:r>
        <w:t xml:space="preserve">Responding to regulator inquiries, attending reviews, and maintaining documentation takes significant management time</w:t>
      </w:r>
    </w:p>
    <w:p>
      <w:pPr>
        <w:pStyle w:val="Compact"/>
        <w:numPr>
          <w:ilvl w:val="0"/>
          <w:numId w:val="1004"/>
        </w:numPr>
      </w:pPr>
      <w:r>
        <w:rPr>
          <w:b/>
          <w:bCs/>
        </w:rPr>
        <w:t xml:space="preserve">Remediation after enforcement:</w:t>
      </w:r>
      <w:r>
        <w:t xml:space="preserve"> </w:t>
      </w:r>
      <w:r>
        <w:t xml:space="preserve">Fines are just the start. Mandatory audits, policy rewrites, system upgrades, and additional staffing post-enforcement can cost 2-5x the fine itself</w:t>
      </w:r>
    </w:p>
    <w:p>
      <w:pPr>
        <w:pStyle w:val="Compact"/>
        <w:numPr>
          <w:ilvl w:val="0"/>
          <w:numId w:val="1004"/>
        </w:numPr>
      </w:pPr>
      <w:r>
        <w:rPr>
          <w:b/>
          <w:bCs/>
        </w:rPr>
        <w:t xml:space="preserve">Insurance premium increases:</w:t>
      </w:r>
      <w:r>
        <w:t xml:space="preserve"> </w:t>
      </w:r>
      <w:r>
        <w:t xml:space="preserve">AML failures often trigger D&amp;O insurance premium increases of 20-50%</w:t>
      </w:r>
    </w:p>
    <w:bookmarkEnd w:id="19"/>
    <w:bookmarkStart w:id="21" w:name="the-calculation-nobody-makes"/>
    <w:p>
      <w:pPr>
        <w:pStyle w:val="Heading4"/>
      </w:pPr>
      <w:r>
        <w:t xml:space="preserve">The calculation nobody makes</w:t>
      </w:r>
    </w:p>
    <w:p>
      <w:pPr>
        <w:pStyle w:val="FirstParagraph"/>
      </w:pPr>
      <w:r>
        <w:t xml:space="preserve">Compare the cost of comprehensive AML against a realistic probability-weighted enforcement cost. A £1 million fine with 10% probability costs £100,000 in expected value. But fines come with reputational damage, operational disruption, and license risk that multiplies the true cost.</w:t>
      </w:r>
    </w:p>
    <w:p>
      <w:pPr>
        <w:pStyle w:val="BodyText"/>
      </w:pPr>
      <w:r>
        <w:t xml:space="preserve">Related:</w:t>
      </w:r>
      <w:r>
        <w:t xml:space="preserve"> </w:t>
      </w:r>
      <w:hyperlink r:id="rId20">
        <w:r>
          <w:rPr>
            <w:rStyle w:val="Hyperlink"/>
          </w:rPr>
          <w:t xml:space="preserve">Risk Management</w:t>
        </w:r>
      </w:hyperlink>
    </w:p>
    <w:p>
      <w:r>
        <w:pict>
          <v:rect style="width:0;height:1.5pt" o:hralign="center" o:hrstd="t" o:hr="t"/>
        </w:pict>
      </w:r>
    </w:p>
    <w:bookmarkEnd w:id="21"/>
    <w:bookmarkEnd w:id="22"/>
    <w:bookmarkEnd w:id="23"/>
    <w:bookmarkStart w:id="32" w:name="X4f358446d7a168a6fc14ae0250b162daedddd00"/>
    <w:p>
      <w:pPr>
        <w:pStyle w:val="Heading2"/>
      </w:pPr>
      <w:r>
        <w:t xml:space="preserve">What are the AML reporting requirements in iGaming?</w:t>
      </w:r>
    </w:p>
    <w:p>
      <w:pPr>
        <w:pStyle w:val="FirstParagraph"/>
      </w:pPr>
      <w:r>
        <w:t xml:space="preserve">AML reporting requirements vary by jurisdiction but universally include suspicious activity reporting (SAR) and, in cash-handling contexts, currency transaction reporting (CTR). Missing filing deadlines or failing to report triggers regulatory penalties.</w:t>
      </w:r>
    </w:p>
    <w:bookmarkStart w:id="24" w:name="suspicious-activity-reports-sars"/>
    <w:p>
      <w:pPr>
        <w:pStyle w:val="Heading4"/>
      </w:pPr>
      <w:r>
        <w:t xml:space="preserve">Suspicious Activity Reports (SARs)</w:t>
      </w:r>
    </w:p>
    <w:p>
      <w:pPr>
        <w:pStyle w:val="Compact"/>
        <w:numPr>
          <w:ilvl w:val="0"/>
          <w:numId w:val="1005"/>
        </w:numPr>
      </w:pPr>
      <w:r>
        <w:rPr>
          <w:b/>
          <w:bCs/>
        </w:rPr>
        <w:t xml:space="preserve">US (FinCEN):</w:t>
      </w:r>
      <w:r>
        <w:t xml:space="preserve"> </w:t>
      </w:r>
      <w:r>
        <w:t xml:space="preserve">Mandatory for suspicious transactions of $5,000 or more, including attempted transactions that weren’t completed. File within 30 days of detection</w:t>
      </w:r>
    </w:p>
    <w:p>
      <w:pPr>
        <w:pStyle w:val="Compact"/>
        <w:numPr>
          <w:ilvl w:val="0"/>
          <w:numId w:val="1005"/>
        </w:numPr>
      </w:pPr>
      <w:r>
        <w:rPr>
          <w:b/>
          <w:bCs/>
        </w:rPr>
        <w:t xml:space="preserve">UK (UKGC/NCA):</w:t>
      </w:r>
      <w:r>
        <w:t xml:space="preserve"> </w:t>
      </w:r>
      <w:r>
        <w:t xml:space="preserve">Report all suspicious activity to the National Crime Agency. No minimum threshold—if activity appears suspicious, report it</w:t>
      </w:r>
    </w:p>
    <w:p>
      <w:pPr>
        <w:pStyle w:val="Compact"/>
        <w:numPr>
          <w:ilvl w:val="0"/>
          <w:numId w:val="1005"/>
        </w:numPr>
      </w:pPr>
      <w:r>
        <w:rPr>
          <w:b/>
          <w:bCs/>
        </w:rPr>
        <w:t xml:space="preserve">EU (AMLD):</w:t>
      </w:r>
      <w:r>
        <w:t xml:space="preserve"> </w:t>
      </w:r>
      <w:r>
        <w:t xml:space="preserve">Report to relevant Financial Intelligence Unit (FIU). Requirements vary by member state but align with FATF standards</w:t>
      </w:r>
    </w:p>
    <w:p>
      <w:pPr>
        <w:pStyle w:val="FirstParagraph"/>
      </w:pPr>
      <w:r>
        <w:t xml:space="preserve">Even attempted transactions that don’t complete must be reported if they show signs of illicit origin. The burden is on the operator to identify and report—not wait for regulators to ask.</w:t>
      </w:r>
    </w:p>
    <w:bookmarkEnd w:id="24"/>
    <w:bookmarkStart w:id="25" w:name="currency-transaction-reports-ctrs"/>
    <w:p>
      <w:pPr>
        <w:pStyle w:val="Heading4"/>
      </w:pPr>
      <w:r>
        <w:t xml:space="preserve">Currency Transaction Reports (CTRs)</w:t>
      </w:r>
    </w:p>
    <w:p>
      <w:pPr>
        <w:pStyle w:val="Compact"/>
        <w:numPr>
          <w:ilvl w:val="0"/>
          <w:numId w:val="1006"/>
        </w:numPr>
      </w:pPr>
      <w:r>
        <w:rPr>
          <w:b/>
          <w:bCs/>
        </w:rPr>
        <w:t xml:space="preserve">US:</w:t>
      </w:r>
      <w:r>
        <w:t xml:space="preserve"> </w:t>
      </w:r>
      <w:r>
        <w:t xml:space="preserve">Required for cash transactions over $10,000 in a 24-hour period. Automatic filing, no suspicion required</w:t>
      </w:r>
    </w:p>
    <w:p>
      <w:pPr>
        <w:pStyle w:val="Compact"/>
        <w:numPr>
          <w:ilvl w:val="0"/>
          <w:numId w:val="1006"/>
        </w:numPr>
      </w:pPr>
      <w:r>
        <w:rPr>
          <w:b/>
          <w:bCs/>
        </w:rPr>
        <w:t xml:space="preserve">Most jurisdictions:</w:t>
      </w:r>
      <w:r>
        <w:t xml:space="preserve"> </w:t>
      </w:r>
      <w:r>
        <w:t xml:space="preserve">Online gambling involves fewer cash transactions, but land-based operations have strict CTR requirements</w:t>
      </w:r>
    </w:p>
    <w:bookmarkEnd w:id="25"/>
    <w:bookmarkStart w:id="26" w:name="record-keeping-requirements"/>
    <w:p>
      <w:pPr>
        <w:pStyle w:val="Heading4"/>
      </w:pPr>
      <w:r>
        <w:t xml:space="preserve">Record-keeping requirements</w:t>
      </w:r>
    </w:p>
    <w:p>
      <w:pPr>
        <w:pStyle w:val="FirstParagraph"/>
      </w:pPr>
      <w:r>
        <w:t xml:space="preserve">Most jurisdictions require 5+ years retention of customer identification records, transaction logs, SAR filings, and due diligence documentation. Records must be accessible for regulatory inspection within reasonable timeframes.</w:t>
      </w:r>
    </w:p>
    <w:bookmarkEnd w:id="26"/>
    <w:bookmarkStart w:id="27" w:name="the-structuring-problem"/>
    <w:p>
      <w:pPr>
        <w:pStyle w:val="Heading4"/>
      </w:pPr>
      <w:r>
        <w:t xml:space="preserve">The structuring problem</w:t>
      </w:r>
    </w:p>
    <w:p>
      <w:pPr>
        <w:pStyle w:val="FirstParagraph"/>
      </w:pPr>
      <w:r>
        <w:t xml:space="preserve">Players attempting to evade reporting thresholds by making multiple smaller transactions (</w:t>
      </w:r>
      <w:r>
        <w:t xml:space="preserve">“structuring”</w:t>
      </w:r>
      <w:r>
        <w:t xml:space="preserve">) must be identified and reported. Transaction monitoring must detect patterns indicating structuring behavior, not just individual threshold breaches.</w:t>
      </w:r>
    </w:p>
    <w:p>
      <w:pPr>
        <w:pStyle w:val="BodyText"/>
      </w:pPr>
      <w:r>
        <w:t xml:space="preserve">Related:</w:t>
      </w:r>
      <w:r>
        <w:t xml:space="preserve"> </w:t>
      </w:r>
      <w:hyperlink r:id="rId13">
        <w:r>
          <w:rPr>
            <w:rStyle w:val="Hyperlink"/>
          </w:rPr>
          <w:t xml:space="preserve">Compliance &amp; Regulatory Services</w:t>
        </w:r>
      </w:hyperlink>
    </w:p>
    <w:p>
      <w:r>
        <w:pict>
          <v:rect style="width:0;height:1.5pt" o:hralign="center" o:hrstd="t" o:hr="t"/>
        </w:pict>
      </w:r>
    </w:p>
    <w:bookmarkEnd w:id="27"/>
    <w:bookmarkStart w:id="31" w:name="what-triggers-enhanced-due-diligence"/>
    <w:p>
      <w:pPr>
        <w:pStyle w:val="Heading3"/>
      </w:pPr>
      <w:r>
        <w:t xml:space="preserve">What triggers enhanced due diligence?</w:t>
      </w:r>
    </w:p>
    <w:p>
      <w:pPr>
        <w:pStyle w:val="FirstParagraph"/>
      </w:pPr>
      <w:r>
        <w:t xml:space="preserve">Enhanced Due Diligence (EDD) applies when risk indicators suggest a player requires deeper investigation before the relationship continues. Triggers vary by jurisdiction but follow similar patterns globally.</w:t>
      </w:r>
    </w:p>
    <w:bookmarkStart w:id="28" w:name="common-edd-triggers"/>
    <w:p>
      <w:pPr>
        <w:pStyle w:val="Heading4"/>
      </w:pPr>
      <w:r>
        <w:t xml:space="preserve">Common EDD triggers</w:t>
      </w:r>
    </w:p>
    <w:p>
      <w:pPr>
        <w:pStyle w:val="FirstParagraph"/>
      </w:pPr>
      <w:r>
        <w:rPr>
          <w:b/>
          <w:bCs/>
        </w:rPr>
        <w:t xml:space="preserve">Financial triggers:</w:t>
      </w:r>
      <w:r>
        <w:t xml:space="preserve"> </w:t>
      </w:r>
      <w:r>
        <w:t xml:space="preserve">- Deposits exceeding €10,000-€15,000 in a 24-hour period</w:t>
      </w:r>
      <w:r>
        <w:t xml:space="preserve"> </w:t>
      </w:r>
      <w:r>
        <w:t xml:space="preserve">- Cumulative deposits exceeding €2,000-€5,000 per month (jurisdiction-dependent)</w:t>
      </w:r>
      <w:r>
        <w:t xml:space="preserve"> </w:t>
      </w:r>
      <w:r>
        <w:t xml:space="preserve">- Significant wins or losses that seem inconsistent with stated income</w:t>
      </w:r>
      <w:r>
        <w:t xml:space="preserve"> </w:t>
      </w:r>
      <w:r>
        <w:t xml:space="preserve">- Rapid deposit/withdrawal patterns suggesting pass-through activity</w:t>
      </w:r>
    </w:p>
    <w:p>
      <w:pPr>
        <w:pStyle w:val="BodyText"/>
      </w:pPr>
      <w:r>
        <w:rPr>
          <w:b/>
          <w:bCs/>
        </w:rPr>
        <w:t xml:space="preserve">Behavioral triggers:</w:t>
      </w:r>
      <w:r>
        <w:t xml:space="preserve"> </w:t>
      </w:r>
      <w:r>
        <w:t xml:space="preserve">- Multiple payment methods used in quick succession</w:t>
      </w:r>
      <w:r>
        <w:t xml:space="preserve"> </w:t>
      </w:r>
      <w:r>
        <w:t xml:space="preserve">- Attempts to withdraw without meaningful play</w:t>
      </w:r>
      <w:r>
        <w:t xml:space="preserve"> </w:t>
      </w:r>
      <w:r>
        <w:t xml:space="preserve">- Deposits significantly above average for player demographic</w:t>
      </w:r>
      <w:r>
        <w:t xml:space="preserve"> </w:t>
      </w:r>
      <w:r>
        <w:t xml:space="preserve">- Patterns suggesting multiple accounts or coordinated activity</w:t>
      </w:r>
    </w:p>
    <w:p>
      <w:pPr>
        <w:pStyle w:val="BodyText"/>
      </w:pPr>
      <w:r>
        <w:rPr>
          <w:b/>
          <w:bCs/>
        </w:rPr>
        <w:t xml:space="preserve">Risk-based triggers:</w:t>
      </w:r>
      <w:r>
        <w:t xml:space="preserve"> </w:t>
      </w:r>
      <w:r>
        <w:t xml:space="preserve">- Player from high-risk jurisdiction</w:t>
      </w:r>
      <w:r>
        <w:t xml:space="preserve"> </w:t>
      </w:r>
      <w:r>
        <w:t xml:space="preserve">- Politically Exposed Person (PEP) status</w:t>
      </w:r>
      <w:r>
        <w:t xml:space="preserve"> </w:t>
      </w:r>
      <w:r>
        <w:t xml:space="preserve">- Adverse media screening hits</w:t>
      </w:r>
      <w:r>
        <w:t xml:space="preserve"> </w:t>
      </w:r>
      <w:r>
        <w:t xml:space="preserve">- Connections to sanctioned entities or individuals</w:t>
      </w:r>
    </w:p>
    <w:bookmarkEnd w:id="28"/>
    <w:bookmarkStart w:id="29" w:name="what-edd-requires"/>
    <w:p>
      <w:pPr>
        <w:pStyle w:val="Heading4"/>
      </w:pPr>
      <w:r>
        <w:t xml:space="preserve">What EDD requires</w:t>
      </w:r>
    </w:p>
    <w:p>
      <w:pPr>
        <w:pStyle w:val="Compact"/>
        <w:numPr>
          <w:ilvl w:val="0"/>
          <w:numId w:val="1007"/>
        </w:numPr>
      </w:pPr>
      <w:r>
        <w:t xml:space="preserve">Source of funds documentation (bank statements, pay slips, tax returns)</w:t>
      </w:r>
    </w:p>
    <w:p>
      <w:pPr>
        <w:pStyle w:val="Compact"/>
        <w:numPr>
          <w:ilvl w:val="0"/>
          <w:numId w:val="1007"/>
        </w:numPr>
      </w:pPr>
      <w:r>
        <w:t xml:space="preserve">Source of wealth verification for high-value players</w:t>
      </w:r>
    </w:p>
    <w:p>
      <w:pPr>
        <w:pStyle w:val="Compact"/>
        <w:numPr>
          <w:ilvl w:val="0"/>
          <w:numId w:val="1007"/>
        </w:numPr>
      </w:pPr>
      <w:r>
        <w:t xml:space="preserve">Enhanced identity verification</w:t>
      </w:r>
    </w:p>
    <w:p>
      <w:pPr>
        <w:pStyle w:val="Compact"/>
        <w:numPr>
          <w:ilvl w:val="0"/>
          <w:numId w:val="1007"/>
        </w:numPr>
      </w:pPr>
      <w:r>
        <w:t xml:space="preserve">Ongoing monitoring at elevated frequency</w:t>
      </w:r>
    </w:p>
    <w:p>
      <w:pPr>
        <w:pStyle w:val="Compact"/>
        <w:numPr>
          <w:ilvl w:val="0"/>
          <w:numId w:val="1007"/>
        </w:numPr>
      </w:pPr>
      <w:r>
        <w:t xml:space="preserve">Management sign-off on relationship continuation</w:t>
      </w:r>
    </w:p>
    <w:bookmarkEnd w:id="29"/>
    <w:bookmarkStart w:id="30" w:name="the-conversion-cost"/>
    <w:p>
      <w:pPr>
        <w:pStyle w:val="Heading4"/>
      </w:pPr>
      <w:r>
        <w:t xml:space="preserve">The conversion cost</w:t>
      </w:r>
    </w:p>
    <w:p>
      <w:pPr>
        <w:pStyle w:val="FirstParagraph"/>
      </w:pPr>
      <w:r>
        <w:t xml:space="preserve">EDD causes 10-30% of affected players to abandon verification rather than provide documentation. Balancing compliance requirements with player experience requires clear communication about why documentation is needed and streamlined collection processes.</w:t>
      </w:r>
    </w:p>
    <w:p>
      <w:pPr>
        <w:pStyle w:val="BodyText"/>
      </w:pPr>
      <w:r>
        <w:t xml:space="preserve">Related:</w:t>
      </w:r>
      <w:r>
        <w:t xml:space="preserve"> </w:t>
      </w:r>
      <w:hyperlink r:id="rId12">
        <w:r>
          <w:rPr>
            <w:rStyle w:val="Hyperlink"/>
          </w:rPr>
          <w:t xml:space="preserve">KYC Services</w:t>
        </w:r>
      </w:hyperlink>
    </w:p>
    <w:p>
      <w:r>
        <w:pict>
          <v:rect style="width:0;height:1.5pt" o:hralign="center" o:hrstd="t" o:hr="t"/>
        </w:pict>
      </w:r>
    </w:p>
    <w:bookmarkEnd w:id="30"/>
    <w:bookmarkEnd w:id="31"/>
    <w:bookmarkEnd w:id="32"/>
    <w:bookmarkStart w:id="46" w:name="Xaa013ac41b5082f9d1d40efbb481dda7a55d001"/>
    <w:p>
      <w:pPr>
        <w:pStyle w:val="Heading2"/>
      </w:pPr>
      <w:r>
        <w:t xml:space="preserve">What are the biggest challenges in iGaming AML?</w:t>
      </w:r>
    </w:p>
    <w:p>
      <w:pPr>
        <w:pStyle w:val="FirstParagraph"/>
      </w:pPr>
      <w:r>
        <w:t xml:space="preserve">AML in iGaming faces unique challenges: high transaction volumes, sophisticated laundering techniques, and the fundamental tension between seamless player experience and compliance requirements.</w:t>
      </w:r>
    </w:p>
    <w:bookmarkStart w:id="33" w:name="core-challenges"/>
    <w:p>
      <w:pPr>
        <w:pStyle w:val="Heading4"/>
      </w:pPr>
      <w:r>
        <w:t xml:space="preserve">Core challenges</w:t>
      </w:r>
    </w:p>
    <w:p>
      <w:pPr>
        <w:pStyle w:val="FirstParagraph"/>
      </w:pPr>
      <w:r>
        <w:rPr>
          <w:b/>
          <w:bCs/>
        </w:rPr>
        <w:t xml:space="preserve">1. Transaction volume and false positives</w:t>
      </w:r>
    </w:p>
    <w:p>
      <w:pPr>
        <w:pStyle w:val="BodyText"/>
      </w:pPr>
      <w:r>
        <w:t xml:space="preserve">Online gambling generates massive transaction volumes—deposits, withdrawals, bets, wins—requiring real-time monitoring. Traditional rule-based systems generate 90%+ false positive rates at typical thresholds. Investigating each alert consumes compliance team capacity.</w:t>
      </w:r>
    </w:p>
    <w:p>
      <w:pPr>
        <w:pStyle w:val="BodyText"/>
      </w:pPr>
      <w:r>
        <w:rPr>
          <w:b/>
          <w:bCs/>
        </w:rPr>
        <w:t xml:space="preserve">2. Evolving laundering techniques</w:t>
      </w:r>
    </w:p>
    <w:p>
      <w:pPr>
        <w:pStyle w:val="BodyText"/>
      </w:pPr>
      <w:r>
        <w:t xml:space="preserve">Criminals adapt faster than rule sets. Chip dumping in poker, bonus abuse schemes, and multi-account coordination create laundering channels that don’t trigger traditional alerts. AI-powered detection is essential but not foolproof.</w:t>
      </w:r>
    </w:p>
    <w:p>
      <w:pPr>
        <w:pStyle w:val="BodyText"/>
      </w:pPr>
      <w:r>
        <w:rPr>
          <w:b/>
          <w:bCs/>
        </w:rPr>
        <w:t xml:space="preserve">3. Cryptocurrency complexity</w:t>
      </w:r>
    </w:p>
    <w:p>
      <w:pPr>
        <w:pStyle w:val="BodyText"/>
      </w:pPr>
      <w:r>
        <w:t xml:space="preserve">For casinos accepting cryptocurrency, the</w:t>
      </w:r>
      <w:r>
        <w:t xml:space="preserve"> </w:t>
      </w:r>
      <w:r>
        <w:t xml:space="preserve">“Travel Rule”</w:t>
      </w:r>
      <w:r>
        <w:t xml:space="preserve"> </w:t>
      </w:r>
      <w:r>
        <w:t xml:space="preserve">now requires sharing originator and beneficiary data for cross-border transfers. Tracking fund flows through multiple blockchain</w:t>
      </w:r>
      <w:r>
        <w:t xml:space="preserve"> </w:t>
      </w:r>
      <w:r>
        <w:t xml:space="preserve">“hops”</w:t>
      </w:r>
      <w:r>
        <w:t xml:space="preserve"> </w:t>
      </w:r>
      <w:r>
        <w:t xml:space="preserve">requires specialized tools. 15% of AML/KYC procedures now involve blockchain-based tracing.</w:t>
      </w:r>
    </w:p>
    <w:p>
      <w:pPr>
        <w:pStyle w:val="BodyText"/>
      </w:pPr>
      <w:r>
        <w:rPr>
          <w:b/>
          <w:bCs/>
        </w:rPr>
        <w:t xml:space="preserve">4. Synthetic identity fraud</w:t>
      </w:r>
    </w:p>
    <w:p>
      <w:pPr>
        <w:pStyle w:val="BodyText"/>
      </w:pPr>
      <w:r>
        <w:t xml:space="preserve">Criminals use generative AI to create</w:t>
      </w:r>
      <w:r>
        <w:t xml:space="preserve"> </w:t>
      </w:r>
      <w:r>
        <w:t xml:space="preserve">“synthetic”</w:t>
      </w:r>
      <w:r>
        <w:t xml:space="preserve"> </w:t>
      </w:r>
      <w:r>
        <w:t xml:space="preserve">identities combining real Social Security numbers with fake names and addresses. These appear legitimate in standard KYC checks but enable money laundering at scale.</w:t>
      </w:r>
    </w:p>
    <w:p>
      <w:pPr>
        <w:pStyle w:val="BodyText"/>
      </w:pPr>
      <w:r>
        <w:rPr>
          <w:b/>
          <w:bCs/>
        </w:rPr>
        <w:t xml:space="preserve">5. Cross-border complexity</w:t>
      </w:r>
    </w:p>
    <w:p>
      <w:pPr>
        <w:pStyle w:val="BodyText"/>
      </w:pPr>
      <w:r>
        <w:t xml:space="preserve">Multi-market operators navigate different reporting requirements, thresholds, and regulatory expectations across jurisdictions. A player acceptable under Malta MGA rules may require EDD under UK UKGC standards.</w:t>
      </w:r>
    </w:p>
    <w:bookmarkEnd w:id="33"/>
    <w:bookmarkStart w:id="35" w:name="the-challenge-nobody-talks-about"/>
    <w:p>
      <w:pPr>
        <w:pStyle w:val="Heading4"/>
      </w:pPr>
      <w:r>
        <w:t xml:space="preserve">The challenge nobody talks about</w:t>
      </w:r>
    </w:p>
    <w:p>
      <w:pPr>
        <w:pStyle w:val="FirstParagraph"/>
      </w:pPr>
      <w:r>
        <w:t xml:space="preserve">Compliance teams are measured on alerts processed, not money laundering prevented. This creates incentive to tune systems for alert volume management rather than detection effectiveness. Senior management engagement is essential to ensure compliance prioritizes actual risk reduction.</w:t>
      </w:r>
    </w:p>
    <w:p>
      <w:pPr>
        <w:pStyle w:val="BodyText"/>
      </w:pPr>
      <w:r>
        <w:t xml:space="preserve">Related:</w:t>
      </w:r>
      <w:r>
        <w:t xml:space="preserve"> </w:t>
      </w:r>
      <w:hyperlink r:id="rId34">
        <w:r>
          <w:rPr>
            <w:rStyle w:val="Hyperlink"/>
          </w:rPr>
          <w:t xml:space="preserve">Fraud Prevention</w:t>
        </w:r>
      </w:hyperlink>
    </w:p>
    <w:p>
      <w:r>
        <w:pict>
          <v:rect style="width:0;height:1.5pt" o:hralign="center" o:hrstd="t" o:hr="t"/>
        </w:pict>
      </w:r>
    </w:p>
    <w:bookmarkEnd w:id="35"/>
    <w:bookmarkStart w:id="39" w:name="Xef92e29c950fc7d431cacc6356079430c666f0d"/>
    <w:p>
      <w:pPr>
        <w:pStyle w:val="Heading3"/>
      </w:pPr>
      <w:r>
        <w:t xml:space="preserve">How do I reduce false positives in AML monitoring?</w:t>
      </w:r>
    </w:p>
    <w:p>
      <w:pPr>
        <w:pStyle w:val="FirstParagraph"/>
      </w:pPr>
      <w:r>
        <w:t xml:space="preserve">Reducing false positives without missing actual suspicious activity requires tuning detection rules, implementing risk-based thresholds, and leveraging AI/ML capabilities. The goal is focusing analyst time on genuine risks, not noise.</w:t>
      </w:r>
    </w:p>
    <w:bookmarkStart w:id="36" w:name="proven-strategies"/>
    <w:p>
      <w:pPr>
        <w:pStyle w:val="Heading4"/>
      </w:pPr>
      <w:r>
        <w:t xml:space="preserve">Proven strategies</w:t>
      </w:r>
    </w:p>
    <w:p>
      <w:pPr>
        <w:numPr>
          <w:ilvl w:val="0"/>
          <w:numId w:val="1008"/>
        </w:numPr>
      </w:pPr>
      <w:r>
        <w:rPr>
          <w:b/>
          <w:bCs/>
        </w:rPr>
        <w:t xml:space="preserve">Risk-based thresholds:</w:t>
      </w:r>
      <w:r>
        <w:t xml:space="preserve"> </w:t>
      </w:r>
      <w:r>
        <w:t xml:space="preserve">Apply different monitoring sensitivity based on player risk profile. Low-risk players with established history need less scrutiny than new players from high-risk jurisdictions</w:t>
      </w:r>
    </w:p>
    <w:p>
      <w:pPr>
        <w:numPr>
          <w:ilvl w:val="0"/>
          <w:numId w:val="1008"/>
        </w:numPr>
      </w:pPr>
      <w:r>
        <w:rPr>
          <w:b/>
          <w:bCs/>
        </w:rPr>
        <w:t xml:space="preserve">Behavioral baselines:</w:t>
      </w:r>
      <w:r>
        <w:t xml:space="preserve"> </w:t>
      </w:r>
      <w:r>
        <w:t xml:space="preserve">Alert on deviation from individual player patterns, not just absolute thresholds. A €5,000 deposit from a player who regularly deposits €4,000 is different from the same deposit from a €100 depositor</w:t>
      </w:r>
    </w:p>
    <w:p>
      <w:pPr>
        <w:numPr>
          <w:ilvl w:val="0"/>
          <w:numId w:val="1008"/>
        </w:numPr>
      </w:pPr>
      <w:r>
        <w:rPr>
          <w:b/>
          <w:bCs/>
        </w:rPr>
        <w:t xml:space="preserve">AI/ML-powered detection:</w:t>
      </w:r>
      <w:r>
        <w:t xml:space="preserve"> </w:t>
      </w:r>
      <w:r>
        <w:t xml:space="preserve">Machine learning models identify complex patterns traditional rules miss while reducing false positives by 40-70% according to vendor claims. Requires training data and ongoing model refinement</w:t>
      </w:r>
    </w:p>
    <w:p>
      <w:pPr>
        <w:numPr>
          <w:ilvl w:val="0"/>
          <w:numId w:val="1008"/>
        </w:numPr>
      </w:pPr>
      <w:r>
        <w:rPr>
          <w:b/>
          <w:bCs/>
        </w:rPr>
        <w:t xml:space="preserve">Alert consolidation:</w:t>
      </w:r>
      <w:r>
        <w:t xml:space="preserve"> </w:t>
      </w:r>
      <w:r>
        <w:t xml:space="preserve">Group related alerts into single cases rather than investigating each trigger independently. A player flagged for velocity, amount, and payment method changes is one investigation, not three</w:t>
      </w:r>
    </w:p>
    <w:p>
      <w:pPr>
        <w:numPr>
          <w:ilvl w:val="0"/>
          <w:numId w:val="1008"/>
        </w:numPr>
      </w:pPr>
      <w:r>
        <w:rPr>
          <w:b/>
          <w:bCs/>
        </w:rPr>
        <w:t xml:space="preserve">Tuning based on outcomes:</w:t>
      </w:r>
      <w:r>
        <w:t xml:space="preserve"> </w:t>
      </w:r>
      <w:r>
        <w:t xml:space="preserve">Track which alert types lead to SARs vs. false positives. Retire or adjust rules with consistently low hit rates. Most operators never systematically analyze alert effectiveness</w:t>
      </w:r>
    </w:p>
    <w:p>
      <w:pPr>
        <w:numPr>
          <w:ilvl w:val="0"/>
          <w:numId w:val="1008"/>
        </w:numPr>
      </w:pPr>
      <w:r>
        <w:rPr>
          <w:b/>
          <w:bCs/>
        </w:rPr>
        <w:t xml:space="preserve">Network analysis:</w:t>
      </w:r>
      <w:r>
        <w:t xml:space="preserve"> </w:t>
      </w:r>
      <w:r>
        <w:t xml:space="preserve">Identify coordinated activity across accounts that wouldn’t trigger alerts individually. Connection detection surfaces account clusters operating as laundering networks</w:t>
      </w:r>
    </w:p>
    <w:bookmarkEnd w:id="36"/>
    <w:bookmarkStart w:id="38" w:name="what-good-looks-like"/>
    <w:p>
      <w:pPr>
        <w:pStyle w:val="Heading4"/>
      </w:pPr>
      <w:r>
        <w:t xml:space="preserve">What good looks like</w:t>
      </w:r>
    </w:p>
    <w:p>
      <w:pPr>
        <w:pStyle w:val="FirstParagraph"/>
      </w:pPr>
      <w:r>
        <w:t xml:space="preserve">Industry benchmarks suggest SAR rates of 0.1-0.5% of alerts for well-tuned systems. If you’re filing SARs on less than 0.05% of alerts, your thresholds may be too sensitive. If above 2%, you may be missing activity that should be flagged.</w:t>
      </w:r>
    </w:p>
    <w:p>
      <w:pPr>
        <w:pStyle w:val="BodyText"/>
      </w:pPr>
      <w:r>
        <w:t xml:space="preserve">Related:</w:t>
      </w:r>
      <w:r>
        <w:t xml:space="preserve"> </w:t>
      </w:r>
      <w:hyperlink r:id="rId37">
        <w:r>
          <w:rPr>
            <w:rStyle w:val="Hyperlink"/>
          </w:rPr>
          <w:t xml:space="preserve">Data &amp; Analytics</w:t>
        </w:r>
      </w:hyperlink>
    </w:p>
    <w:p>
      <w:r>
        <w:pict>
          <v:rect style="width:0;height:1.5pt" o:hralign="center" o:hrstd="t" o:hr="t"/>
        </w:pict>
      </w:r>
    </w:p>
    <w:bookmarkEnd w:id="38"/>
    <w:bookmarkEnd w:id="39"/>
    <w:bookmarkStart w:id="45" w:name="X1a8317ee1c967827f1d70f6a6bc85ec1cc7d65b"/>
    <w:p>
      <w:pPr>
        <w:pStyle w:val="Heading3"/>
      </w:pPr>
      <w:r>
        <w:t xml:space="preserve">What are red flags for money laundering in iGaming?</w:t>
      </w:r>
    </w:p>
    <w:p>
      <w:pPr>
        <w:pStyle w:val="FirstParagraph"/>
      </w:pPr>
      <w:r>
        <w:t xml:space="preserve">Effective AML monitoring requires understanding the specific red flags that indicate potential money laundering in gambling contexts. These differ from traditional financial services red flags.</w:t>
      </w:r>
    </w:p>
    <w:bookmarkStart w:id="40" w:name="deposit-and-withdrawal-patterns"/>
    <w:p>
      <w:pPr>
        <w:pStyle w:val="Heading4"/>
      </w:pPr>
      <w:r>
        <w:t xml:space="preserve">Deposit and withdrawal patterns</w:t>
      </w:r>
    </w:p>
    <w:p>
      <w:pPr>
        <w:pStyle w:val="Compact"/>
        <w:numPr>
          <w:ilvl w:val="0"/>
          <w:numId w:val="1009"/>
        </w:numPr>
      </w:pPr>
      <w:r>
        <w:t xml:space="preserve">Large deposits followed by minimal play and withdrawal requests</w:t>
      </w:r>
    </w:p>
    <w:p>
      <w:pPr>
        <w:pStyle w:val="Compact"/>
        <w:numPr>
          <w:ilvl w:val="0"/>
          <w:numId w:val="1009"/>
        </w:numPr>
      </w:pPr>
      <w:r>
        <w:t xml:space="preserve">Deposits from multiple payment methods in quick succession</w:t>
      </w:r>
    </w:p>
    <w:p>
      <w:pPr>
        <w:pStyle w:val="Compact"/>
        <w:numPr>
          <w:ilvl w:val="0"/>
          <w:numId w:val="1009"/>
        </w:numPr>
      </w:pPr>
      <w:r>
        <w:t xml:space="preserve">Structuring deposits to stay below reporting thresholds</w:t>
      </w:r>
    </w:p>
    <w:p>
      <w:pPr>
        <w:pStyle w:val="Compact"/>
        <w:numPr>
          <w:ilvl w:val="0"/>
          <w:numId w:val="1009"/>
        </w:numPr>
      </w:pPr>
      <w:r>
        <w:t xml:space="preserve">Geographic mismatch between player location and payment source</w:t>
      </w:r>
    </w:p>
    <w:p>
      <w:pPr>
        <w:pStyle w:val="Compact"/>
        <w:numPr>
          <w:ilvl w:val="0"/>
          <w:numId w:val="1009"/>
        </w:numPr>
      </w:pPr>
      <w:r>
        <w:t xml:space="preserve">Deposits immediately followed by withdrawal requests (pass-through)</w:t>
      </w:r>
    </w:p>
    <w:bookmarkEnd w:id="40"/>
    <w:bookmarkStart w:id="41" w:name="betting-behavior"/>
    <w:p>
      <w:pPr>
        <w:pStyle w:val="Heading4"/>
      </w:pPr>
      <w:r>
        <w:t xml:space="preserve">Betting behavior</w:t>
      </w:r>
    </w:p>
    <w:p>
      <w:pPr>
        <w:pStyle w:val="Compact"/>
        <w:numPr>
          <w:ilvl w:val="0"/>
          <w:numId w:val="1010"/>
        </w:numPr>
      </w:pPr>
      <w:r>
        <w:t xml:space="preserve">Low-risk betting patterns (betting both sides, minimal house edge bets) suggesting wash trading</w:t>
      </w:r>
    </w:p>
    <w:p>
      <w:pPr>
        <w:pStyle w:val="Compact"/>
        <w:numPr>
          <w:ilvl w:val="0"/>
          <w:numId w:val="1010"/>
        </w:numPr>
      </w:pPr>
      <w:r>
        <w:t xml:space="preserve">Chip dumping in poker (deliberately losing to specific players)</w:t>
      </w:r>
    </w:p>
    <w:p>
      <w:pPr>
        <w:pStyle w:val="Compact"/>
        <w:numPr>
          <w:ilvl w:val="0"/>
          <w:numId w:val="1010"/>
        </w:numPr>
      </w:pPr>
      <w:r>
        <w:t xml:space="preserve">Large bets with minimal apparent interest in game outcome</w:t>
      </w:r>
    </w:p>
    <w:p>
      <w:pPr>
        <w:pStyle w:val="Compact"/>
        <w:numPr>
          <w:ilvl w:val="0"/>
          <w:numId w:val="1010"/>
        </w:numPr>
      </w:pPr>
      <w:r>
        <w:t xml:space="preserve">Sudden changes in betting patterns not explained by promotions or events</w:t>
      </w:r>
    </w:p>
    <w:p>
      <w:pPr>
        <w:pStyle w:val="Compact"/>
        <w:numPr>
          <w:ilvl w:val="0"/>
          <w:numId w:val="1010"/>
        </w:numPr>
      </w:pPr>
      <w:r>
        <w:t xml:space="preserve">Activity concentrated at odd hours (4:00-8:00 AM local time)</w:t>
      </w:r>
    </w:p>
    <w:bookmarkEnd w:id="41"/>
    <w:bookmarkStart w:id="42" w:name="account-behavior"/>
    <w:p>
      <w:pPr>
        <w:pStyle w:val="Heading4"/>
      </w:pPr>
      <w:r>
        <w:t xml:space="preserve">Account behavior</w:t>
      </w:r>
    </w:p>
    <w:p>
      <w:pPr>
        <w:pStyle w:val="Compact"/>
        <w:numPr>
          <w:ilvl w:val="0"/>
          <w:numId w:val="1011"/>
        </w:numPr>
      </w:pPr>
      <w:r>
        <w:t xml:space="preserve">Multiple accounts with similar registration details or behaviors</w:t>
      </w:r>
    </w:p>
    <w:p>
      <w:pPr>
        <w:pStyle w:val="Compact"/>
        <w:numPr>
          <w:ilvl w:val="0"/>
          <w:numId w:val="1011"/>
        </w:numPr>
      </w:pPr>
      <w:r>
        <w:t xml:space="preserve">Account sharing indicators (different devices, IP addresses, behavioral patterns)</w:t>
      </w:r>
    </w:p>
    <w:p>
      <w:pPr>
        <w:pStyle w:val="Compact"/>
        <w:numPr>
          <w:ilvl w:val="0"/>
          <w:numId w:val="1011"/>
        </w:numPr>
      </w:pPr>
      <w:r>
        <w:t xml:space="preserve">Rapid escalation from small deposits to large activity</w:t>
      </w:r>
    </w:p>
    <w:p>
      <w:pPr>
        <w:pStyle w:val="Compact"/>
        <w:numPr>
          <w:ilvl w:val="0"/>
          <w:numId w:val="1011"/>
        </w:numPr>
      </w:pPr>
      <w:r>
        <w:t xml:space="preserve">Inconsistency between stated occupation/income and gambling activity</w:t>
      </w:r>
    </w:p>
    <w:p>
      <w:pPr>
        <w:pStyle w:val="Compact"/>
        <w:numPr>
          <w:ilvl w:val="0"/>
          <w:numId w:val="1011"/>
        </w:numPr>
      </w:pPr>
      <w:r>
        <w:t xml:space="preserve">Reluctance to provide source of funds documentation when requested</w:t>
      </w:r>
    </w:p>
    <w:bookmarkEnd w:id="42"/>
    <w:bookmarkStart w:id="43" w:name="third-party-indicators"/>
    <w:p>
      <w:pPr>
        <w:pStyle w:val="Heading4"/>
      </w:pPr>
      <w:r>
        <w:t xml:space="preserve">Third-party indicators</w:t>
      </w:r>
    </w:p>
    <w:p>
      <w:pPr>
        <w:pStyle w:val="Compact"/>
        <w:numPr>
          <w:ilvl w:val="0"/>
          <w:numId w:val="1012"/>
        </w:numPr>
      </w:pPr>
      <w:r>
        <w:t xml:space="preserve">Adverse media about player or associated parties</w:t>
      </w:r>
    </w:p>
    <w:p>
      <w:pPr>
        <w:pStyle w:val="Compact"/>
        <w:numPr>
          <w:ilvl w:val="0"/>
          <w:numId w:val="1012"/>
        </w:numPr>
      </w:pPr>
      <w:r>
        <w:t xml:space="preserve">PEP status or connections to sanctioned individuals</w:t>
      </w:r>
    </w:p>
    <w:p>
      <w:pPr>
        <w:pStyle w:val="Compact"/>
        <w:numPr>
          <w:ilvl w:val="0"/>
          <w:numId w:val="1012"/>
        </w:numPr>
      </w:pPr>
      <w:r>
        <w:t xml:space="preserve">Player associated with cash-intensive businesses</w:t>
      </w:r>
    </w:p>
    <w:p>
      <w:pPr>
        <w:pStyle w:val="Compact"/>
        <w:numPr>
          <w:ilvl w:val="0"/>
          <w:numId w:val="1012"/>
        </w:numPr>
      </w:pPr>
      <w:r>
        <w:t xml:space="preserve">Cryptocurrency deposits from mixing services or privacy coins</w:t>
      </w:r>
    </w:p>
    <w:bookmarkEnd w:id="43"/>
    <w:bookmarkStart w:id="44" w:name="the-pattern-that-matters-most"/>
    <w:p>
      <w:pPr>
        <w:pStyle w:val="Heading4"/>
      </w:pPr>
      <w:r>
        <w:t xml:space="preserve">The pattern that matters most</w:t>
      </w:r>
    </w:p>
    <w:p>
      <w:pPr>
        <w:pStyle w:val="FirstParagraph"/>
      </w:pPr>
      <w:r>
        <w:t xml:space="preserve">The clearest laundering indicator is activity that doesn’t make economic sense as gambling. Players who deposit, bet minimally, and withdraw are using the casino as a payment processor, not a gambling platform.</w:t>
      </w:r>
    </w:p>
    <w:p>
      <w:pPr>
        <w:pStyle w:val="BodyText"/>
      </w:pPr>
      <w:r>
        <w:t xml:space="preserve">Related:</w:t>
      </w:r>
      <w:r>
        <w:t xml:space="preserve"> </w:t>
      </w:r>
      <w:hyperlink r:id="rId34">
        <w:r>
          <w:rPr>
            <w:rStyle w:val="Hyperlink"/>
          </w:rPr>
          <w:t xml:space="preserve">Fraud Prevention</w:t>
        </w:r>
      </w:hyperlink>
    </w:p>
    <w:p>
      <w:r>
        <w:pict>
          <v:rect style="width:0;height:1.5pt" o:hralign="center" o:hrstd="t" o:hr="t"/>
        </w:pict>
      </w:r>
    </w:p>
    <w:bookmarkEnd w:id="44"/>
    <w:bookmarkEnd w:id="45"/>
    <w:bookmarkEnd w:id="46"/>
    <w:bookmarkStart w:id="63" w:name="X01862068f059b2fdb6831866dddc28f8d4ee4b8"/>
    <w:p>
      <w:pPr>
        <w:pStyle w:val="Heading2"/>
      </w:pPr>
      <w:r>
        <w:t xml:space="preserve">Who are the top AML solution providers for iGaming?</w:t>
      </w:r>
    </w:p>
    <w:p>
      <w:pPr>
        <w:pStyle w:val="FirstParagraph"/>
      </w:pPr>
      <w:r>
        <w:t xml:space="preserve">The leading AML solution providers for iGaming include Sumsub, SEON, NICE Actimize, ComplyAdvantage, and iDenfy. Choice depends on your scale, whether you need integrated KYC+AML or standalone transaction monitoring, and budget.</w:t>
      </w:r>
    </w:p>
    <w:bookmarkStart w:id="47" w:name="provider-overview"/>
    <w:p>
      <w:pPr>
        <w:pStyle w:val="Heading4"/>
      </w:pPr>
      <w:r>
        <w:t xml:space="preserve">Provider overview</w:t>
      </w:r>
    </w:p>
    <w:p>
      <w:pPr>
        <w:numPr>
          <w:ilvl w:val="0"/>
          <w:numId w:val="1013"/>
        </w:numPr>
      </w:pPr>
      <w:r>
        <w:rPr>
          <w:b/>
          <w:bCs/>
        </w:rPr>
        <w:t xml:space="preserve">Sumsub:</w:t>
      </w:r>
      <w:r>
        <w:t xml:space="preserve"> </w:t>
      </w:r>
      <w:r>
        <w:t xml:space="preserve">Best for integrated KYC/AML in one platform. Strengths: Named Leader in 2025 Gartner Magic Quadrant, liveness detection, KYT (Know Your Transaction) modules, continuous monitoring, strong iGaming presence. Limitations: Transaction monitoring not as deep as dedicated AML platforms. Price range: Custom pricing based on volume</w:t>
      </w:r>
    </w:p>
    <w:p>
      <w:pPr>
        <w:numPr>
          <w:ilvl w:val="0"/>
          <w:numId w:val="1013"/>
        </w:numPr>
      </w:pPr>
      <w:r>
        <w:rPr>
          <w:b/>
          <w:bCs/>
        </w:rPr>
        <w:t xml:space="preserve">SEON:</w:t>
      </w:r>
      <w:r>
        <w:t xml:space="preserve"> </w:t>
      </w:r>
      <w:r>
        <w:t xml:space="preserve">Best for fraud prevention integrated with AML. Strengths: Real-time screening, low false positives, single framework for fraud and AML, strong iGaming and fintech focus. Limitations: Less established than enterprise competitors. Price range: Mid-tier, usage-based</w:t>
      </w:r>
    </w:p>
    <w:p>
      <w:pPr>
        <w:numPr>
          <w:ilvl w:val="0"/>
          <w:numId w:val="1013"/>
        </w:numPr>
      </w:pPr>
      <w:r>
        <w:rPr>
          <w:b/>
          <w:bCs/>
        </w:rPr>
        <w:t xml:space="preserve">NICE Actimize:</w:t>
      </w:r>
      <w:r>
        <w:t xml:space="preserve"> </w:t>
      </w:r>
      <w:r>
        <w:t xml:space="preserve">Best for enterprise-scale operations. Strengths: Most sophisticated risk detection algorithms, entity resolution technology, enterprise-grade analytics, benchmark for large financial institutions. Limitations: Resource-intensive deployment, potentially overengineered for smaller operators. Price range: Enterprise custom pricing</w:t>
      </w:r>
    </w:p>
    <w:p>
      <w:pPr>
        <w:numPr>
          <w:ilvl w:val="0"/>
          <w:numId w:val="1013"/>
        </w:numPr>
      </w:pPr>
      <w:r>
        <w:rPr>
          <w:b/>
          <w:bCs/>
        </w:rPr>
        <w:t xml:space="preserve">ComplyAdvantage:</w:t>
      </w:r>
      <w:r>
        <w:t xml:space="preserve"> </w:t>
      </w:r>
      <w:r>
        <w:t xml:space="preserve">Best for screening and watchlist monitoring. Strengths: AI-powered adverse media screening, comprehensive sanctions databases, real-time monitoring. Limitations: Less focus on transaction monitoring. Price range: Mid to enterprise tier</w:t>
      </w:r>
    </w:p>
    <w:p>
      <w:pPr>
        <w:numPr>
          <w:ilvl w:val="0"/>
          <w:numId w:val="1013"/>
        </w:numPr>
      </w:pPr>
      <w:r>
        <w:rPr>
          <w:b/>
          <w:bCs/>
        </w:rPr>
        <w:t xml:space="preserve">iDenfy:</w:t>
      </w:r>
      <w:r>
        <w:t xml:space="preserve"> </w:t>
      </w:r>
      <w:r>
        <w:t xml:space="preserve">Best for operators wanting flexible integration. Strengths: Combined KYC/AML, flexible API and SDK options, competitive pricing. Limitations: Smaller market presence than tier-1 providers. Price range: Competitive mid-tier</w:t>
      </w:r>
    </w:p>
    <w:bookmarkEnd w:id="47"/>
    <w:bookmarkStart w:id="48" w:name="how-to-evaluate"/>
    <w:p>
      <w:pPr>
        <w:pStyle w:val="Heading4"/>
      </w:pPr>
      <w:r>
        <w:t xml:space="preserve">How to evaluate</w:t>
      </w:r>
    </w:p>
    <w:p>
      <w:pPr>
        <w:pStyle w:val="Compact"/>
        <w:numPr>
          <w:ilvl w:val="0"/>
          <w:numId w:val="1014"/>
        </w:numPr>
      </w:pPr>
      <w:r>
        <w:rPr>
          <w:b/>
          <w:bCs/>
        </w:rPr>
        <w:t xml:space="preserve">Integration:</w:t>
      </w:r>
      <w:r>
        <w:t xml:space="preserve"> </w:t>
      </w:r>
      <w:r>
        <w:t xml:space="preserve">Assess how the solution connects to your existing platform, PAM, and payment systems</w:t>
      </w:r>
    </w:p>
    <w:p>
      <w:pPr>
        <w:pStyle w:val="Compact"/>
        <w:numPr>
          <w:ilvl w:val="0"/>
          <w:numId w:val="1014"/>
        </w:numPr>
      </w:pPr>
      <w:r>
        <w:rPr>
          <w:b/>
          <w:bCs/>
        </w:rPr>
        <w:t xml:space="preserve">Rule customization:</w:t>
      </w:r>
      <w:r>
        <w:t xml:space="preserve"> </w:t>
      </w:r>
      <w:r>
        <w:t xml:space="preserve">Verify you can adjust thresholds and create custom rules for your market</w:t>
      </w:r>
    </w:p>
    <w:p>
      <w:pPr>
        <w:pStyle w:val="Compact"/>
        <w:numPr>
          <w:ilvl w:val="0"/>
          <w:numId w:val="1014"/>
        </w:numPr>
      </w:pPr>
      <w:r>
        <w:rPr>
          <w:b/>
          <w:bCs/>
        </w:rPr>
        <w:t xml:space="preserve">False positive rates:</w:t>
      </w:r>
      <w:r>
        <w:t xml:space="preserve"> </w:t>
      </w:r>
      <w:r>
        <w:t xml:space="preserve">Request benchmark data from comparable iGaming implementations</w:t>
      </w:r>
    </w:p>
    <w:p>
      <w:pPr>
        <w:pStyle w:val="Compact"/>
        <w:numPr>
          <w:ilvl w:val="0"/>
          <w:numId w:val="1014"/>
        </w:numPr>
      </w:pPr>
      <w:r>
        <w:rPr>
          <w:b/>
          <w:bCs/>
        </w:rPr>
        <w:t xml:space="preserve">Regulatory coverage:</w:t>
      </w:r>
      <w:r>
        <w:t xml:space="preserve"> </w:t>
      </w:r>
      <w:r>
        <w:t xml:space="preserve">Confirm the solution meets requirements for all your licensed jurisdictions</w:t>
      </w:r>
    </w:p>
    <w:p>
      <w:pPr>
        <w:pStyle w:val="Compact"/>
        <w:numPr>
          <w:ilvl w:val="0"/>
          <w:numId w:val="1014"/>
        </w:numPr>
      </w:pPr>
      <w:r>
        <w:rPr>
          <w:b/>
          <w:bCs/>
        </w:rPr>
        <w:t xml:space="preserve">Scalability:</w:t>
      </w:r>
      <w:r>
        <w:t xml:space="preserve"> </w:t>
      </w:r>
      <w:r>
        <w:t xml:space="preserve">Ensure the solution handles your transaction volumes without performance degradation</w:t>
      </w:r>
    </w:p>
    <w:p>
      <w:pPr>
        <w:pStyle w:val="FirstParagraph"/>
      </w:pPr>
      <w:r>
        <w:t xml:space="preserve">Related:</w:t>
      </w:r>
      <w:r>
        <w:t xml:space="preserve"> </w:t>
      </w:r>
      <w:hyperlink r:id="rId12">
        <w:r>
          <w:rPr>
            <w:rStyle w:val="Hyperlink"/>
          </w:rPr>
          <w:t xml:space="preserve">KYC Services</w:t>
        </w:r>
      </w:hyperlink>
    </w:p>
    <w:p>
      <w:r>
        <w:pict>
          <v:rect style="width:0;height:1.5pt" o:hralign="center" o:hrstd="t" o:hr="t"/>
        </w:pict>
      </w:r>
    </w:p>
    <w:bookmarkEnd w:id="48"/>
    <w:bookmarkStart w:id="51" w:name="X4a59e92ea247f38626a8d95881309a960bb7e96"/>
    <w:p>
      <w:pPr>
        <w:pStyle w:val="Heading3"/>
      </w:pPr>
      <w:r>
        <w:t xml:space="preserve">What mistakes do operators make with AML compliance?</w:t>
      </w:r>
    </w:p>
    <w:p>
      <w:pPr>
        <w:pStyle w:val="FirstParagraph"/>
      </w:pPr>
      <w:r>
        <w:t xml:space="preserve">The most expensive mistake is treating AML as a checkbox exercise managed only by the compliance team. AML failures that result in enforcement typically reflect cultural and operational issues, not just technical gaps.</w:t>
      </w:r>
    </w:p>
    <w:bookmarkStart w:id="49" w:name="common-mistakes"/>
    <w:p>
      <w:pPr>
        <w:pStyle w:val="Heading4"/>
      </w:pPr>
      <w:r>
        <w:t xml:space="preserve">Common mistakes</w:t>
      </w:r>
    </w:p>
    <w:p>
      <w:pPr>
        <w:numPr>
          <w:ilvl w:val="0"/>
          <w:numId w:val="1015"/>
        </w:numPr>
      </w:pPr>
      <w:r>
        <w:rPr>
          <w:b/>
          <w:bCs/>
        </w:rPr>
        <w:t xml:space="preserve">Compliance isolated from operations:</w:t>
      </w:r>
      <w:r>
        <w:t xml:space="preserve"> </w:t>
      </w:r>
      <w:r>
        <w:t xml:space="preserve">AML works only when integrated into player management, payments, and customer service. Compliance teams that operate in silos miss context and can’t effectively escalate concerns</w:t>
      </w:r>
    </w:p>
    <w:p>
      <w:pPr>
        <w:numPr>
          <w:ilvl w:val="0"/>
          <w:numId w:val="1015"/>
        </w:numPr>
      </w:pPr>
      <w:r>
        <w:rPr>
          <w:b/>
          <w:bCs/>
        </w:rPr>
        <w:t xml:space="preserve">Threshold-based tunnel vision:</w:t>
      </w:r>
      <w:r>
        <w:t xml:space="preserve"> </w:t>
      </w:r>
      <w:r>
        <w:t xml:space="preserve">Monitoring only for transactions above reporting thresholds misses structuring, coordinated activity, and behavioral patterns. Sophisticated laundering operates below obvious thresholds</w:t>
      </w:r>
    </w:p>
    <w:p>
      <w:pPr>
        <w:numPr>
          <w:ilvl w:val="0"/>
          <w:numId w:val="1015"/>
        </w:numPr>
      </w:pPr>
      <w:r>
        <w:rPr>
          <w:b/>
          <w:bCs/>
        </w:rPr>
        <w:t xml:space="preserve">Alert volume management over detection:</w:t>
      </w:r>
      <w:r>
        <w:t xml:space="preserve"> </w:t>
      </w:r>
      <w:r>
        <w:t xml:space="preserve">Tuning systems to reduce alerts rather than improve detection creates blind spots. Compliance teams measured on throughput may clear alerts without adequate investigation</w:t>
      </w:r>
    </w:p>
    <w:p>
      <w:pPr>
        <w:numPr>
          <w:ilvl w:val="0"/>
          <w:numId w:val="1015"/>
        </w:numPr>
      </w:pPr>
      <w:r>
        <w:rPr>
          <w:b/>
          <w:bCs/>
        </w:rPr>
        <w:t xml:space="preserve">Inadequate senior management involvement:</w:t>
      </w:r>
      <w:r>
        <w:t xml:space="preserve"> </w:t>
      </w:r>
      <w:r>
        <w:t xml:space="preserve">Regulators expect board-level engagement with AML. Compliance programs without executive sponsorship lack resources and authority to enforce policies</w:t>
      </w:r>
    </w:p>
    <w:p>
      <w:pPr>
        <w:numPr>
          <w:ilvl w:val="0"/>
          <w:numId w:val="1015"/>
        </w:numPr>
      </w:pPr>
      <w:r>
        <w:rPr>
          <w:b/>
          <w:bCs/>
        </w:rPr>
        <w:t xml:space="preserve">Static rule sets:</w:t>
      </w:r>
      <w:r>
        <w:t xml:space="preserve"> </w:t>
      </w:r>
      <w:r>
        <w:t xml:space="preserve">Laundering techniques evolve; rule sets must too. Systems implemented in 2022 miss 2025 synthetic identity and AI-enabled fraud techniques</w:t>
      </w:r>
    </w:p>
    <w:p>
      <w:pPr>
        <w:numPr>
          <w:ilvl w:val="0"/>
          <w:numId w:val="1015"/>
        </w:numPr>
      </w:pPr>
      <w:r>
        <w:rPr>
          <w:b/>
          <w:bCs/>
        </w:rPr>
        <w:t xml:space="preserve">Ignoring cryptocurrency-specific risks:</w:t>
      </w:r>
      <w:r>
        <w:t xml:space="preserve"> </w:t>
      </w:r>
      <w:r>
        <w:t xml:space="preserve">Crypto deposits require specialized blockchain analysis. Treating crypto like traditional payments misses mixing services, privacy coins, and cross-chain movements</w:t>
      </w:r>
    </w:p>
    <w:bookmarkEnd w:id="49"/>
    <w:bookmarkStart w:id="50" w:name="the-post-enforcement-pattern"/>
    <w:p>
      <w:pPr>
        <w:pStyle w:val="Heading4"/>
      </w:pPr>
      <w:r>
        <w:t xml:space="preserve">The post-enforcement pattern</w:t>
      </w:r>
    </w:p>
    <w:p>
      <w:pPr>
        <w:pStyle w:val="FirstParagraph"/>
      </w:pPr>
      <w:r>
        <w:t xml:space="preserve">Most UKGC enforcement actions note that operators had policies on paper but failed to implement them effectively. Documentation alone doesn’t create compliance—execution and culture do.</w:t>
      </w:r>
    </w:p>
    <w:p>
      <w:pPr>
        <w:pStyle w:val="BodyText"/>
      </w:pPr>
      <w:r>
        <w:t xml:space="preserve">Related:</w:t>
      </w:r>
      <w:r>
        <w:t xml:space="preserve"> </w:t>
      </w:r>
      <w:hyperlink r:id="rId20">
        <w:r>
          <w:rPr>
            <w:rStyle w:val="Hyperlink"/>
          </w:rPr>
          <w:t xml:space="preserve">Risk Management</w:t>
        </w:r>
      </w:hyperlink>
    </w:p>
    <w:p>
      <w:r>
        <w:pict>
          <v:rect style="width:0;height:1.5pt" o:hralign="center" o:hrstd="t" o:hr="t"/>
        </w:pict>
      </w:r>
    </w:p>
    <w:bookmarkEnd w:id="50"/>
    <w:bookmarkEnd w:id="51"/>
    <w:bookmarkStart w:id="55" w:name="what-happens-during-an-aml-audit"/>
    <w:p>
      <w:pPr>
        <w:pStyle w:val="Heading3"/>
      </w:pPr>
      <w:r>
        <w:t xml:space="preserve">What happens during an AML audit?</w:t>
      </w:r>
    </w:p>
    <w:p>
      <w:pPr>
        <w:pStyle w:val="FirstParagraph"/>
      </w:pPr>
      <w:r>
        <w:t xml:space="preserve">AML audits—whether internal, third-party, or regulatory—examine whether your documented policies match actual practice and whether your systems effectively detect and report suspicious activity.</w:t>
      </w:r>
    </w:p>
    <w:bookmarkStart w:id="52" w:name="what-auditors-examine"/>
    <w:p>
      <w:pPr>
        <w:pStyle w:val="Heading4"/>
      </w:pPr>
      <w:r>
        <w:t xml:space="preserve">What auditors examine</w:t>
      </w:r>
    </w:p>
    <w:p>
      <w:pPr>
        <w:pStyle w:val="FirstParagraph"/>
      </w:pPr>
      <w:r>
        <w:rPr>
          <w:b/>
          <w:bCs/>
        </w:rPr>
        <w:t xml:space="preserve">Documentation review:</w:t>
      </w:r>
      <w:r>
        <w:t xml:space="preserve"> </w:t>
      </w:r>
      <w:r>
        <w:t xml:space="preserve">- AML policies and procedures</w:t>
      </w:r>
      <w:r>
        <w:t xml:space="preserve"> </w:t>
      </w:r>
      <w:r>
        <w:t xml:space="preserve">- Risk assessment methodology</w:t>
      </w:r>
      <w:r>
        <w:t xml:space="preserve"> </w:t>
      </w:r>
      <w:r>
        <w:t xml:space="preserve">- Training records and certification</w:t>
      </w:r>
      <w:r>
        <w:t xml:space="preserve"> </w:t>
      </w:r>
      <w:r>
        <w:t xml:space="preserve">- Board and committee minutes showing AML engagement</w:t>
      </w:r>
      <w:r>
        <w:t xml:space="preserve"> </w:t>
      </w:r>
      <w:r>
        <w:t xml:space="preserve">- SAR and CTR filing records</w:t>
      </w:r>
    </w:p>
    <w:p>
      <w:pPr>
        <w:pStyle w:val="BodyText"/>
      </w:pPr>
      <w:r>
        <w:rPr>
          <w:b/>
          <w:bCs/>
        </w:rPr>
        <w:t xml:space="preserve">Systems testing:</w:t>
      </w:r>
      <w:r>
        <w:t xml:space="preserve"> </w:t>
      </w:r>
      <w:r>
        <w:t xml:space="preserve">- Transaction monitoring rule effectiveness</w:t>
      </w:r>
      <w:r>
        <w:t xml:space="preserve"> </w:t>
      </w:r>
      <w:r>
        <w:t xml:space="preserve">- Sanctions screening coverage and update frequency</w:t>
      </w:r>
      <w:r>
        <w:t xml:space="preserve"> </w:t>
      </w:r>
      <w:r>
        <w:t xml:space="preserve">- Alert investigation workflows and timelines</w:t>
      </w:r>
      <w:r>
        <w:t xml:space="preserve"> </w:t>
      </w:r>
      <w:r>
        <w:t xml:space="preserve">- Case management and documentation quality</w:t>
      </w:r>
    </w:p>
    <w:p>
      <w:pPr>
        <w:pStyle w:val="BodyText"/>
      </w:pPr>
      <w:r>
        <w:rPr>
          <w:b/>
          <w:bCs/>
        </w:rPr>
        <w:t xml:space="preserve">Sample testing:</w:t>
      </w:r>
      <w:r>
        <w:t xml:space="preserve"> </w:t>
      </w:r>
      <w:r>
        <w:t xml:space="preserve">- Review of closed alerts to verify investigation quality</w:t>
      </w:r>
      <w:r>
        <w:t xml:space="preserve"> </w:t>
      </w:r>
      <w:r>
        <w:t xml:space="preserve">- Examination of high-risk accounts and EDD application</w:t>
      </w:r>
      <w:r>
        <w:t xml:space="preserve"> </w:t>
      </w:r>
      <w:r>
        <w:t xml:space="preserve">- Testing of threshold breach detection</w:t>
      </w:r>
      <w:r>
        <w:t xml:space="preserve"> </w:t>
      </w:r>
      <w:r>
        <w:t xml:space="preserve">- SAR decision documentation</w:t>
      </w:r>
    </w:p>
    <w:p>
      <w:pPr>
        <w:pStyle w:val="BodyText"/>
      </w:pPr>
      <w:r>
        <w:rPr>
          <w:b/>
          <w:bCs/>
        </w:rPr>
        <w:t xml:space="preserve">Interviews:</w:t>
      </w:r>
      <w:r>
        <w:t xml:space="preserve"> </w:t>
      </w:r>
      <w:r>
        <w:t xml:space="preserve">- Compliance staff understanding of policies</w:t>
      </w:r>
      <w:r>
        <w:t xml:space="preserve"> </w:t>
      </w:r>
      <w:r>
        <w:t xml:space="preserve">- Operational staff awareness of escalation procedures</w:t>
      </w:r>
      <w:r>
        <w:t xml:space="preserve"> </w:t>
      </w:r>
      <w:r>
        <w:t xml:space="preserve">- Senior management engagement with AML</w:t>
      </w:r>
    </w:p>
    <w:bookmarkEnd w:id="52"/>
    <w:bookmarkStart w:id="53" w:name="common-audit-findings"/>
    <w:p>
      <w:pPr>
        <w:pStyle w:val="Heading4"/>
      </w:pPr>
      <w:r>
        <w:t xml:space="preserve">Common audit findings</w:t>
      </w:r>
    </w:p>
    <w:p>
      <w:pPr>
        <w:pStyle w:val="Compact"/>
        <w:numPr>
          <w:ilvl w:val="0"/>
          <w:numId w:val="1016"/>
        </w:numPr>
      </w:pPr>
      <w:r>
        <w:t xml:space="preserve">Policies not updated to reflect current regulations</w:t>
      </w:r>
    </w:p>
    <w:p>
      <w:pPr>
        <w:pStyle w:val="Compact"/>
        <w:numPr>
          <w:ilvl w:val="0"/>
          <w:numId w:val="1016"/>
        </w:numPr>
      </w:pPr>
      <w:r>
        <w:t xml:space="preserve">Alert investigation timelines exceeding documented standards</w:t>
      </w:r>
    </w:p>
    <w:p>
      <w:pPr>
        <w:pStyle w:val="Compact"/>
        <w:numPr>
          <w:ilvl w:val="0"/>
          <w:numId w:val="1016"/>
        </w:numPr>
      </w:pPr>
      <w:r>
        <w:t xml:space="preserve">Insufficient documentation of investigation rationale</w:t>
      </w:r>
    </w:p>
    <w:p>
      <w:pPr>
        <w:pStyle w:val="Compact"/>
        <w:numPr>
          <w:ilvl w:val="0"/>
          <w:numId w:val="1016"/>
        </w:numPr>
      </w:pPr>
      <w:r>
        <w:t xml:space="preserve">Training records incomplete or outdated</w:t>
      </w:r>
    </w:p>
    <w:p>
      <w:pPr>
        <w:pStyle w:val="Compact"/>
        <w:numPr>
          <w:ilvl w:val="0"/>
          <w:numId w:val="1016"/>
        </w:numPr>
      </w:pPr>
      <w:r>
        <w:t xml:space="preserve">Risk assessments not conducted at required frequency</w:t>
      </w:r>
    </w:p>
    <w:bookmarkEnd w:id="53"/>
    <w:bookmarkStart w:id="54" w:name="after-enforcement"/>
    <w:p>
      <w:pPr>
        <w:pStyle w:val="Heading4"/>
      </w:pPr>
      <w:r>
        <w:t xml:space="preserve">After enforcement</w:t>
      </w:r>
    </w:p>
    <w:p>
      <w:pPr>
        <w:pStyle w:val="FirstParagraph"/>
      </w:pPr>
      <w:r>
        <w:t xml:space="preserve">Regulatory enforcement often mandates third-party audits at operator expense (£50,000-£200,000). These audits have stricter standards and require demonstrated remediation of identified gaps before the regulator releases the operator from enhanced monitoring.</w:t>
      </w:r>
    </w:p>
    <w:p>
      <w:pPr>
        <w:pStyle w:val="BodyText"/>
      </w:pPr>
      <w:r>
        <w:t xml:space="preserve">Related:</w:t>
      </w:r>
      <w:r>
        <w:t xml:space="preserve"> </w:t>
      </w:r>
      <w:hyperlink r:id="rId13">
        <w:r>
          <w:rPr>
            <w:rStyle w:val="Hyperlink"/>
          </w:rPr>
          <w:t xml:space="preserve">Compliance &amp; Regulatory Services</w:t>
        </w:r>
      </w:hyperlink>
    </w:p>
    <w:p>
      <w:r>
        <w:pict>
          <v:rect style="width:0;height:1.5pt" o:hralign="center" o:hrstd="t" o:hr="t"/>
        </w:pict>
      </w:r>
    </w:p>
    <w:bookmarkEnd w:id="54"/>
    <w:bookmarkEnd w:id="55"/>
    <w:bookmarkStart w:id="58" w:name="how-is-aml-regulation-changing-in-2026"/>
    <w:p>
      <w:pPr>
        <w:pStyle w:val="Heading3"/>
      </w:pPr>
      <w:r>
        <w:t xml:space="preserve">How is AML regulation changing in 2026?</w:t>
      </w:r>
    </w:p>
    <w:p>
      <w:pPr>
        <w:pStyle w:val="FirstParagraph"/>
      </w:pPr>
      <w:r>
        <w:t xml:space="preserve">AML regulation is intensifying globally, with enhanced requirements for cryptocurrency, AI-powered detection expectations, and tighter enforcement. Operators face a more demanding compliance landscape.</w:t>
      </w:r>
    </w:p>
    <w:bookmarkStart w:id="56" w:name="key-regulatory-changes"/>
    <w:p>
      <w:pPr>
        <w:pStyle w:val="Heading4"/>
      </w:pPr>
      <w:r>
        <w:t xml:space="preserve">Key regulatory changes</w:t>
      </w:r>
    </w:p>
    <w:p>
      <w:pPr>
        <w:pStyle w:val="FirstParagraph"/>
      </w:pPr>
      <w:r>
        <w:rPr>
          <w:b/>
          <w:bCs/>
        </w:rPr>
        <w:t xml:space="preserve">EU AMLR (Anti-Money Laundering Regulation)</w:t>
      </w:r>
    </w:p>
    <w:p>
      <w:pPr>
        <w:pStyle w:val="BodyText"/>
      </w:pPr>
      <w:r>
        <w:t xml:space="preserve">The European Gaming and Betting Association announced the rewriting of AML rules for 2026, aligning with EU crypto and compliance standards. This will create more unified requirements across EU markets but likely raise compliance bars for operators.</w:t>
      </w:r>
    </w:p>
    <w:p>
      <w:pPr>
        <w:pStyle w:val="BodyText"/>
      </w:pPr>
      <w:r>
        <w:rPr>
          <w:b/>
          <w:bCs/>
        </w:rPr>
        <w:t xml:space="preserve">UKGC enforcement framework (October 2025)</w:t>
      </w:r>
    </w:p>
    <w:p>
      <w:pPr>
        <w:pStyle w:val="BodyText"/>
      </w:pPr>
      <w:r>
        <w:t xml:space="preserve">The UKGC introduced a seven-step financial penalty process with breaches ranked across five severity levels. Penalties now scale based on gross gambling yield percentage, making fines proportional to operator size. This framework increases transparency but maintains aggressive enforcement.</w:t>
      </w:r>
    </w:p>
    <w:p>
      <w:pPr>
        <w:pStyle w:val="BodyText"/>
      </w:pPr>
      <w:r>
        <w:rPr>
          <w:b/>
          <w:bCs/>
        </w:rPr>
        <w:t xml:space="preserve">Cryptocurrency Travel Rule</w:t>
      </w:r>
    </w:p>
    <w:p>
      <w:pPr>
        <w:pStyle w:val="BodyText"/>
      </w:pPr>
      <w:r>
        <w:t xml:space="preserve">Strictly enforced from 2025, operators accepting cryptocurrency must share originator and beneficiary data for cross-border transfers. This requires blockchain analysis capabilities that many operators lack.</w:t>
      </w:r>
    </w:p>
    <w:p>
      <w:pPr>
        <w:pStyle w:val="BodyText"/>
      </w:pPr>
      <w:r>
        <w:rPr>
          <w:b/>
          <w:bCs/>
        </w:rPr>
        <w:t xml:space="preserve">AI detection expectations</w:t>
      </w:r>
    </w:p>
    <w:p>
      <w:pPr>
        <w:pStyle w:val="BodyText"/>
      </w:pPr>
      <w:r>
        <w:t xml:space="preserve">Regulators increasingly expect AI/ML-powered detection. According to PwC surveys, 90% of financial institutions will use AI for AML by 2025 (up from 62% in 2023). Manual rule-based systems are becoming inadequate for regulatory expectations.</w:t>
      </w:r>
    </w:p>
    <w:p>
      <w:pPr>
        <w:pStyle w:val="BodyText"/>
      </w:pPr>
      <w:r>
        <w:rPr>
          <w:b/>
          <w:bCs/>
        </w:rPr>
        <w:t xml:space="preserve">Synthetic identity focus</w:t>
      </w:r>
    </w:p>
    <w:p>
      <w:pPr>
        <w:pStyle w:val="BodyText"/>
      </w:pPr>
      <w:r>
        <w:t xml:space="preserve">Generative AI enables synthetic identities at scale. Regulators are beginning to expect detection capabilities for synthetic identity fraud, though specific requirements are still emerging.</w:t>
      </w:r>
    </w:p>
    <w:bookmarkEnd w:id="56"/>
    <w:bookmarkStart w:id="57" w:name="what-this-means-for-operators"/>
    <w:p>
      <w:pPr>
        <w:pStyle w:val="Heading4"/>
      </w:pPr>
      <w:r>
        <w:t xml:space="preserve">What this means for operators</w:t>
      </w:r>
    </w:p>
    <w:p>
      <w:pPr>
        <w:pStyle w:val="FirstParagraph"/>
      </w:pPr>
      <w:r>
        <w:t xml:space="preserve">Invest in technology that can adapt to evolving requirements. Build relationships with regulators before enforcement occurs. Treat 2023-era compliance programs as baseline, not sufficient.</w:t>
      </w:r>
    </w:p>
    <w:p>
      <w:pPr>
        <w:pStyle w:val="BodyText"/>
      </w:pPr>
      <w:r>
        <w:t xml:space="preserve">Related:</w:t>
      </w:r>
      <w:r>
        <w:t xml:space="preserve"> </w:t>
      </w:r>
      <w:hyperlink r:id="rId17">
        <w:r>
          <w:rPr>
            <w:rStyle w:val="Hyperlink"/>
          </w:rPr>
          <w:t xml:space="preserve">Licensing &amp; Regulatory Consulting</w:t>
        </w:r>
      </w:hyperlink>
    </w:p>
    <w:p>
      <w:r>
        <w:pict>
          <v:rect style="width:0;height:1.5pt" o:hralign="center" o:hrstd="t" o:hr="t"/>
        </w:pict>
      </w:r>
    </w:p>
    <w:bookmarkEnd w:id="57"/>
    <w:bookmarkEnd w:id="58"/>
    <w:bookmarkStart w:id="62" w:name="X378a8277ec07de68a888afecd04141193d1fb8c"/>
    <w:p>
      <w:pPr>
        <w:pStyle w:val="Heading3"/>
      </w:pPr>
      <w:r>
        <w:t xml:space="preserve">How do I know if my AML program is effective?</w:t>
      </w:r>
    </w:p>
    <w:p>
      <w:pPr>
        <w:pStyle w:val="FirstParagraph"/>
      </w:pPr>
      <w:r>
        <w:t xml:space="preserve">Measure AML effectiveness through detection rates, investigation quality, and regulatory outcomes—not just alert volume or SAR counts. Many operators file reports without knowing whether their programs actually prevent laundering.</w:t>
      </w:r>
    </w:p>
    <w:bookmarkStart w:id="59" w:name="key-metrics-to-monitor"/>
    <w:p>
      <w:pPr>
        <w:pStyle w:val="Heading4"/>
      </w:pPr>
      <w:r>
        <w:t xml:space="preserve">Key metrics to monitor</w:t>
      </w:r>
    </w:p>
    <w:p>
      <w:pPr>
        <w:pStyle w:val="Compact"/>
        <w:numPr>
          <w:ilvl w:val="0"/>
          <w:numId w:val="1017"/>
        </w:numPr>
      </w:pPr>
      <w:r>
        <w:rPr>
          <w:b/>
          <w:bCs/>
        </w:rPr>
        <w:t xml:space="preserve">SAR rate:</w:t>
      </w:r>
      <w:r>
        <w:t xml:space="preserve"> </w:t>
      </w:r>
      <w:r>
        <w:t xml:space="preserve">Percentage of alerts resulting in SAR filing. Healthy range 0.1-0.5%; below 0.05% suggests over-alerting; above 2% may indicate under-detection</w:t>
      </w:r>
    </w:p>
    <w:p>
      <w:pPr>
        <w:pStyle w:val="Compact"/>
        <w:numPr>
          <w:ilvl w:val="0"/>
          <w:numId w:val="1017"/>
        </w:numPr>
      </w:pPr>
      <w:r>
        <w:rPr>
          <w:b/>
          <w:bCs/>
        </w:rPr>
        <w:t xml:space="preserve">Investigation closure time:</w:t>
      </w:r>
      <w:r>
        <w:t xml:space="preserve"> </w:t>
      </w:r>
      <w:r>
        <w:t xml:space="preserve">Days from alert to resolution. Target 5-10 days for standard alerts; warning if exceeding 30 days</w:t>
      </w:r>
    </w:p>
    <w:p>
      <w:pPr>
        <w:pStyle w:val="Compact"/>
        <w:numPr>
          <w:ilvl w:val="0"/>
          <w:numId w:val="1017"/>
        </w:numPr>
      </w:pPr>
      <w:r>
        <w:rPr>
          <w:b/>
          <w:bCs/>
        </w:rPr>
        <w:t xml:space="preserve">EDD completion rate:</w:t>
      </w:r>
      <w:r>
        <w:t xml:space="preserve"> </w:t>
      </w:r>
      <w:r>
        <w:t xml:space="preserve">Percentage of triggered EDD cases successfully completed vs. abandoned. High abandonment may indicate overly aggressive triggers or poor process</w:t>
      </w:r>
    </w:p>
    <w:p>
      <w:pPr>
        <w:pStyle w:val="Compact"/>
        <w:numPr>
          <w:ilvl w:val="0"/>
          <w:numId w:val="1017"/>
        </w:numPr>
      </w:pPr>
      <w:r>
        <w:rPr>
          <w:b/>
          <w:bCs/>
        </w:rPr>
        <w:t xml:space="preserve">False positive rate:</w:t>
      </w:r>
      <w:r>
        <w:t xml:space="preserve"> </w:t>
      </w:r>
      <w:r>
        <w:t xml:space="preserve">Percentage of alerts closed without action. Above 95% suggests thresholds need tuning; below 80% suggests under-detection</w:t>
      </w:r>
    </w:p>
    <w:p>
      <w:pPr>
        <w:pStyle w:val="Compact"/>
        <w:numPr>
          <w:ilvl w:val="0"/>
          <w:numId w:val="1017"/>
        </w:numPr>
      </w:pPr>
      <w:r>
        <w:rPr>
          <w:b/>
          <w:bCs/>
        </w:rPr>
        <w:t xml:space="preserve">Regulatory feedback:</w:t>
      </w:r>
      <w:r>
        <w:t xml:space="preserve"> </w:t>
      </w:r>
      <w:r>
        <w:t xml:space="preserve">Examination results, questions from regulators, and enforcement actions provide direct feedback on program effectiveness</w:t>
      </w:r>
    </w:p>
    <w:bookmarkEnd w:id="59"/>
    <w:bookmarkStart w:id="60" w:name="leading-indicators"/>
    <w:p>
      <w:pPr>
        <w:pStyle w:val="Heading4"/>
      </w:pPr>
      <w:r>
        <w:t xml:space="preserve">Leading indicators</w:t>
      </w:r>
    </w:p>
    <w:p>
      <w:pPr>
        <w:pStyle w:val="Compact"/>
        <w:numPr>
          <w:ilvl w:val="0"/>
          <w:numId w:val="1018"/>
        </w:numPr>
      </w:pPr>
      <w:r>
        <w:t xml:space="preserve">Declining investigation quality scores</w:t>
      </w:r>
    </w:p>
    <w:p>
      <w:pPr>
        <w:pStyle w:val="Compact"/>
        <w:numPr>
          <w:ilvl w:val="0"/>
          <w:numId w:val="1018"/>
        </w:numPr>
      </w:pPr>
      <w:r>
        <w:t xml:space="preserve">Increasing backlog of pending alerts</w:t>
      </w:r>
    </w:p>
    <w:p>
      <w:pPr>
        <w:pStyle w:val="Compact"/>
        <w:numPr>
          <w:ilvl w:val="0"/>
          <w:numId w:val="1018"/>
        </w:numPr>
      </w:pPr>
      <w:r>
        <w:t xml:space="preserve">Staff turnover in compliance team</w:t>
      </w:r>
    </w:p>
    <w:p>
      <w:pPr>
        <w:pStyle w:val="Compact"/>
        <w:numPr>
          <w:ilvl w:val="0"/>
          <w:numId w:val="1018"/>
        </w:numPr>
      </w:pPr>
      <w:r>
        <w:t xml:space="preserve">Audit findings not remediated within target timeframes</w:t>
      </w:r>
    </w:p>
    <w:p>
      <w:pPr>
        <w:pStyle w:val="Compact"/>
        <w:numPr>
          <w:ilvl w:val="0"/>
          <w:numId w:val="1018"/>
        </w:numPr>
      </w:pPr>
      <w:r>
        <w:t xml:space="preserve">Rules not updated in response to new typologies</w:t>
      </w:r>
    </w:p>
    <w:bookmarkEnd w:id="60"/>
    <w:bookmarkStart w:id="61" w:name="the-test-that-matters"/>
    <w:p>
      <w:pPr>
        <w:pStyle w:val="Heading4"/>
      </w:pPr>
      <w:r>
        <w:t xml:space="preserve">The test that matters</w:t>
      </w:r>
    </w:p>
    <w:p>
      <w:pPr>
        <w:pStyle w:val="FirstParagraph"/>
      </w:pPr>
      <w:r>
        <w:t xml:space="preserve">Would your program detect known laundering typologies if they occurred? Periodically test with synthetic scenarios based on published enforcement cases. If your system wouldn’t flag activity that resulted in fines for other operators, it needs improvement.</w:t>
      </w:r>
    </w:p>
    <w:p>
      <w:pPr>
        <w:pStyle w:val="BodyText"/>
      </w:pPr>
      <w:r>
        <w:t xml:space="preserve">Related:</w:t>
      </w:r>
      <w:r>
        <w:t xml:space="preserve"> </w:t>
      </w:r>
      <w:hyperlink r:id="rId37">
        <w:r>
          <w:rPr>
            <w:rStyle w:val="Hyperlink"/>
          </w:rPr>
          <w:t xml:space="preserve">Data &amp; Analytics</w:t>
        </w:r>
      </w:hyperlink>
    </w:p>
    <w:p>
      <w:r>
        <w:pict>
          <v:rect style="width:0;height:1.5pt" o:hralign="center" o:hrstd="t" o:hr="t"/>
        </w:pict>
      </w:r>
    </w:p>
    <w:p>
      <w:pPr>
        <w:pStyle w:val="FirstParagraph"/>
      </w:pPr>
      <w:r>
        <w:rPr>
          <w:i/>
          <w:iCs/>
        </w:rPr>
        <w:t xml:space="preserve">Last updated: January 2026</w:t>
      </w:r>
    </w:p>
    <w:bookmarkEnd w:id="61"/>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directory/compliance-regulatory-services" TargetMode="External" /><Relationship Type="http://schemas.openxmlformats.org/officeDocument/2006/relationships/hyperlink" Id="rId37" Target="/directory/data-analytics" TargetMode="External" /><Relationship Type="http://schemas.openxmlformats.org/officeDocument/2006/relationships/hyperlink" Id="rId34" Target="/directory/fraud-prevention" TargetMode="External" /><Relationship Type="http://schemas.openxmlformats.org/officeDocument/2006/relationships/hyperlink" Id="rId12" Target="/directory/kyc-services" TargetMode="External" /><Relationship Type="http://schemas.openxmlformats.org/officeDocument/2006/relationships/hyperlink" Id="rId17" Target="/directory/licensing-regulatory-consulting" TargetMode="External" /><Relationship Type="http://schemas.openxmlformats.org/officeDocument/2006/relationships/hyperlink" Id="rId20" Target="/directory/risk-management" TargetMode="External" /></Relationships>
</file>

<file path=word/_rels/footnotes.xml.rels><?xml version="1.0" encoding="UTF-8"?><Relationships xmlns="http://schemas.openxmlformats.org/package/2006/relationships"><Relationship Type="http://schemas.openxmlformats.org/officeDocument/2006/relationships/hyperlink" Id="rId13" Target="/directory/compliance-regulatory-services" TargetMode="External" /><Relationship Type="http://schemas.openxmlformats.org/officeDocument/2006/relationships/hyperlink" Id="rId37" Target="/directory/data-analytics" TargetMode="External" /><Relationship Type="http://schemas.openxmlformats.org/officeDocument/2006/relationships/hyperlink" Id="rId34" Target="/directory/fraud-prevention" TargetMode="External" /><Relationship Type="http://schemas.openxmlformats.org/officeDocument/2006/relationships/hyperlink" Id="rId12" Target="/directory/kyc-services" TargetMode="External" /><Relationship Type="http://schemas.openxmlformats.org/officeDocument/2006/relationships/hyperlink" Id="rId17" Target="/directory/licensing-regulatory-consulting" TargetMode="External" /><Relationship Type="http://schemas.openxmlformats.org/officeDocument/2006/relationships/hyperlink" Id="rId20" Target="/directory/risk-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2026-01-26T15:42:23Z</dcterms:created>
  <dcterms:modified xsi:type="dcterms:W3CDTF">2026-01-26T15:42:23Z</dcterms:modified>
</cp:coreProperties>
</file>

<file path=docProps/custom.xml><?xml version="1.0" encoding="utf-8"?>
<Properties xmlns="http://schemas.openxmlformats.org/officeDocument/2006/custom-properties" xmlns:vt="http://schemas.openxmlformats.org/officeDocument/2006/docPropsVTypes"/>
</file>