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71e7eb1c9b3ddcbd7bd6194326c86cfb2cb60df"/>
    <w:p>
      <w:pPr>
        <w:pStyle w:val="Heading1"/>
      </w:pPr>
      <w:r>
        <w:t xml:space="preserve">Licensing &amp; Regulatory Consulting - Frequently Asked Questions</w:t>
      </w:r>
    </w:p>
    <w:bookmarkStart w:id="9" w:name="category-information"/>
    <w:p>
      <w:pPr>
        <w:pStyle w:val="Heading2"/>
      </w:pPr>
      <w:r>
        <w:t xml:space="preserve">Category Information</w:t>
      </w:r>
    </w:p>
    <w:p>
      <w:pPr>
        <w:pStyle w:val="Compact"/>
        <w:numPr>
          <w:ilvl w:val="0"/>
          <w:numId w:val="1001"/>
        </w:numPr>
      </w:pPr>
      <w:r>
        <w:rPr>
          <w:b/>
          <w:bCs/>
        </w:rPr>
        <w:t xml:space="preserve">Category:</w:t>
      </w:r>
      <w:r>
        <w:t xml:space="preserve"> </w:t>
      </w:r>
      <w:r>
        <w:t xml:space="preserve">Licensing &amp; Regulatory Consulting</w:t>
      </w:r>
    </w:p>
    <w:p>
      <w:pPr>
        <w:pStyle w:val="Compact"/>
        <w:numPr>
          <w:ilvl w:val="0"/>
          <w:numId w:val="1001"/>
        </w:numPr>
      </w:pPr>
      <w:r>
        <w:rPr>
          <w:b/>
          <w:bCs/>
        </w:rPr>
        <w:t xml:space="preserve">Slug:</w:t>
      </w:r>
      <w:r>
        <w:t xml:space="preserve"> </w:t>
      </w:r>
      <w:r>
        <w:t xml:space="preserve">licensing-regulatory-consulting</w:t>
      </w:r>
    </w:p>
    <w:p>
      <w:pPr>
        <w:pStyle w:val="Compact"/>
        <w:numPr>
          <w:ilvl w:val="0"/>
          <w:numId w:val="1001"/>
        </w:numPr>
      </w:pPr>
      <w:r>
        <w:rPr>
          <w:b/>
          <w:bCs/>
        </w:rPr>
        <w:t xml:space="preserve">Parent:</w:t>
      </w:r>
      <w:r>
        <w:t xml:space="preserve"> </w:t>
      </w:r>
      <w:r>
        <w:t xml:space="preserve">Professional Services</w:t>
      </w:r>
    </w:p>
    <w:p>
      <w:pPr>
        <w:pStyle w:val="Compact"/>
        <w:numPr>
          <w:ilvl w:val="0"/>
          <w:numId w:val="1001"/>
        </w:numPr>
      </w:pPr>
      <w:r>
        <w:rPr>
          <w:b/>
          <w:bCs/>
        </w:rPr>
        <w:t xml:space="preserve">Wave:</w:t>
      </w:r>
      <w:r>
        <w:t xml:space="preserve"> </w:t>
      </w:r>
      <w:r>
        <w:t xml:space="preserve">1 (Priority)</w:t>
      </w:r>
    </w:p>
    <w:p>
      <w:pPr>
        <w:pStyle w:val="Compact"/>
        <w:numPr>
          <w:ilvl w:val="0"/>
          <w:numId w:val="1001"/>
        </w:numPr>
      </w:pPr>
      <w:r>
        <w:rPr>
          <w:b/>
          <w:bCs/>
        </w:rPr>
        <w:t xml:space="preserve">Questions:</w:t>
      </w:r>
      <w:r>
        <w:t xml:space="preserve"> </w:t>
      </w:r>
      <w:r>
        <w:t xml:space="preserve">14 (6 H2, 8 H3)</w:t>
      </w:r>
    </w:p>
    <w:p>
      <w:pPr>
        <w:pStyle w:val="Compact"/>
        <w:numPr>
          <w:ilvl w:val="0"/>
          <w:numId w:val="1001"/>
        </w:numPr>
      </w:pPr>
      <w:r>
        <w:rPr>
          <w:b/>
          <w:bCs/>
        </w:rPr>
        <w:t xml:space="preserve">Word Count:</w:t>
      </w:r>
      <w:r>
        <w:t xml:space="preserve"> </w:t>
      </w:r>
      <w:r>
        <w:t xml:space="preserve">~3,300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Gambling licenses determine where you can operate and what credibility you carry. This FAQ covers realistic costs by jurisdiction, timeline expectations, consultant selection, and ongoing compliance requirements.</w:t>
      </w:r>
    </w:p>
    <w:p>
      <w:r>
        <w:pict>
          <v:rect style="width:0;height:1.5pt" o:hralign="center" o:hrstd="t" o:hr="t"/>
        </w:pict>
      </w:r>
    </w:p>
    <w:bookmarkEnd w:id="10"/>
    <w:bookmarkStart w:id="13" w:name="X425b1ba137e3505bfe1d349b62db2a8afe76b49"/>
    <w:p>
      <w:pPr>
        <w:pStyle w:val="Heading2"/>
      </w:pPr>
      <w:r>
        <w:t xml:space="preserve">What is iGaming licensing and regulatory consulting?</w:t>
      </w:r>
    </w:p>
    <w:p>
      <w:pPr>
        <w:pStyle w:val="FirstParagraph"/>
      </w:pPr>
      <w:r>
        <w:t xml:space="preserve">iGaming licensing and regulatory consulting is a professional service that guides gambling operators through the complex process of obtaining and maintaining gambling licenses across global jurisdictions. Consultants manage the full application lifecycle, from selecting the optimal jurisdiction to drafting mandatory policies for Anti-Money Laundering (AML) and Responsible Gaming, while assembling technical evidence for regulators.</w:t>
      </w:r>
    </w:p>
    <w:p>
      <w:pPr>
        <w:pStyle w:val="BodyText"/>
      </w:pPr>
      <w:r>
        <w:t xml:space="preserve">An iGaming license is the legal</w:t>
      </w:r>
      <w:r>
        <w:t xml:space="preserve"> </w:t>
      </w:r>
      <w:r>
        <w:t xml:space="preserve">“permission slip”</w:t>
      </w:r>
      <w:r>
        <w:t xml:space="preserve"> </w:t>
      </w:r>
      <w:r>
        <w:t xml:space="preserve">for offering gambling services. In regulated markets, a license ties an operator to enforceable standards: fairness auditing, complaint handling, responsible gambling programs, AML controls, and data protection. Without one, you’re subject to potential fines, criminal charges, asset seizure, and business closure.</w:t>
      </w:r>
    </w:p>
    <w:p>
      <w:pPr>
        <w:pStyle w:val="BodyText"/>
      </w:pPr>
      <w:r>
        <w:t xml:space="preserve">Key services provided by licensing consultants include:</w:t>
      </w:r>
    </w:p>
    <w:p>
      <w:pPr>
        <w:pStyle w:val="Compact"/>
        <w:numPr>
          <w:ilvl w:val="0"/>
          <w:numId w:val="1002"/>
        </w:numPr>
      </w:pPr>
      <w:r>
        <w:t xml:space="preserve">Jurisdiction selection and strategic planning based on target markets</w:t>
      </w:r>
    </w:p>
    <w:p>
      <w:pPr>
        <w:pStyle w:val="Compact"/>
        <w:numPr>
          <w:ilvl w:val="0"/>
          <w:numId w:val="1002"/>
        </w:numPr>
      </w:pPr>
      <w:r>
        <w:t xml:space="preserve">Corporate structure setup and company formation in licensing jurisdictions</w:t>
      </w:r>
    </w:p>
    <w:p>
      <w:pPr>
        <w:pStyle w:val="Compact"/>
        <w:numPr>
          <w:ilvl w:val="0"/>
          <w:numId w:val="1002"/>
        </w:numPr>
      </w:pPr>
      <w:r>
        <w:t xml:space="preserve">Application preparation and document drafting</w:t>
      </w:r>
    </w:p>
    <w:p>
      <w:pPr>
        <w:pStyle w:val="Compact"/>
        <w:numPr>
          <w:ilvl w:val="0"/>
          <w:numId w:val="1002"/>
        </w:numPr>
      </w:pPr>
      <w:r>
        <w:t xml:space="preserve">AML/KYC policy development and compliance framework design</w:t>
      </w:r>
    </w:p>
    <w:p>
      <w:pPr>
        <w:pStyle w:val="Compact"/>
        <w:numPr>
          <w:ilvl w:val="0"/>
          <w:numId w:val="1002"/>
        </w:numPr>
      </w:pPr>
      <w:r>
        <w:t xml:space="preserve">Technical standards documentation for platform and games</w:t>
      </w:r>
    </w:p>
    <w:p>
      <w:pPr>
        <w:pStyle w:val="Compact"/>
        <w:numPr>
          <w:ilvl w:val="0"/>
          <w:numId w:val="1002"/>
        </w:numPr>
      </w:pPr>
      <w:r>
        <w:t xml:space="preserve">Post-licensing compliance management, audits, and renewal support</w:t>
      </w:r>
    </w:p>
    <w:p>
      <w:pPr>
        <w:pStyle w:val="FirstParagraph"/>
      </w:pPr>
      <w:r>
        <w:t xml:space="preserve">Here’s what providers don’t emphasize: the license is just the beginning. Ongoing compliance—annual audits, regulatory reporting, policy updates—typically costs 40-60% of the initial application annually. Many operators budget for acquisition but underestimate maintenance.</w:t>
      </w:r>
    </w:p>
    <w:p>
      <w:pPr>
        <w:pStyle w:val="BodyText"/>
      </w:pPr>
      <w:r>
        <w:t xml:space="preserve">Related:</w:t>
      </w:r>
      <w:r>
        <w:t xml:space="preserve"> </w:t>
      </w:r>
      <w:hyperlink r:id="rId11">
        <w:r>
          <w:rPr>
            <w:rStyle w:val="Hyperlink"/>
          </w:rPr>
          <w:t xml:space="preserve">Corporate Services</w:t>
        </w:r>
      </w:hyperlink>
      <w:r>
        <w:t xml:space="preserve"> </w:t>
      </w:r>
      <w:r>
        <w:t xml:space="preserve">|</w:t>
      </w:r>
      <w:r>
        <w:t xml:space="preserve"> </w:t>
      </w:r>
      <w:hyperlink r:id="rId12">
        <w:r>
          <w:rPr>
            <w:rStyle w:val="Hyperlink"/>
          </w:rPr>
          <w:t xml:space="preserve">Compliance &amp; Regulatory Services</w:t>
        </w:r>
      </w:hyperlink>
    </w:p>
    <w:p>
      <w:r>
        <w:pict>
          <v:rect style="width:0;height:1.5pt" o:hralign="center" o:hrstd="t" o:hr="t"/>
        </w:pict>
      </w:r>
    </w:p>
    <w:bookmarkEnd w:id="13"/>
    <w:bookmarkStart w:id="21" w:name="how-much-does-a-gambling-license-cost"/>
    <w:p>
      <w:pPr>
        <w:pStyle w:val="Heading2"/>
      </w:pPr>
      <w:r>
        <w:t xml:space="preserve">How much does a gambling license cost?</w:t>
      </w:r>
    </w:p>
    <w:p>
      <w:pPr>
        <w:pStyle w:val="FirstParagraph"/>
      </w:pPr>
      <w:r>
        <w:t xml:space="preserve">Gambling license costs range from €20,000 for Curacao to €300,000+ for Malta MGA, plus annual fees and compliance costs that typically run €50,000-€600,000+ per year depending on jurisdiction and revenue. But here’s what providers don’t highlight: total first-year cost including consultants, corporate setup, and compliance infrastructure realistically runs €100,000-€600,000.</w:t>
      </w:r>
    </w:p>
    <w:bookmarkStart w:id="14" w:name="cost-breakdown-by-jurisdiction-2026"/>
    <w:p>
      <w:pPr>
        <w:pStyle w:val="Heading4"/>
      </w:pPr>
      <w:r>
        <w:t xml:space="preserve">Cost breakdown by jurisdiction (2026)</w:t>
      </w:r>
    </w:p>
    <w:p>
      <w:pPr>
        <w:pStyle w:val="Compact"/>
        <w:numPr>
          <w:ilvl w:val="0"/>
          <w:numId w:val="1003"/>
        </w:numPr>
      </w:pPr>
      <w:r>
        <w:rPr>
          <w:b/>
          <w:bCs/>
        </w:rPr>
        <w:t xml:space="preserve">Curacao:</w:t>
      </w:r>
      <w:r>
        <w:t xml:space="preserve"> </w:t>
      </w:r>
      <w:r>
        <w:t xml:space="preserve">€20,000-€32,000 flat fee initial, €25,000-€50,000 annual fees (under new LOK framework), 2% corporate tax</w:t>
      </w:r>
    </w:p>
    <w:p>
      <w:pPr>
        <w:pStyle w:val="Compact"/>
        <w:numPr>
          <w:ilvl w:val="0"/>
          <w:numId w:val="1003"/>
        </w:numPr>
      </w:pPr>
      <w:r>
        <w:rPr>
          <w:b/>
          <w:bCs/>
        </w:rPr>
        <w:t xml:space="preserve">Malta MGA:</w:t>
      </w:r>
      <w:r>
        <w:t xml:space="preserve"> </w:t>
      </w:r>
      <w:r>
        <w:t xml:space="preserve">€25,000 application + €15,000-€375,000 annual license fee (based on revenue), 5% gaming tax, €40,000-€100,000 share capital required</w:t>
      </w:r>
    </w:p>
    <w:p>
      <w:pPr>
        <w:pStyle w:val="Compact"/>
        <w:numPr>
          <w:ilvl w:val="0"/>
          <w:numId w:val="1003"/>
        </w:numPr>
      </w:pPr>
      <w:r>
        <w:rPr>
          <w:b/>
          <w:bCs/>
        </w:rPr>
        <w:t xml:space="preserve">Gibraltar:</w:t>
      </w:r>
      <w:r>
        <w:t xml:space="preserve"> </w:t>
      </w:r>
      <w:r>
        <w:t xml:space="preserve">£85,000-£100,000 initial application, low annual corporate tax, 5-year license duration</w:t>
      </w:r>
    </w:p>
    <w:p>
      <w:pPr>
        <w:pStyle w:val="Compact"/>
        <w:numPr>
          <w:ilvl w:val="0"/>
          <w:numId w:val="1003"/>
        </w:numPr>
      </w:pPr>
      <w:r>
        <w:rPr>
          <w:b/>
          <w:bCs/>
        </w:rPr>
        <w:t xml:space="preserve">UK Gambling Commission:</w:t>
      </w:r>
      <w:r>
        <w:t xml:space="preserve"> </w:t>
      </w:r>
      <w:r>
        <w:t xml:space="preserve">£2,500-£10,000 application fee, ongoing fees based on gross gambling yield, strictest compliance requirements</w:t>
      </w:r>
    </w:p>
    <w:p>
      <w:pPr>
        <w:pStyle w:val="Compact"/>
        <w:numPr>
          <w:ilvl w:val="0"/>
          <w:numId w:val="1003"/>
        </w:numPr>
      </w:pPr>
      <w:r>
        <w:rPr>
          <w:b/>
          <w:bCs/>
        </w:rPr>
        <w:t xml:space="preserve">Isle of Man:</w:t>
      </w:r>
      <w:r>
        <w:t xml:space="preserve"> </w:t>
      </w:r>
      <w:r>
        <w:t xml:space="preserve">€35,000-€50,000 application, competitive tax rates, strong reputation</w:t>
      </w:r>
    </w:p>
    <w:bookmarkEnd w:id="14"/>
    <w:bookmarkStart w:id="15" w:name="hidden-costs-nobody-mentions-upfront"/>
    <w:p>
      <w:pPr>
        <w:pStyle w:val="Heading4"/>
      </w:pPr>
      <w:r>
        <w:t xml:space="preserve">Hidden costs nobody mentions upfront</w:t>
      </w:r>
    </w:p>
    <w:p>
      <w:pPr>
        <w:pStyle w:val="Compact"/>
        <w:numPr>
          <w:ilvl w:val="0"/>
          <w:numId w:val="1004"/>
        </w:numPr>
      </w:pPr>
      <w:r>
        <w:t xml:space="preserve">Compliance officer salary: €60,000-€150,000/year (mandatory in Tier-1 jurisdictions)</w:t>
      </w:r>
    </w:p>
    <w:p>
      <w:pPr>
        <w:pStyle w:val="Compact"/>
        <w:numPr>
          <w:ilvl w:val="0"/>
          <w:numId w:val="1004"/>
        </w:numPr>
      </w:pPr>
      <w:r>
        <w:t xml:space="preserve">Technical system certification: €10,000-€50,000</w:t>
      </w:r>
    </w:p>
    <w:p>
      <w:pPr>
        <w:pStyle w:val="Compact"/>
        <w:numPr>
          <w:ilvl w:val="0"/>
          <w:numId w:val="1004"/>
        </w:numPr>
      </w:pPr>
      <w:r>
        <w:t xml:space="preserve">Game fairness testing: €20,000-€80,000 per game portfolio</w:t>
      </w:r>
    </w:p>
    <w:p>
      <w:pPr>
        <w:pStyle w:val="Compact"/>
        <w:numPr>
          <w:ilvl w:val="0"/>
          <w:numId w:val="1004"/>
        </w:numPr>
      </w:pPr>
      <w:r>
        <w:t xml:space="preserve">Legal consultations: €15,000-€50,000</w:t>
      </w:r>
    </w:p>
    <w:p>
      <w:pPr>
        <w:pStyle w:val="Compact"/>
        <w:numPr>
          <w:ilvl w:val="0"/>
          <w:numId w:val="1004"/>
        </w:numPr>
      </w:pPr>
      <w:r>
        <w:t xml:space="preserve">Local presence requirements: €20,000-€100,000/year (office, local directors)</w:t>
      </w:r>
    </w:p>
    <w:bookmarkEnd w:id="15"/>
    <w:bookmarkStart w:id="17" w:name="the-math"/>
    <w:p>
      <w:pPr>
        <w:pStyle w:val="Heading4"/>
      </w:pPr>
      <w:r>
        <w:t xml:space="preserve">The math</w:t>
      </w:r>
    </w:p>
    <w:p>
      <w:pPr>
        <w:pStyle w:val="FirstParagraph"/>
      </w:pPr>
      <w:r>
        <w:t xml:space="preserve">Malta MGA realistically costs €220,000 in Year 1 and €120,000+ annually. A multi-jurisdiction strategy (Malta + Curacao) runs €240,000+ in Year 1 covering EU and global markets.</w:t>
      </w:r>
    </w:p>
    <w:p>
      <w:pPr>
        <w:pStyle w:val="BodyText"/>
      </w:pPr>
      <w:r>
        <w:rPr>
          <w:i/>
          <w:iCs/>
        </w:rPr>
        <w:t xml:space="preserve">Prices based on 2026 market data. Fees change; always verify current rates with regulators.</w:t>
      </w:r>
    </w:p>
    <w:p>
      <w:pPr>
        <w:pStyle w:val="BodyText"/>
      </w:pPr>
      <w:r>
        <w:t xml:space="preserve">Related:</w:t>
      </w:r>
      <w:r>
        <w:t xml:space="preserve"> </w:t>
      </w:r>
      <w:hyperlink r:id="rId11">
        <w:r>
          <w:rPr>
            <w:rStyle w:val="Hyperlink"/>
          </w:rPr>
          <w:t xml:space="preserve">Corporate Services</w:t>
        </w:r>
      </w:hyperlink>
      <w:r>
        <w:t xml:space="preserve"> </w:t>
      </w:r>
      <w:r>
        <w:t xml:space="preserve">|</w:t>
      </w:r>
      <w:r>
        <w:t xml:space="preserve"> </w:t>
      </w:r>
      <w:hyperlink r:id="rId16">
        <w:r>
          <w:rPr>
            <w:rStyle w:val="Hyperlink"/>
          </w:rPr>
          <w:t xml:space="preserve">Payment Processing</w:t>
        </w:r>
      </w:hyperlink>
    </w:p>
    <w:p>
      <w:r>
        <w:pict>
          <v:rect style="width:0;height:1.5pt" o:hralign="center" o:hrstd="t" o:hr="t"/>
        </w:pict>
      </w:r>
    </w:p>
    <w:bookmarkEnd w:id="17"/>
    <w:bookmarkStart w:id="20" w:name="Xfb8750bd8724df1351afdaa0a231e35d975d819"/>
    <w:p>
      <w:pPr>
        <w:pStyle w:val="Heading3"/>
      </w:pPr>
      <w:r>
        <w:t xml:space="preserve">What are the hidden costs of getting a gambling license?</w:t>
      </w:r>
    </w:p>
    <w:p>
      <w:pPr>
        <w:pStyle w:val="FirstParagraph"/>
      </w:pPr>
      <w:r>
        <w:t xml:space="preserve">The license fee is typically 30-40% of your real first-year cost. Budget for €100,000-€300,000 total for a Tier-1 license, not the €25,000 application fee in the marketing materials.</w:t>
      </w:r>
    </w:p>
    <w:bookmarkStart w:id="18" w:name="commonly-overlooked-costs"/>
    <w:p>
      <w:pPr>
        <w:pStyle w:val="Heading4"/>
      </w:pPr>
      <w:r>
        <w:t xml:space="preserve">Commonly overlooked costs</w:t>
      </w:r>
    </w:p>
    <w:p>
      <w:pPr>
        <w:pStyle w:val="Compact"/>
        <w:numPr>
          <w:ilvl w:val="0"/>
          <w:numId w:val="1005"/>
        </w:numPr>
      </w:pPr>
      <w:r>
        <w:rPr>
          <w:b/>
          <w:bCs/>
        </w:rPr>
        <w:t xml:space="preserve">Corporate formation:</w:t>
      </w:r>
      <w:r>
        <w:t xml:space="preserve"> </w:t>
      </w:r>
      <w:r>
        <w:t xml:space="preserve">€5,000-€25,000. Company setup, registered office, local directors in licensing jurisdiction</w:t>
      </w:r>
    </w:p>
    <w:p>
      <w:pPr>
        <w:pStyle w:val="Compact"/>
        <w:numPr>
          <w:ilvl w:val="0"/>
          <w:numId w:val="1005"/>
        </w:numPr>
      </w:pPr>
      <w:r>
        <w:rPr>
          <w:b/>
          <w:bCs/>
        </w:rPr>
        <w:t xml:space="preserve">Key personnel requirements:</w:t>
      </w:r>
      <w:r>
        <w:t xml:space="preserve"> </w:t>
      </w:r>
      <w:r>
        <w:t xml:space="preserve">€180,000+/year. Malta MGA requires eight</w:t>
      </w:r>
      <w:r>
        <w:t xml:space="preserve"> </w:t>
      </w:r>
      <w:r>
        <w:t xml:space="preserve">“key people”</w:t>
      </w:r>
      <w:r>
        <w:t xml:space="preserve"> </w:t>
      </w:r>
      <w:r>
        <w:t xml:space="preserve">with 3+ years industry experience, each earning €60,000+</w:t>
      </w:r>
    </w:p>
    <w:p>
      <w:pPr>
        <w:pStyle w:val="Compact"/>
        <w:numPr>
          <w:ilvl w:val="0"/>
          <w:numId w:val="1005"/>
        </w:numPr>
      </w:pPr>
      <w:r>
        <w:rPr>
          <w:b/>
          <w:bCs/>
        </w:rPr>
        <w:t xml:space="preserve">Share capital requirements:</w:t>
      </w:r>
      <w:r>
        <w:t xml:space="preserve"> </w:t>
      </w:r>
      <w:r>
        <w:t xml:space="preserve">€40,000-€100,000. Actual cash locked in the business (not a fee, but tied-up capital)</w:t>
      </w:r>
    </w:p>
    <w:p>
      <w:pPr>
        <w:pStyle w:val="Compact"/>
        <w:numPr>
          <w:ilvl w:val="0"/>
          <w:numId w:val="1005"/>
        </w:numPr>
      </w:pPr>
      <w:r>
        <w:rPr>
          <w:b/>
          <w:bCs/>
        </w:rPr>
        <w:t xml:space="preserve">Technical compliance testing:</w:t>
      </w:r>
      <w:r>
        <w:t xml:space="preserve"> </w:t>
      </w:r>
      <w:r>
        <w:t xml:space="preserve">€15,000-€100,000. Platform certification, RNG testing, penetration testing</w:t>
      </w:r>
    </w:p>
    <w:p>
      <w:pPr>
        <w:pStyle w:val="Compact"/>
        <w:numPr>
          <w:ilvl w:val="0"/>
          <w:numId w:val="1005"/>
        </w:numPr>
      </w:pPr>
      <w:r>
        <w:rPr>
          <w:b/>
          <w:bCs/>
        </w:rPr>
        <w:t xml:space="preserve">Background checks:</w:t>
      </w:r>
      <w:r>
        <w:t xml:space="preserve"> </w:t>
      </w:r>
      <w:r>
        <w:t xml:space="preserve">€5,000-€25,000. All shareholders, directors, and key personnel</w:t>
      </w:r>
    </w:p>
    <w:p>
      <w:pPr>
        <w:pStyle w:val="Compact"/>
        <w:numPr>
          <w:ilvl w:val="0"/>
          <w:numId w:val="1005"/>
        </w:numPr>
      </w:pPr>
      <w:r>
        <w:rPr>
          <w:b/>
          <w:bCs/>
        </w:rPr>
        <w:t xml:space="preserve">Financial audits:</w:t>
      </w:r>
      <w:r>
        <w:t xml:space="preserve"> </w:t>
      </w:r>
      <w:r>
        <w:t xml:space="preserve">€10,000-€50,000. Proving capitalization and financial stability</w:t>
      </w:r>
    </w:p>
    <w:p>
      <w:pPr>
        <w:pStyle w:val="Compact"/>
        <w:numPr>
          <w:ilvl w:val="0"/>
          <w:numId w:val="1005"/>
        </w:numPr>
      </w:pPr>
      <w:r>
        <w:rPr>
          <w:b/>
          <w:bCs/>
        </w:rPr>
        <w:t xml:space="preserve">Quarterly compliance audits:</w:t>
      </w:r>
      <w:r>
        <w:t xml:space="preserve"> </w:t>
      </w:r>
      <w:r>
        <w:t xml:space="preserve">€10,000-€30,000 every 3 months ongoing</w:t>
      </w:r>
    </w:p>
    <w:bookmarkEnd w:id="18"/>
    <w:bookmarkStart w:id="19" w:name="how-to-protect-yourself"/>
    <w:p>
      <w:pPr>
        <w:pStyle w:val="Heading4"/>
      </w:pPr>
      <w:r>
        <w:t xml:space="preserve">How to protect yourself</w:t>
      </w:r>
    </w:p>
    <w:p>
      <w:pPr>
        <w:pStyle w:val="Compact"/>
        <w:numPr>
          <w:ilvl w:val="0"/>
          <w:numId w:val="1006"/>
        </w:numPr>
      </w:pPr>
      <w:r>
        <w:t xml:space="preserve">Request a complete cost projection from consultants including all regulatory and corporate costs</w:t>
      </w:r>
    </w:p>
    <w:p>
      <w:pPr>
        <w:pStyle w:val="Compact"/>
        <w:numPr>
          <w:ilvl w:val="0"/>
          <w:numId w:val="1006"/>
        </w:numPr>
      </w:pPr>
      <w:r>
        <w:t xml:space="preserve">Calculate 3-year total cost of ownership, not just Year 1</w:t>
      </w:r>
    </w:p>
    <w:p>
      <w:pPr>
        <w:pStyle w:val="Compact"/>
        <w:numPr>
          <w:ilvl w:val="0"/>
          <w:numId w:val="1006"/>
        </w:numPr>
      </w:pPr>
      <w:r>
        <w:t xml:space="preserve">Factor in opportunity cost of capital tied up in share capital requirements</w:t>
      </w:r>
    </w:p>
    <w:p>
      <w:pPr>
        <w:pStyle w:val="Compact"/>
        <w:numPr>
          <w:ilvl w:val="0"/>
          <w:numId w:val="1006"/>
        </w:numPr>
      </w:pPr>
      <w:r>
        <w:t xml:space="preserve">Budget 50% contingency for timeline delays and additional regulatory requests</w:t>
      </w:r>
    </w:p>
    <w:p>
      <w:pPr>
        <w:pStyle w:val="FirstParagraph"/>
      </w:pPr>
      <w:r>
        <w:t xml:space="preserve">Related:</w:t>
      </w:r>
      <w:r>
        <w:t xml:space="preserve"> </w:t>
      </w:r>
      <w:hyperlink r:id="rId12">
        <w:r>
          <w:rPr>
            <w:rStyle w:val="Hyperlink"/>
          </w:rPr>
          <w:t xml:space="preserve">Compliance &amp; Regulatory Services</w:t>
        </w:r>
      </w:hyperlink>
    </w:p>
    <w:p>
      <w:r>
        <w:pict>
          <v:rect style="width:0;height:1.5pt" o:hralign="center" o:hrstd="t" o:hr="t"/>
        </w:pict>
      </w:r>
    </w:p>
    <w:bookmarkEnd w:id="19"/>
    <w:bookmarkEnd w:id="20"/>
    <w:bookmarkEnd w:id="21"/>
    <w:bookmarkStart w:id="29" w:name="X29fcad8229411bb5fafa6416f79c57ee83c60a6"/>
    <w:p>
      <w:pPr>
        <w:pStyle w:val="Heading2"/>
      </w:pPr>
      <w:r>
        <w:t xml:space="preserve">Which gambling license jurisdiction should I choose?</w:t>
      </w:r>
    </w:p>
    <w:p>
      <w:pPr>
        <w:pStyle w:val="FirstParagraph"/>
      </w:pPr>
      <w:r>
        <w:t xml:space="preserve">The right jurisdiction depends on your target markets, available capital, and business model—there’s no universally</w:t>
      </w:r>
      <w:r>
        <w:t xml:space="preserve"> </w:t>
      </w:r>
      <w:r>
        <w:t xml:space="preserve">“best”</w:t>
      </w:r>
      <w:r>
        <w:t xml:space="preserve"> </w:t>
      </w:r>
      <w:r>
        <w:t xml:space="preserve">license. Curacao offers speed and affordability but limited market access. Malta MGA provides European credibility but requires significant investment. Gibraltar suits established operators with capital.</w:t>
      </w:r>
    </w:p>
    <w:bookmarkStart w:id="22" w:name="jurisdiction-comparison"/>
    <w:p>
      <w:pPr>
        <w:pStyle w:val="Heading4"/>
      </w:pPr>
      <w:r>
        <w:t xml:space="preserve">Jurisdiction comparison</w:t>
      </w:r>
    </w:p>
    <w:p>
      <w:pPr>
        <w:pStyle w:val="FirstParagraph"/>
      </w:pPr>
      <w:r>
        <w:rPr>
          <w:b/>
          <w:bCs/>
        </w:rPr>
        <w:t xml:space="preserve">Curacao (Tier-2):</w:t>
      </w:r>
      <w:r>
        <w:t xml:space="preserve"> </w:t>
      </w:r>
      <w:r>
        <w:t xml:space="preserve">- Best for: Startups, crypto-focused operators, global reach outside regulated markets</w:t>
      </w:r>
      <w:r>
        <w:t xml:space="preserve"> </w:t>
      </w:r>
      <w:r>
        <w:t xml:space="preserve">- Cost: €20,000-€32,000 initial, €25,000-€50,000 annual</w:t>
      </w:r>
      <w:r>
        <w:t xml:space="preserve"> </w:t>
      </w:r>
      <w:r>
        <w:t xml:space="preserve">- Timeline: 6-8 weeks</w:t>
      </w:r>
      <w:r>
        <w:t xml:space="preserve"> </w:t>
      </w:r>
      <w:r>
        <w:t xml:space="preserve">- Limitations: No access to UK, Germany, Sweden, regulated US states, or players in many EU countries</w:t>
      </w:r>
    </w:p>
    <w:p>
      <w:pPr>
        <w:pStyle w:val="BodyText"/>
      </w:pPr>
      <w:r>
        <w:rPr>
          <w:b/>
          <w:bCs/>
        </w:rPr>
        <w:t xml:space="preserve">Malta MGA (Tier-1):</w:t>
      </w:r>
      <w:r>
        <w:t xml:space="preserve"> </w:t>
      </w:r>
      <w:r>
        <w:t xml:space="preserve">- Best for: European market focus, credibility-building, long-term strategy</w:t>
      </w:r>
      <w:r>
        <w:t xml:space="preserve"> </w:t>
      </w:r>
      <w:r>
        <w:t xml:space="preserve">- Cost: €220,000+ Year 1, €120,000+ annual</w:t>
      </w:r>
      <w:r>
        <w:t xml:space="preserve"> </w:t>
      </w:r>
      <w:r>
        <w:t xml:space="preserve">- Timeline: 3-6 months</w:t>
      </w:r>
      <w:r>
        <w:t xml:space="preserve"> </w:t>
      </w:r>
      <w:r>
        <w:t xml:space="preserve">- Limitations: Requires experienced team, significant capital, Malta presence</w:t>
      </w:r>
    </w:p>
    <w:p>
      <w:pPr>
        <w:pStyle w:val="BodyText"/>
      </w:pPr>
      <w:r>
        <w:rPr>
          <w:b/>
          <w:bCs/>
        </w:rPr>
        <w:t xml:space="preserve">Gibraltar (Tier-1):</w:t>
      </w:r>
      <w:r>
        <w:t xml:space="preserve"> </w:t>
      </w:r>
      <w:r>
        <w:t xml:space="preserve">- Best for: Established operators, tax optimization, B2B providers</w:t>
      </w:r>
      <w:r>
        <w:t xml:space="preserve"> </w:t>
      </w:r>
      <w:r>
        <w:t xml:space="preserve">- Cost: £85,000-£100,000 initial, competitive annual fees</w:t>
      </w:r>
      <w:r>
        <w:t xml:space="preserve"> </w:t>
      </w:r>
      <w:r>
        <w:t xml:space="preserve">- Timeline: 3-6 months</w:t>
      </w:r>
      <w:r>
        <w:t xml:space="preserve"> </w:t>
      </w:r>
      <w:r>
        <w:t xml:space="preserve">- Limitations: Selective about who they license, Brexit has affected EU passporting</w:t>
      </w:r>
    </w:p>
    <w:p>
      <w:pPr>
        <w:pStyle w:val="BodyText"/>
      </w:pPr>
      <w:r>
        <w:rPr>
          <w:b/>
          <w:bCs/>
        </w:rPr>
        <w:t xml:space="preserve">UK Gambling Commission (Tier-1):</w:t>
      </w:r>
      <w:r>
        <w:t xml:space="preserve"> </w:t>
      </w:r>
      <w:r>
        <w:t xml:space="preserve">- Best for: UK market exclusively, maximum player trust</w:t>
      </w:r>
      <w:r>
        <w:t xml:space="preserve"> </w:t>
      </w:r>
      <w:r>
        <w:t xml:space="preserve">- Cost: £2,500-£10,000 application, ongoing fees based on yield</w:t>
      </w:r>
      <w:r>
        <w:t xml:space="preserve"> </w:t>
      </w:r>
      <w:r>
        <w:t xml:space="preserve">- Timeline: 3-6 months</w:t>
      </w:r>
      <w:r>
        <w:t xml:space="preserve"> </w:t>
      </w:r>
      <w:r>
        <w:t xml:space="preserve">- Limitations: Strictest compliance, no EU access, high operational costs</w:t>
      </w:r>
    </w:p>
    <w:bookmarkEnd w:id="22"/>
    <w:bookmarkStart w:id="25" w:name="the-inflection-point"/>
    <w:p>
      <w:pPr>
        <w:pStyle w:val="Heading4"/>
      </w:pPr>
      <w:r>
        <w:t xml:space="preserve">The inflection point</w:t>
      </w:r>
    </w:p>
    <w:p>
      <w:pPr>
        <w:pStyle w:val="FirstParagraph"/>
      </w:pPr>
      <w:r>
        <w:t xml:space="preserve">Startups often begin with Curacao for speed and affordability, then add Malta MGA at €100,000+ monthly NGR to access regulated European markets. This multi-jurisdiction strategy costs €240,000+ Year 1 but maximizes market access.</w:t>
      </w:r>
    </w:p>
    <w:p>
      <w:pPr>
        <w:pStyle w:val="BodyText"/>
      </w:pPr>
      <w:r>
        <w:t xml:space="preserve">Related:</w:t>
      </w:r>
      <w:r>
        <w:t xml:space="preserve"> </w:t>
      </w:r>
      <w:hyperlink r:id="rId23">
        <w:r>
          <w:rPr>
            <w:rStyle w:val="Hyperlink"/>
          </w:rPr>
          <w:t xml:space="preserve">White Label Solutions</w:t>
        </w:r>
      </w:hyperlink>
      <w:r>
        <w:t xml:space="preserve"> </w:t>
      </w:r>
      <w:r>
        <w:t xml:space="preserve">|</w:t>
      </w:r>
      <w:r>
        <w:t xml:space="preserve"> </w:t>
      </w:r>
      <w:hyperlink r:id="rId24">
        <w:r>
          <w:rPr>
            <w:rStyle w:val="Hyperlink"/>
          </w:rPr>
          <w:t xml:space="preserve">Turnkey Platforms</w:t>
        </w:r>
      </w:hyperlink>
    </w:p>
    <w:p>
      <w:r>
        <w:pict>
          <v:rect style="width:0;height:1.5pt" o:hralign="center" o:hrstd="t" o:hr="t"/>
        </w:pict>
      </w:r>
    </w:p>
    <w:bookmarkEnd w:id="25"/>
    <w:bookmarkStart w:id="28" w:name="Xfe89d06664f07de4927e8624da13b656972ca9f"/>
    <w:p>
      <w:pPr>
        <w:pStyle w:val="Heading3"/>
      </w:pPr>
      <w:r>
        <w:t xml:space="preserve">When should I upgrade from Curacao to a Tier-1 license?</w:t>
      </w:r>
    </w:p>
    <w:p>
      <w:pPr>
        <w:pStyle w:val="FirstParagraph"/>
      </w:pPr>
      <w:r>
        <w:t xml:space="preserve">Consider adding a Tier-1 license (Malta MGA, Gibraltar) when you’re consistently generating €80,000-€100,000 monthly NGR, need access to regulated European markets, or want to establish credibility for B2B partnerships. Most successful operators make this transition at 12-24 months.</w:t>
      </w:r>
    </w:p>
    <w:bookmarkStart w:id="26" w:name="clear-signals-its-time"/>
    <w:p>
      <w:pPr>
        <w:pStyle w:val="Heading4"/>
      </w:pPr>
      <w:r>
        <w:t xml:space="preserve">Clear signals it’s time</w:t>
      </w:r>
    </w:p>
    <w:p>
      <w:pPr>
        <w:pStyle w:val="Compact"/>
        <w:numPr>
          <w:ilvl w:val="0"/>
          <w:numId w:val="1007"/>
        </w:numPr>
      </w:pPr>
      <w:r>
        <w:rPr>
          <w:b/>
          <w:bCs/>
        </w:rPr>
        <w:t xml:space="preserve">Market access:</w:t>
      </w:r>
      <w:r>
        <w:t xml:space="preserve"> </w:t>
      </w:r>
      <w:r>
        <w:t xml:space="preserve">Your target players are in regulated jurisdictions (UK, Germany, Sweden) where Curacao isn’t valid</w:t>
      </w:r>
    </w:p>
    <w:p>
      <w:pPr>
        <w:pStyle w:val="Compact"/>
        <w:numPr>
          <w:ilvl w:val="0"/>
          <w:numId w:val="1007"/>
        </w:numPr>
      </w:pPr>
      <w:r>
        <w:rPr>
          <w:b/>
          <w:bCs/>
        </w:rPr>
        <w:t xml:space="preserve">Financial capacity:</w:t>
      </w:r>
      <w:r>
        <w:t xml:space="preserve"> </w:t>
      </w:r>
      <w:r>
        <w:t xml:space="preserve">You can absorb €150,000-€250,000 in licensing costs without endangering operations</w:t>
      </w:r>
    </w:p>
    <w:p>
      <w:pPr>
        <w:pStyle w:val="Compact"/>
        <w:numPr>
          <w:ilvl w:val="0"/>
          <w:numId w:val="1007"/>
        </w:numPr>
      </w:pPr>
      <w:r>
        <w:rPr>
          <w:b/>
          <w:bCs/>
        </w:rPr>
        <w:t xml:space="preserve">Strategic positioning:</w:t>
      </w:r>
      <w:r>
        <w:t xml:space="preserve"> </w:t>
      </w:r>
      <w:r>
        <w:t xml:space="preserve">Building for acquisition (buyers prefer Tier-1 licenses) or seeking premium payment provider relationships</w:t>
      </w:r>
    </w:p>
    <w:p>
      <w:pPr>
        <w:pStyle w:val="Compact"/>
        <w:numPr>
          <w:ilvl w:val="0"/>
          <w:numId w:val="1007"/>
        </w:numPr>
      </w:pPr>
      <w:r>
        <w:rPr>
          <w:b/>
          <w:bCs/>
        </w:rPr>
        <w:t xml:space="preserve">Partnership requirements:</w:t>
      </w:r>
      <w:r>
        <w:t xml:space="preserve"> </w:t>
      </w:r>
      <w:r>
        <w:t xml:space="preserve">B2B partners or game providers require Tier-1 licensing for integration</w:t>
      </w:r>
    </w:p>
    <w:bookmarkEnd w:id="26"/>
    <w:bookmarkStart w:id="27" w:name="dont-upgrade-too-early"/>
    <w:p>
      <w:pPr>
        <w:pStyle w:val="Heading4"/>
      </w:pPr>
      <w:r>
        <w:t xml:space="preserve">Don’t upgrade too early</w:t>
      </w:r>
    </w:p>
    <w:p>
      <w:pPr>
        <w:pStyle w:val="FirstParagraph"/>
      </w:pPr>
      <w:r>
        <w:t xml:space="preserve">The compliance overhead of Malta MGA (mandatory local staff, quarterly audits, extensive reporting) is substantial. Below €80,000 monthly NGR, the administrative burden often outweighs the market access benefits. Curacao’s simplicity supports faster iteration while you’re still finding product-market fit.</w:t>
      </w:r>
    </w:p>
    <w:p>
      <w:pPr>
        <w:pStyle w:val="BodyText"/>
      </w:pPr>
      <w:r>
        <w:t xml:space="preserve">Related:</w:t>
      </w:r>
      <w:r>
        <w:t xml:space="preserve"> </w:t>
      </w:r>
      <w:hyperlink r:id="rId11">
        <w:r>
          <w:rPr>
            <w:rStyle w:val="Hyperlink"/>
          </w:rPr>
          <w:t xml:space="preserve">Corporate Services</w:t>
        </w:r>
      </w:hyperlink>
    </w:p>
    <w:p>
      <w:r>
        <w:pict>
          <v:rect style="width:0;height:1.5pt" o:hralign="center" o:hrstd="t" o:hr="t"/>
        </w:pict>
      </w:r>
    </w:p>
    <w:bookmarkEnd w:id="27"/>
    <w:bookmarkEnd w:id="28"/>
    <w:bookmarkEnd w:id="29"/>
    <w:bookmarkStart w:id="34" w:name="X4d091c6f3831848265dadefa6147aef663eadc1"/>
    <w:p>
      <w:pPr>
        <w:pStyle w:val="Heading2"/>
      </w:pPr>
      <w:r>
        <w:t xml:space="preserve">How long does it take to get a gambling license?</w:t>
      </w:r>
    </w:p>
    <w:p>
      <w:pPr>
        <w:pStyle w:val="FirstParagraph"/>
      </w:pPr>
      <w:r>
        <w:t xml:space="preserve">License processing times range from 6 weeks (Curacao) to 6+ months (Malta MGA, UK), but plan for 50-100% longer than quoted timelines. The application submission is fast; regulatory review, deficiency responses, and background checks take longer than expected.</w:t>
      </w:r>
    </w:p>
    <w:bookmarkStart w:id="30" w:name="realistic-timeline-by-jurisdiction"/>
    <w:p>
      <w:pPr>
        <w:pStyle w:val="Heading4"/>
      </w:pPr>
      <w:r>
        <w:t xml:space="preserve">Realistic timeline by jurisdiction</w:t>
      </w:r>
    </w:p>
    <w:p>
      <w:pPr>
        <w:pStyle w:val="Compact"/>
        <w:numPr>
          <w:ilvl w:val="0"/>
          <w:numId w:val="1008"/>
        </w:numPr>
      </w:pPr>
      <w:r>
        <w:rPr>
          <w:b/>
          <w:bCs/>
        </w:rPr>
        <w:t xml:space="preserve">Curacao:</w:t>
      </w:r>
      <w:r>
        <w:t xml:space="preserve"> </w:t>
      </w:r>
      <w:r>
        <w:t xml:space="preserve">Quoted 6-8 weeks, reality 8-12 weeks due to new LOK framework requirements</w:t>
      </w:r>
    </w:p>
    <w:p>
      <w:pPr>
        <w:pStyle w:val="Compact"/>
        <w:numPr>
          <w:ilvl w:val="0"/>
          <w:numId w:val="1008"/>
        </w:numPr>
      </w:pPr>
      <w:r>
        <w:rPr>
          <w:b/>
          <w:bCs/>
        </w:rPr>
        <w:t xml:space="preserve">Malta MGA:</w:t>
      </w:r>
      <w:r>
        <w:t xml:space="preserve"> </w:t>
      </w:r>
      <w:r>
        <w:t xml:space="preserve">Quoted 3-6 months, reality 4-8 months due to thorough key personnel vetting</w:t>
      </w:r>
    </w:p>
    <w:p>
      <w:pPr>
        <w:pStyle w:val="Compact"/>
        <w:numPr>
          <w:ilvl w:val="0"/>
          <w:numId w:val="1008"/>
        </w:numPr>
      </w:pPr>
      <w:r>
        <w:rPr>
          <w:b/>
          <w:bCs/>
        </w:rPr>
        <w:t xml:space="preserve">Gibraltar:</w:t>
      </w:r>
      <w:r>
        <w:t xml:space="preserve"> </w:t>
      </w:r>
      <w:r>
        <w:t xml:space="preserve">Quoted 3-6 months, reality 4-7 months due to selective approval process</w:t>
      </w:r>
    </w:p>
    <w:p>
      <w:pPr>
        <w:pStyle w:val="Compact"/>
        <w:numPr>
          <w:ilvl w:val="0"/>
          <w:numId w:val="1008"/>
        </w:numPr>
      </w:pPr>
      <w:r>
        <w:rPr>
          <w:b/>
          <w:bCs/>
        </w:rPr>
        <w:t xml:space="preserve">UK Gambling Commission:</w:t>
      </w:r>
      <w:r>
        <w:t xml:space="preserve"> </w:t>
      </w:r>
      <w:r>
        <w:t xml:space="preserve">Quoted 16 weeks, reality 4-8 months for full remote gambling license</w:t>
      </w:r>
    </w:p>
    <w:p>
      <w:pPr>
        <w:pStyle w:val="Compact"/>
        <w:numPr>
          <w:ilvl w:val="0"/>
          <w:numId w:val="1008"/>
        </w:numPr>
      </w:pPr>
      <w:r>
        <w:rPr>
          <w:b/>
          <w:bCs/>
        </w:rPr>
        <w:t xml:space="preserve">US States (Pennsylvania, New Jersey):</w:t>
      </w:r>
      <w:r>
        <w:t xml:space="preserve"> </w:t>
      </w:r>
      <w:r>
        <w:t xml:space="preserve">9-18 months average depending on license type</w:t>
      </w:r>
    </w:p>
    <w:bookmarkEnd w:id="30"/>
    <w:bookmarkStart w:id="31" w:name="what-actually-causes-delays"/>
    <w:p>
      <w:pPr>
        <w:pStyle w:val="Heading4"/>
      </w:pPr>
      <w:r>
        <w:t xml:space="preserve">What actually causes delays</w:t>
      </w:r>
    </w:p>
    <w:p>
      <w:pPr>
        <w:pStyle w:val="Compact"/>
        <w:numPr>
          <w:ilvl w:val="0"/>
          <w:numId w:val="1009"/>
        </w:numPr>
      </w:pPr>
      <w:r>
        <w:rPr>
          <w:b/>
          <w:bCs/>
        </w:rPr>
        <w:t xml:space="preserve">Background check complexity:</w:t>
      </w:r>
      <w:r>
        <w:t xml:space="preserve"> </w:t>
      </w:r>
      <w:r>
        <w:t xml:space="preserve">State police investigate all key personnel: employment verification 10+ years back, credit history, interviews with associates. International applicants add 60-90 days.</w:t>
      </w:r>
    </w:p>
    <w:p>
      <w:pPr>
        <w:pStyle w:val="Compact"/>
        <w:numPr>
          <w:ilvl w:val="0"/>
          <w:numId w:val="1009"/>
        </w:numPr>
      </w:pPr>
      <w:r>
        <w:rPr>
          <w:b/>
          <w:bCs/>
        </w:rPr>
        <w:t xml:space="preserve">Document deficiencies:</w:t>
      </w:r>
      <w:r>
        <w:t xml:space="preserve"> </w:t>
      </w:r>
      <w:r>
        <w:t xml:space="preserve">Missing fingerprint cards, outdated financial statements, incomplete tax clearances stop the clock. Responding within 10 business days keeps timelines moving.</w:t>
      </w:r>
    </w:p>
    <w:p>
      <w:pPr>
        <w:pStyle w:val="Compact"/>
        <w:numPr>
          <w:ilvl w:val="0"/>
          <w:numId w:val="1009"/>
        </w:numPr>
      </w:pPr>
      <w:r>
        <w:rPr>
          <w:b/>
          <w:bCs/>
        </w:rPr>
        <w:t xml:space="preserve">Technical compliance gaps:</w:t>
      </w:r>
      <w:r>
        <w:t xml:space="preserve"> </w:t>
      </w:r>
      <w:r>
        <w:t xml:space="preserve">Platform certification failures require remediation and retesting</w:t>
      </w:r>
    </w:p>
    <w:p>
      <w:pPr>
        <w:pStyle w:val="Compact"/>
        <w:numPr>
          <w:ilvl w:val="0"/>
          <w:numId w:val="1009"/>
        </w:numPr>
      </w:pPr>
      <w:r>
        <w:rPr>
          <w:b/>
          <w:bCs/>
        </w:rPr>
        <w:t xml:space="preserve">Key personnel recruitment:</w:t>
      </w:r>
      <w:r>
        <w:t xml:space="preserve"> </w:t>
      </w:r>
      <w:r>
        <w:t xml:space="preserve">Malta requires experienced staff in specific roles before approval</w:t>
      </w:r>
    </w:p>
    <w:bookmarkEnd w:id="31"/>
    <w:bookmarkStart w:id="33" w:name="speed-tips"/>
    <w:p>
      <w:pPr>
        <w:pStyle w:val="Heading4"/>
      </w:pPr>
      <w:r>
        <w:t xml:space="preserve">Speed tips</w:t>
      </w:r>
    </w:p>
    <w:p>
      <w:pPr>
        <w:pStyle w:val="Compact"/>
        <w:numPr>
          <w:ilvl w:val="0"/>
          <w:numId w:val="1010"/>
        </w:numPr>
      </w:pPr>
      <w:r>
        <w:t xml:space="preserve">Prepare all documentation before application submission</w:t>
      </w:r>
    </w:p>
    <w:p>
      <w:pPr>
        <w:pStyle w:val="Compact"/>
        <w:numPr>
          <w:ilvl w:val="0"/>
          <w:numId w:val="1010"/>
        </w:numPr>
      </w:pPr>
      <w:r>
        <w:t xml:space="preserve">Hire experienced licensing consultants who know regulator expectations</w:t>
      </w:r>
    </w:p>
    <w:p>
      <w:pPr>
        <w:pStyle w:val="Compact"/>
        <w:numPr>
          <w:ilvl w:val="0"/>
          <w:numId w:val="1010"/>
        </w:numPr>
      </w:pPr>
      <w:r>
        <w:t xml:space="preserve">Begin background checks on key personnel immediately</w:t>
      </w:r>
    </w:p>
    <w:p>
      <w:pPr>
        <w:pStyle w:val="Compact"/>
        <w:numPr>
          <w:ilvl w:val="0"/>
          <w:numId w:val="1010"/>
        </w:numPr>
      </w:pPr>
      <w:r>
        <w:t xml:space="preserve">Have corporate structure and local presence ready before applying</w:t>
      </w:r>
    </w:p>
    <w:p>
      <w:pPr>
        <w:pStyle w:val="FirstParagraph"/>
      </w:pPr>
      <w:r>
        <w:t xml:space="preserve">Related:</w:t>
      </w:r>
      <w:r>
        <w:t xml:space="preserve"> </w:t>
      </w:r>
      <w:hyperlink r:id="rId32">
        <w:r>
          <w:rPr>
            <w:rStyle w:val="Hyperlink"/>
          </w:rPr>
          <w:t xml:space="preserve">Game Testing &amp; Certification</w:t>
        </w:r>
      </w:hyperlink>
    </w:p>
    <w:p>
      <w:r>
        <w:pict>
          <v:rect style="width:0;height:1.5pt" o:hralign="center" o:hrstd="t" o:hr="t"/>
        </w:pict>
      </w:r>
    </w:p>
    <w:bookmarkEnd w:id="33"/>
    <w:bookmarkEnd w:id="34"/>
    <w:bookmarkStart w:id="45" w:name="Xb5098702a5bf38332aa22f60f156dfe2bdcb503"/>
    <w:p>
      <w:pPr>
        <w:pStyle w:val="Heading2"/>
      </w:pPr>
      <w:r>
        <w:t xml:space="preserve">What are the risks and challenges of gambling licensing?</w:t>
      </w:r>
    </w:p>
    <w:p>
      <w:pPr>
        <w:pStyle w:val="FirstParagraph"/>
      </w:pPr>
      <w:r>
        <w:t xml:space="preserve">Gambling licensing risks extend far beyond the application process. Regulatory compliance, enforcement actions, and evolving requirements create ongoing operational challenges that can threaten your license and business viability.</w:t>
      </w:r>
    </w:p>
    <w:bookmarkStart w:id="37" w:name="genuine-challenges"/>
    <w:p>
      <w:pPr>
        <w:pStyle w:val="Heading4"/>
      </w:pPr>
      <w:r>
        <w:t xml:space="preserve">Genuine challenges</w:t>
      </w:r>
    </w:p>
    <w:p>
      <w:pPr>
        <w:pStyle w:val="FirstParagraph"/>
      </w:pPr>
      <w:r>
        <w:rPr>
          <w:b/>
          <w:bCs/>
        </w:rPr>
        <w:t xml:space="preserve">1. Compliance enforcement is intensifying</w:t>
      </w:r>
      <w:r>
        <w:t xml:space="preserve"> </w:t>
      </w:r>
      <w:r>
        <w:t xml:space="preserve">In 2025, KYC and AML enforcement has become aggressive globally. Non-compliance leads to suspension, fines, and blacklisting. Britain’s regulator ordered crypto-focused Stake to exit the UK market in March 2025 following advertising and compliance breaches, underscoring that even major operators face existential regulatory risk.</w:t>
      </w:r>
    </w:p>
    <w:p>
      <w:pPr>
        <w:pStyle w:val="BodyText"/>
      </w:pPr>
      <w:r>
        <w:rPr>
          <w:b/>
          <w:bCs/>
        </w:rPr>
        <w:t xml:space="preserve">2. Tax volatility affects margins unpredictably</w:t>
      </w:r>
      <w:r>
        <w:t xml:space="preserve"> </w:t>
      </w:r>
      <w:r>
        <w:t xml:space="preserve">Sudden tax increases are destabilizing licensed operators. Illinois, Louisiana, Maryland, and New Jersey all increased gambling taxes in the first half of 2025. Africa’s biggest compliance challenge has been tax volatility. Sudden withholding tax increases and turnover-based taxation push players to unregulated platforms.</w:t>
      </w:r>
    </w:p>
    <w:p>
      <w:pPr>
        <w:pStyle w:val="BodyText"/>
      </w:pPr>
      <w:r>
        <w:rPr>
          <w:b/>
          <w:bCs/>
        </w:rPr>
        <w:t xml:space="preserve">3. Multi-jurisdictional complexity compounds costs</w:t>
      </w:r>
      <w:r>
        <w:t xml:space="preserve"> </w:t>
      </w:r>
      <w:r>
        <w:t xml:space="preserve">Each new market requires separate compliance frameworks, local staff, and ongoing reporting. The regulatory landscape doesn’t operate under unified rules. Each jurisdiction has unique requirements that multiply administrative overhead.</w:t>
      </w:r>
    </w:p>
    <w:p>
      <w:pPr>
        <w:pStyle w:val="BodyText"/>
      </w:pPr>
      <w:r>
        <w:rPr>
          <w:b/>
          <w:bCs/>
        </w:rPr>
        <w:t xml:space="preserve">4. White-label licensing carries provider risk</w:t>
      </w:r>
      <w:r>
        <w:t xml:space="preserve"> </w:t>
      </w:r>
      <w:r>
        <w:t xml:space="preserve">The Stake UK exit demonstrated that white-label arrangements expose you to your provider’s compliance failures. When the master license holder faces enforcement, all sub-licensees are affected.</w:t>
      </w:r>
    </w:p>
    <w:p>
      <w:pPr>
        <w:pStyle w:val="BodyText"/>
      </w:pPr>
      <w:r>
        <w:rPr>
          <w:b/>
          <w:bCs/>
        </w:rPr>
        <w:t xml:space="preserve">5. Civil claims and class actions are growing</w:t>
      </w:r>
      <w:r>
        <w:t xml:space="preserve"> </w:t>
      </w:r>
      <w:r>
        <w:t xml:space="preserve">In Austria and Germany, civil claims follow findings that operators lacked proper licensing. The UK faces growing class action risk from regulatory scrutiny, privacy claims, and shareholder actions.</w:t>
      </w:r>
    </w:p>
    <w:p>
      <w:pPr>
        <w:pStyle w:val="BodyText"/>
      </w:pPr>
      <w:r>
        <w:t xml:space="preserve">Despite these challenges, licensing remains essential. Unlicensed operation carries far greater risk. The illegal gambling market worth $1.7 trillion globally faces constant enforcement pressure.</w:t>
      </w:r>
    </w:p>
    <w:p>
      <w:pPr>
        <w:pStyle w:val="BodyText"/>
      </w:pPr>
      <w:r>
        <w:t xml:space="preserve">Related:</w:t>
      </w:r>
      <w:r>
        <w:t xml:space="preserve"> </w:t>
      </w:r>
      <w:hyperlink r:id="rId35">
        <w:r>
          <w:rPr>
            <w:rStyle w:val="Hyperlink"/>
          </w:rPr>
          <w:t xml:space="preserve">AML Solutions</w:t>
        </w:r>
      </w:hyperlink>
      <w:r>
        <w:t xml:space="preserve"> </w:t>
      </w:r>
      <w:r>
        <w:t xml:space="preserve">|</w:t>
      </w:r>
      <w:r>
        <w:t xml:space="preserve"> </w:t>
      </w:r>
      <w:hyperlink r:id="rId36">
        <w:r>
          <w:rPr>
            <w:rStyle w:val="Hyperlink"/>
          </w:rPr>
          <w:t xml:space="preserve">Responsible Gaming</w:t>
        </w:r>
      </w:hyperlink>
    </w:p>
    <w:p>
      <w:r>
        <w:pict>
          <v:rect style="width:0;height:1.5pt" o:hralign="center" o:hrstd="t" o:hr="t"/>
        </w:pict>
      </w:r>
    </w:p>
    <w:bookmarkEnd w:id="37"/>
    <w:bookmarkStart w:id="40" w:name="Xbf341245c40fa3677977a996e028c6e9cbba4e3"/>
    <w:p>
      <w:pPr>
        <w:pStyle w:val="Heading3"/>
      </w:pPr>
      <w:r>
        <w:t xml:space="preserve">What are red flags when choosing a licensing consultant?</w:t>
      </w:r>
    </w:p>
    <w:p>
      <w:pPr>
        <w:pStyle w:val="FirstParagraph"/>
      </w:pPr>
      <w:r>
        <w:t xml:space="preserve">The biggest warning signs are unrealistic timeline promises, unclear pricing structures, and claims of</w:t>
      </w:r>
      <w:r>
        <w:t xml:space="preserve"> </w:t>
      </w:r>
      <w:r>
        <w:t xml:space="preserve">“guaranteed”</w:t>
      </w:r>
      <w:r>
        <w:t xml:space="preserve"> </w:t>
      </w:r>
      <w:r>
        <w:t xml:space="preserve">approval. These typically indicate inexperience or willingness to cut corners that will create problems later.</w:t>
      </w:r>
    </w:p>
    <w:bookmarkStart w:id="38" w:name="red-flags-to-watch-for"/>
    <w:p>
      <w:pPr>
        <w:pStyle w:val="Heading4"/>
      </w:pPr>
      <w:r>
        <w:t xml:space="preserve">Red flags to watch for</w:t>
      </w:r>
    </w:p>
    <w:p>
      <w:pPr>
        <w:pStyle w:val="Compact"/>
        <w:numPr>
          <w:ilvl w:val="0"/>
          <w:numId w:val="1011"/>
        </w:numPr>
      </w:pPr>
      <w:r>
        <w:rPr>
          <w:b/>
          <w:bCs/>
        </w:rPr>
        <w:t xml:space="preserve">Guarantees of approval:</w:t>
      </w:r>
      <w:r>
        <w:t xml:space="preserve"> </w:t>
      </w:r>
      <w:r>
        <w:t xml:space="preserve">No consultant can guarantee regulatory approval. Regulators make independent decisions. Anyone promising otherwise is misrepresenting their influence.</w:t>
      </w:r>
    </w:p>
    <w:p>
      <w:pPr>
        <w:pStyle w:val="Compact"/>
        <w:numPr>
          <w:ilvl w:val="0"/>
          <w:numId w:val="1011"/>
        </w:numPr>
      </w:pPr>
      <w:r>
        <w:rPr>
          <w:b/>
          <w:bCs/>
        </w:rPr>
        <w:t xml:space="preserve">Significantly cheaper than market rates:</w:t>
      </w:r>
      <w:r>
        <w:t xml:space="preserve"> </w:t>
      </w:r>
      <w:r>
        <w:t xml:space="preserve">Licensing consulting has established price ranges. 50% below market typically means corners cut on documentation quality or post-submission support.</w:t>
      </w:r>
    </w:p>
    <w:p>
      <w:pPr>
        <w:pStyle w:val="Compact"/>
        <w:numPr>
          <w:ilvl w:val="0"/>
          <w:numId w:val="1011"/>
        </w:numPr>
      </w:pPr>
      <w:r>
        <w:rPr>
          <w:b/>
          <w:bCs/>
        </w:rPr>
        <w:t xml:space="preserve">No verifiable track record:</w:t>
      </w:r>
      <w:r>
        <w:t xml:space="preserve"> </w:t>
      </w:r>
      <w:r>
        <w:t xml:space="preserve">Request specific examples of licenses obtained, including jurisdiction and timeline.</w:t>
      </w:r>
      <w:r>
        <w:t xml:space="preserve"> </w:t>
      </w:r>
      <w:r>
        <w:t xml:space="preserve">“Confidentiality”</w:t>
      </w:r>
      <w:r>
        <w:t xml:space="preserve"> </w:t>
      </w:r>
      <w:r>
        <w:t xml:space="preserve">for every past client is an excuse.</w:t>
      </w:r>
    </w:p>
    <w:p>
      <w:pPr>
        <w:pStyle w:val="Compact"/>
        <w:numPr>
          <w:ilvl w:val="0"/>
          <w:numId w:val="1011"/>
        </w:numPr>
      </w:pPr>
      <w:r>
        <w:rPr>
          <w:b/>
          <w:bCs/>
        </w:rPr>
        <w:t xml:space="preserve">Pressure to use their corporate services exclusively:</w:t>
      </w:r>
      <w:r>
        <w:t xml:space="preserve"> </w:t>
      </w:r>
      <w:r>
        <w:t xml:space="preserve">Legitimate consultants recommend partners but don’t force bundled services at inflated rates.</w:t>
      </w:r>
    </w:p>
    <w:p>
      <w:pPr>
        <w:pStyle w:val="Compact"/>
        <w:numPr>
          <w:ilvl w:val="0"/>
          <w:numId w:val="1011"/>
        </w:numPr>
      </w:pPr>
      <w:r>
        <w:rPr>
          <w:b/>
          <w:bCs/>
        </w:rPr>
        <w:t xml:space="preserve">Vague about ongoing compliance support:</w:t>
      </w:r>
      <w:r>
        <w:t xml:space="preserve"> </w:t>
      </w:r>
      <w:r>
        <w:t xml:space="preserve">Licensing is the beginning. Ask specifically about post-approval support, audit preparation, and renewal processes.</w:t>
      </w:r>
    </w:p>
    <w:p>
      <w:pPr>
        <w:pStyle w:val="Compact"/>
        <w:numPr>
          <w:ilvl w:val="0"/>
          <w:numId w:val="1011"/>
        </w:numPr>
      </w:pPr>
      <w:r>
        <w:rPr>
          <w:b/>
          <w:bCs/>
        </w:rPr>
        <w:t xml:space="preserve">No direct regulator relationships:</w:t>
      </w:r>
      <w:r>
        <w:t xml:space="preserve"> </w:t>
      </w:r>
      <w:r>
        <w:t xml:space="preserve">Experienced consultants have established relationships with regulatory staff and understand current processing priorities.</w:t>
      </w:r>
    </w:p>
    <w:bookmarkEnd w:id="38"/>
    <w:bookmarkStart w:id="39" w:name="due-diligence-essentials"/>
    <w:p>
      <w:pPr>
        <w:pStyle w:val="Heading4"/>
      </w:pPr>
      <w:r>
        <w:t xml:space="preserve">Due diligence essentials</w:t>
      </w:r>
    </w:p>
    <w:p>
      <w:pPr>
        <w:pStyle w:val="Compact"/>
        <w:numPr>
          <w:ilvl w:val="0"/>
          <w:numId w:val="1012"/>
        </w:numPr>
      </w:pPr>
      <w:r>
        <w:t xml:space="preserve">Request three references from clients who obtained licenses in your target jurisdictions</w:t>
      </w:r>
    </w:p>
    <w:p>
      <w:pPr>
        <w:pStyle w:val="Compact"/>
        <w:numPr>
          <w:ilvl w:val="0"/>
          <w:numId w:val="1012"/>
        </w:numPr>
      </w:pPr>
      <w:r>
        <w:t xml:space="preserve">Verify the consultant’s own licensing or registration where required</w:t>
      </w:r>
    </w:p>
    <w:p>
      <w:pPr>
        <w:pStyle w:val="Compact"/>
        <w:numPr>
          <w:ilvl w:val="0"/>
          <w:numId w:val="1012"/>
        </w:numPr>
      </w:pPr>
      <w:r>
        <w:t xml:space="preserve">Get itemized cost estimates including all regulatory fees, corporate costs, and consulting fees separately</w:t>
      </w:r>
    </w:p>
    <w:p>
      <w:pPr>
        <w:pStyle w:val="Compact"/>
        <w:numPr>
          <w:ilvl w:val="0"/>
          <w:numId w:val="1012"/>
        </w:numPr>
      </w:pPr>
      <w:r>
        <w:t xml:space="preserve">Confirm who will handle your application day-to-day (senior staff or junior associates)</w:t>
      </w:r>
    </w:p>
    <w:p>
      <w:pPr>
        <w:pStyle w:val="FirstParagraph"/>
      </w:pPr>
      <w:r>
        <w:t xml:space="preserve">Related:</w:t>
      </w:r>
      <w:r>
        <w:t xml:space="preserve"> </w:t>
      </w:r>
      <w:hyperlink r:id="rId11">
        <w:r>
          <w:rPr>
            <w:rStyle w:val="Hyperlink"/>
          </w:rPr>
          <w:t xml:space="preserve">Corporate Services</w:t>
        </w:r>
      </w:hyperlink>
    </w:p>
    <w:p>
      <w:r>
        <w:pict>
          <v:rect style="width:0;height:1.5pt" o:hralign="center" o:hrstd="t" o:hr="t"/>
        </w:pict>
      </w:r>
    </w:p>
    <w:bookmarkEnd w:id="39"/>
    <w:bookmarkEnd w:id="40"/>
    <w:bookmarkStart w:id="44" w:name="X87fffb7f4687a116b4724a428919c90831d3eb3"/>
    <w:p>
      <w:pPr>
        <w:pStyle w:val="Heading3"/>
      </w:pPr>
      <w:r>
        <w:t xml:space="preserve">What mistakes do operators make when applying for gambling licenses?</w:t>
      </w:r>
    </w:p>
    <w:p>
      <w:pPr>
        <w:pStyle w:val="FirstParagraph"/>
      </w:pPr>
      <w:r>
        <w:t xml:space="preserve">The most expensive mistake is underestimating total costs and timelines. Operators routinely budget €30,000 for a Malta license that realistically costs €200,000+ with all requirements included.</w:t>
      </w:r>
    </w:p>
    <w:bookmarkStart w:id="41" w:name="common-mistakes"/>
    <w:p>
      <w:pPr>
        <w:pStyle w:val="Heading4"/>
      </w:pPr>
      <w:r>
        <w:t xml:space="preserve">Common mistakes</w:t>
      </w:r>
    </w:p>
    <w:p>
      <w:pPr>
        <w:numPr>
          <w:ilvl w:val="0"/>
          <w:numId w:val="1013"/>
        </w:numPr>
      </w:pPr>
      <w:r>
        <w:rPr>
          <w:b/>
          <w:bCs/>
        </w:rPr>
        <w:t xml:space="preserve">Choosing jurisdiction based on license fee alone:</w:t>
      </w:r>
      <w:r>
        <w:t xml:space="preserve"> </w:t>
      </w:r>
      <w:r>
        <w:t xml:space="preserve">Curacao’s €25,000 fee looks attractive until you realize it blocks access to regulated European markets where 60%+ of premium players are located.</w:t>
      </w:r>
    </w:p>
    <w:p>
      <w:pPr>
        <w:numPr>
          <w:ilvl w:val="0"/>
          <w:numId w:val="1013"/>
        </w:numPr>
      </w:pPr>
      <w:r>
        <w:rPr>
          <w:b/>
          <w:bCs/>
        </w:rPr>
        <w:t xml:space="preserve">Incomplete key personnel documentation:</w:t>
      </w:r>
      <w:r>
        <w:t xml:space="preserve"> </w:t>
      </w:r>
      <w:r>
        <w:t xml:space="preserve">Background checks on shareholders, directors, and managers delay 70%+ of applications. Have all documentation ready (employment history, financial records, criminal record checks) before submission.</w:t>
      </w:r>
    </w:p>
    <w:p>
      <w:pPr>
        <w:numPr>
          <w:ilvl w:val="0"/>
          <w:numId w:val="1013"/>
        </w:numPr>
      </w:pPr>
      <w:r>
        <w:rPr>
          <w:b/>
          <w:bCs/>
        </w:rPr>
        <w:t xml:space="preserve">Underestimating technical compliance:</w:t>
      </w:r>
      <w:r>
        <w:t xml:space="preserve"> </w:t>
      </w:r>
      <w:r>
        <w:t xml:space="preserve">Platform certification, RNG testing, and game fairness documentation take 2-4 months to prepare properly. Starting this during the application wastes time.</w:t>
      </w:r>
    </w:p>
    <w:p>
      <w:pPr>
        <w:numPr>
          <w:ilvl w:val="0"/>
          <w:numId w:val="1013"/>
        </w:numPr>
      </w:pPr>
      <w:r>
        <w:rPr>
          <w:b/>
          <w:bCs/>
        </w:rPr>
        <w:t xml:space="preserve">No post-licensing compliance plan:</w:t>
      </w:r>
      <w:r>
        <w:t xml:space="preserve"> </w:t>
      </w:r>
      <w:r>
        <w:t xml:space="preserve">Operators secure licenses then scramble to build compliance infrastructure. Regulators expect functioning AML systems, responsible gaming tools, and reporting capabilities from day one.</w:t>
      </w:r>
    </w:p>
    <w:p>
      <w:pPr>
        <w:numPr>
          <w:ilvl w:val="0"/>
          <w:numId w:val="1013"/>
        </w:numPr>
      </w:pPr>
      <w:r>
        <w:rPr>
          <w:b/>
          <w:bCs/>
        </w:rPr>
        <w:t xml:space="preserve">Ignoring local presence requirements:</w:t>
      </w:r>
      <w:r>
        <w:t xml:space="preserve"> </w:t>
      </w:r>
      <w:r>
        <w:t xml:space="preserve">Malta requires local staff in key positions, physical office, and substance. Setting this up post-approval delays launch.</w:t>
      </w:r>
    </w:p>
    <w:bookmarkEnd w:id="41"/>
    <w:bookmarkStart w:id="43" w:name="how-to-avoid-these"/>
    <w:p>
      <w:pPr>
        <w:pStyle w:val="Heading4"/>
      </w:pPr>
      <w:r>
        <w:t xml:space="preserve">How to avoid these</w:t>
      </w:r>
    </w:p>
    <w:p>
      <w:pPr>
        <w:pStyle w:val="Compact"/>
        <w:numPr>
          <w:ilvl w:val="0"/>
          <w:numId w:val="1014"/>
        </w:numPr>
      </w:pPr>
      <w:r>
        <w:t xml:space="preserve">Engage licensing consultants 3-6 months before intended application</w:t>
      </w:r>
    </w:p>
    <w:p>
      <w:pPr>
        <w:pStyle w:val="Compact"/>
        <w:numPr>
          <w:ilvl w:val="0"/>
          <w:numId w:val="1014"/>
        </w:numPr>
      </w:pPr>
      <w:r>
        <w:t xml:space="preserve">Create a comprehensive budget including corporate, technical, and compliance costs</w:t>
      </w:r>
    </w:p>
    <w:p>
      <w:pPr>
        <w:pStyle w:val="Compact"/>
        <w:numPr>
          <w:ilvl w:val="0"/>
          <w:numId w:val="1014"/>
        </w:numPr>
      </w:pPr>
      <w:r>
        <w:t xml:space="preserve">Begin background documentation gathering immediately</w:t>
      </w:r>
    </w:p>
    <w:p>
      <w:pPr>
        <w:pStyle w:val="Compact"/>
        <w:numPr>
          <w:ilvl w:val="0"/>
          <w:numId w:val="1014"/>
        </w:numPr>
      </w:pPr>
      <w:r>
        <w:t xml:space="preserve">Build compliance infrastructure in parallel with application processing</w:t>
      </w:r>
    </w:p>
    <w:p>
      <w:pPr>
        <w:pStyle w:val="FirstParagraph"/>
      </w:pPr>
      <w:r>
        <w:t xml:space="preserve">Related:</w:t>
      </w:r>
      <w:r>
        <w:t xml:space="preserve"> </w:t>
      </w:r>
      <w:hyperlink r:id="rId42">
        <w:r>
          <w:rPr>
            <w:rStyle w:val="Hyperlink"/>
          </w:rPr>
          <w:t xml:space="preserve">KYC Services</w:t>
        </w:r>
      </w:hyperlink>
      <w:r>
        <w:t xml:space="preserve"> </w:t>
      </w:r>
      <w:r>
        <w:t xml:space="preserve">|</w:t>
      </w:r>
      <w:r>
        <w:t xml:space="preserve"> </w:t>
      </w:r>
      <w:hyperlink r:id="rId35">
        <w:r>
          <w:rPr>
            <w:rStyle w:val="Hyperlink"/>
          </w:rPr>
          <w:t xml:space="preserve">AML Solutions</w:t>
        </w:r>
      </w:hyperlink>
    </w:p>
    <w:p>
      <w:r>
        <w:pict>
          <v:rect style="width:0;height:1.5pt" o:hralign="center" o:hrstd="t" o:hr="t"/>
        </w:pict>
      </w:r>
    </w:p>
    <w:bookmarkEnd w:id="43"/>
    <w:bookmarkEnd w:id="44"/>
    <w:bookmarkEnd w:id="45"/>
    <w:bookmarkStart w:id="62" w:name="X13a81d11c6d3fbbdc9e456767dc939c3886100f"/>
    <w:p>
      <w:pPr>
        <w:pStyle w:val="Heading2"/>
      </w:pPr>
      <w:r>
        <w:t xml:space="preserve">Who are the top licensing and regulatory consultants?</w:t>
      </w:r>
    </w:p>
    <w:p>
      <w:pPr>
        <w:pStyle w:val="FirstParagraph"/>
      </w:pPr>
      <w:r>
        <w:t xml:space="preserve">The leading licensing consultants include established firms like GBO Licensing, EM Group, SCCG Management, and License Gentlemen, but</w:t>
      </w:r>
      <w:r>
        <w:t xml:space="preserve"> </w:t>
      </w:r>
      <w:r>
        <w:t xml:space="preserve">“best”</w:t>
      </w:r>
      <w:r>
        <w:t xml:space="preserve"> </w:t>
      </w:r>
      <w:r>
        <w:t xml:space="preserve">depends on your target jurisdictions, budget, and whether you need comprehensive services or specific expertise.</w:t>
      </w:r>
    </w:p>
    <w:bookmarkStart w:id="46" w:name="consultant-overview"/>
    <w:p>
      <w:pPr>
        <w:pStyle w:val="Heading4"/>
      </w:pPr>
      <w:r>
        <w:t xml:space="preserve">Consultant overview</w:t>
      </w:r>
    </w:p>
    <w:p>
      <w:pPr>
        <w:numPr>
          <w:ilvl w:val="0"/>
          <w:numId w:val="1015"/>
        </w:numPr>
      </w:pPr>
      <w:r>
        <w:rPr>
          <w:b/>
          <w:bCs/>
        </w:rPr>
        <w:t xml:space="preserve">GBO Licensing:</w:t>
      </w:r>
      <w:r>
        <w:t xml:space="preserve"> </w:t>
      </w:r>
      <w:r>
        <w:t xml:space="preserve">Comprehensive services across Curacao, Malta, Gibraltar, and emerging jurisdictions. Strong corporate services integration. Best for: Operators needing end-to-end support from formation to licensing.</w:t>
      </w:r>
    </w:p>
    <w:p>
      <w:pPr>
        <w:numPr>
          <w:ilvl w:val="0"/>
          <w:numId w:val="1015"/>
        </w:numPr>
      </w:pPr>
      <w:r>
        <w:rPr>
          <w:b/>
          <w:bCs/>
        </w:rPr>
        <w:t xml:space="preserve">EM Group:</w:t>
      </w:r>
      <w:r>
        <w:t xml:space="preserve"> </w:t>
      </w:r>
      <w:r>
        <w:t xml:space="preserve">Deep relationships with regulators and licensing authorities. Strong in European jurisdictions. Best for: Operators targeting Malta MGA and established European markets.</w:t>
      </w:r>
    </w:p>
    <w:p>
      <w:pPr>
        <w:numPr>
          <w:ilvl w:val="0"/>
          <w:numId w:val="1015"/>
        </w:numPr>
      </w:pPr>
      <w:r>
        <w:rPr>
          <w:b/>
          <w:bCs/>
        </w:rPr>
        <w:t xml:space="preserve">SCCG Management:</w:t>
      </w:r>
      <w:r>
        <w:t xml:space="preserve"> </w:t>
      </w:r>
      <w:r>
        <w:t xml:space="preserve">Expertise in US state licensing and emerging markets. Strong legal and strategic advisory. Best for: US market entry and complex multi-jurisdictional strategies.</w:t>
      </w:r>
    </w:p>
    <w:p>
      <w:pPr>
        <w:numPr>
          <w:ilvl w:val="0"/>
          <w:numId w:val="1015"/>
        </w:numPr>
      </w:pPr>
      <w:r>
        <w:rPr>
          <w:b/>
          <w:bCs/>
        </w:rPr>
        <w:t xml:space="preserve">License Gentlemen:</w:t>
      </w:r>
      <w:r>
        <w:t xml:space="preserve"> </w:t>
      </w:r>
      <w:r>
        <w:t xml:space="preserve">Focus on operator education and transparent guidance. Strong content and advisory presence. Best for: First-time operators needing clear guidance and realistic expectations.</w:t>
      </w:r>
    </w:p>
    <w:p>
      <w:pPr>
        <w:numPr>
          <w:ilvl w:val="0"/>
          <w:numId w:val="1015"/>
        </w:numPr>
      </w:pPr>
      <w:r>
        <w:rPr>
          <w:b/>
          <w:bCs/>
        </w:rPr>
        <w:t xml:space="preserve">MGL Solutions:</w:t>
      </w:r>
      <w:r>
        <w:t xml:space="preserve"> </w:t>
      </w:r>
      <w:r>
        <w:t xml:space="preserve">Fast, affordable licensing focused on Curacao and emerging jurisdictions. Claims 700+ operators advised, 120+ licenses secured. Best for: Budget-conscious operators and quick market entry.</w:t>
      </w:r>
    </w:p>
    <w:bookmarkEnd w:id="46"/>
    <w:bookmarkStart w:id="47" w:name="what-comparisons-dont-show"/>
    <w:p>
      <w:pPr>
        <w:pStyle w:val="Heading4"/>
      </w:pPr>
      <w:r>
        <w:t xml:space="preserve">What comparisons don’t show</w:t>
      </w:r>
    </w:p>
    <w:p>
      <w:pPr>
        <w:pStyle w:val="FirstParagraph"/>
      </w:pPr>
      <w:r>
        <w:t xml:space="preserve">Consultant quality varies by jurisdiction expertise. A firm excellent for Malta may lack US state experience. Always verify specific jurisdiction track record, not just overall credentials.</w:t>
      </w:r>
    </w:p>
    <w:bookmarkEnd w:id="47"/>
    <w:bookmarkStart w:id="48" w:name="how-to-actually-choose"/>
    <w:p>
      <w:pPr>
        <w:pStyle w:val="Heading4"/>
      </w:pPr>
      <w:r>
        <w:t xml:space="preserve">How to actually choose</w:t>
      </w:r>
    </w:p>
    <w:p>
      <w:pPr>
        <w:pStyle w:val="Compact"/>
        <w:numPr>
          <w:ilvl w:val="0"/>
          <w:numId w:val="1016"/>
        </w:numPr>
      </w:pPr>
      <w:r>
        <w:t xml:space="preserve">Define your target jurisdictions first—this eliminates consultants without relevant expertise</w:t>
      </w:r>
    </w:p>
    <w:p>
      <w:pPr>
        <w:pStyle w:val="Compact"/>
        <w:numPr>
          <w:ilvl w:val="0"/>
          <w:numId w:val="1016"/>
        </w:numPr>
      </w:pPr>
      <w:r>
        <w:t xml:space="preserve">Request specific case studies from your target jurisdictions with timelines achieved</w:t>
      </w:r>
    </w:p>
    <w:p>
      <w:pPr>
        <w:pStyle w:val="Compact"/>
        <w:numPr>
          <w:ilvl w:val="0"/>
          <w:numId w:val="1016"/>
        </w:numPr>
      </w:pPr>
      <w:r>
        <w:t xml:space="preserve">Understand who handles your application (senior vs. junior staff)</w:t>
      </w:r>
    </w:p>
    <w:p>
      <w:pPr>
        <w:pStyle w:val="Compact"/>
        <w:numPr>
          <w:ilvl w:val="0"/>
          <w:numId w:val="1016"/>
        </w:numPr>
      </w:pPr>
      <w:r>
        <w:t xml:space="preserve">Compare itemized quotes separating consulting fees from regulatory and corporate costs</w:t>
      </w:r>
    </w:p>
    <w:p>
      <w:pPr>
        <w:pStyle w:val="Compact"/>
        <w:numPr>
          <w:ilvl w:val="0"/>
          <w:numId w:val="1016"/>
        </w:numPr>
      </w:pPr>
      <w:r>
        <w:t xml:space="preserve">Evaluate post-licensing support—ongoing compliance is where relationships matter most</w:t>
      </w:r>
    </w:p>
    <w:p>
      <w:pPr>
        <w:pStyle w:val="FirstParagraph"/>
      </w:pPr>
      <w:r>
        <w:t xml:space="preserve">Related:</w:t>
      </w:r>
      <w:r>
        <w:t xml:space="preserve"> </w:t>
      </w:r>
      <w:hyperlink r:id="rId12">
        <w:r>
          <w:rPr>
            <w:rStyle w:val="Hyperlink"/>
          </w:rPr>
          <w:t xml:space="preserve">Compliance &amp; Regulatory Services</w:t>
        </w:r>
      </w:hyperlink>
    </w:p>
    <w:p>
      <w:r>
        <w:pict>
          <v:rect style="width:0;height:1.5pt" o:hralign="center" o:hrstd="t" o:hr="t"/>
        </w:pict>
      </w:r>
    </w:p>
    <w:bookmarkEnd w:id="48"/>
    <w:bookmarkStart w:id="54" w:name="what-about-licensing-for-crypto-casinos"/>
    <w:p>
      <w:pPr>
        <w:pStyle w:val="Heading3"/>
      </w:pPr>
      <w:r>
        <w:t xml:space="preserve">What about licensing for crypto casinos?</w:t>
      </w:r>
    </w:p>
    <w:p>
      <w:pPr>
        <w:pStyle w:val="FirstParagraph"/>
      </w:pPr>
      <w:r>
        <w:t xml:space="preserve">Crypto-focused licensing has specific considerations: not all jurisdictions accept cryptocurrency operations, compliance requirements are evolving rapidly, and the regulatory landscape is shifting toward stricter oversight. If you’re building a crypto casino, jurisdiction selection is especially critical.</w:t>
      </w:r>
    </w:p>
    <w:bookmarkStart w:id="49" w:name="crypto-friendly-jurisdictions"/>
    <w:p>
      <w:pPr>
        <w:pStyle w:val="Heading4"/>
      </w:pPr>
      <w:r>
        <w:t xml:space="preserve">Crypto-friendly jurisdictions</w:t>
      </w:r>
    </w:p>
    <w:p>
      <w:pPr>
        <w:pStyle w:val="Compact"/>
        <w:numPr>
          <w:ilvl w:val="0"/>
          <w:numId w:val="1017"/>
        </w:numPr>
      </w:pPr>
      <w:r>
        <w:rPr>
          <w:b/>
          <w:bCs/>
        </w:rPr>
        <w:t xml:space="preserve">Curacao:</w:t>
      </w:r>
      <w:r>
        <w:t xml:space="preserve"> </w:t>
      </w:r>
      <w:r>
        <w:t xml:space="preserve">Most accommodating for crypto, supports Bitcoin and altcoins, no VAT, minimal restrictions on crypto operations</w:t>
      </w:r>
    </w:p>
    <w:p>
      <w:pPr>
        <w:pStyle w:val="Compact"/>
        <w:numPr>
          <w:ilvl w:val="0"/>
          <w:numId w:val="1017"/>
        </w:numPr>
      </w:pPr>
      <w:r>
        <w:rPr>
          <w:b/>
          <w:bCs/>
        </w:rPr>
        <w:t xml:space="preserve">Malta MGA:</w:t>
      </w:r>
      <w:r>
        <w:t xml:space="preserve"> </w:t>
      </w:r>
      <w:r>
        <w:t xml:space="preserve">Accepts crypto under strict AML conditions, requires full traceability, limited compared to Curacao</w:t>
      </w:r>
    </w:p>
    <w:p>
      <w:pPr>
        <w:pStyle w:val="Compact"/>
        <w:numPr>
          <w:ilvl w:val="0"/>
          <w:numId w:val="1017"/>
        </w:numPr>
      </w:pPr>
      <w:r>
        <w:rPr>
          <w:b/>
          <w:bCs/>
        </w:rPr>
        <w:t xml:space="preserve">Gibraltar:</w:t>
      </w:r>
      <w:r>
        <w:t xml:space="preserve"> </w:t>
      </w:r>
      <w:r>
        <w:t xml:space="preserve">Selective about crypto operators, prefers established brands with fiat history</w:t>
      </w:r>
    </w:p>
    <w:p>
      <w:pPr>
        <w:pStyle w:val="Compact"/>
        <w:numPr>
          <w:ilvl w:val="0"/>
          <w:numId w:val="1017"/>
        </w:numPr>
      </w:pPr>
      <w:r>
        <w:rPr>
          <w:b/>
          <w:bCs/>
        </w:rPr>
        <w:t xml:space="preserve">UK:</w:t>
      </w:r>
      <w:r>
        <w:t xml:space="preserve"> </w:t>
      </w:r>
      <w:r>
        <w:t xml:space="preserve">Crypto technically possible but compliance requirements effectively discourage it</w:t>
      </w:r>
    </w:p>
    <w:bookmarkEnd w:id="49"/>
    <w:bookmarkStart w:id="50" w:name="reality-check"/>
    <w:p>
      <w:pPr>
        <w:pStyle w:val="Heading4"/>
      </w:pPr>
      <w:r>
        <w:t xml:space="preserve">Reality check</w:t>
      </w:r>
    </w:p>
    <w:p>
      <w:pPr>
        <w:pStyle w:val="Compact"/>
        <w:numPr>
          <w:ilvl w:val="0"/>
          <w:numId w:val="1018"/>
        </w:numPr>
      </w:pPr>
      <w:r>
        <w:t xml:space="preserve">Curacao’s new LOK framework (2024-2025) introduces stricter requirements even for crypto. The</w:t>
      </w:r>
      <w:r>
        <w:t xml:space="preserve"> </w:t>
      </w:r>
      <w:r>
        <w:t xml:space="preserve">“light touch”</w:t>
      </w:r>
      <w:r>
        <w:t xml:space="preserve"> </w:t>
      </w:r>
      <w:r>
        <w:t xml:space="preserve">era is ending</w:t>
      </w:r>
    </w:p>
    <w:p>
      <w:pPr>
        <w:pStyle w:val="Compact"/>
        <w:numPr>
          <w:ilvl w:val="0"/>
          <w:numId w:val="1018"/>
        </w:numPr>
      </w:pPr>
      <w:r>
        <w:t xml:space="preserve">AML requirements now apply equally to crypto transactions in most jurisdictions</w:t>
      </w:r>
    </w:p>
    <w:p>
      <w:pPr>
        <w:pStyle w:val="Compact"/>
        <w:numPr>
          <w:ilvl w:val="0"/>
          <w:numId w:val="1018"/>
        </w:numPr>
      </w:pPr>
      <w:r>
        <w:t xml:space="preserve">Bank partnerships remain difficult for crypto-primary operators even with valid licenses</w:t>
      </w:r>
    </w:p>
    <w:p>
      <w:pPr>
        <w:pStyle w:val="Compact"/>
        <w:numPr>
          <w:ilvl w:val="0"/>
          <w:numId w:val="1018"/>
        </w:numPr>
      </w:pPr>
      <w:r>
        <w:t xml:space="preserve">Regulatory scrutiny of crypto gambling is increasing globally</w:t>
      </w:r>
    </w:p>
    <w:bookmarkEnd w:id="50"/>
    <w:bookmarkStart w:id="51" w:name="specialized-considerations"/>
    <w:p>
      <w:pPr>
        <w:pStyle w:val="Heading4"/>
      </w:pPr>
      <w:r>
        <w:t xml:space="preserve">Specialized considerations</w:t>
      </w:r>
    </w:p>
    <w:p>
      <w:pPr>
        <w:pStyle w:val="Compact"/>
        <w:numPr>
          <w:ilvl w:val="0"/>
          <w:numId w:val="1019"/>
        </w:numPr>
      </w:pPr>
      <w:r>
        <w:t xml:space="preserve">Provably fair games need specific technical documentation for regulators</w:t>
      </w:r>
    </w:p>
    <w:p>
      <w:pPr>
        <w:pStyle w:val="Compact"/>
        <w:numPr>
          <w:ilvl w:val="0"/>
          <w:numId w:val="1019"/>
        </w:numPr>
      </w:pPr>
      <w:r>
        <w:t xml:space="preserve">Crypto volatility creates compliance challenges for player protection calculations</w:t>
      </w:r>
    </w:p>
    <w:p>
      <w:pPr>
        <w:pStyle w:val="Compact"/>
        <w:numPr>
          <w:ilvl w:val="0"/>
          <w:numId w:val="1019"/>
        </w:numPr>
      </w:pPr>
      <w:r>
        <w:t xml:space="preserve">Exchange rate handling for bonus terms and wagering requirements requires clear policies</w:t>
      </w:r>
    </w:p>
    <w:p>
      <w:pPr>
        <w:pStyle w:val="Compact"/>
        <w:numPr>
          <w:ilvl w:val="0"/>
          <w:numId w:val="1019"/>
        </w:numPr>
      </w:pPr>
      <w:r>
        <w:t xml:space="preserve">Wallet custody and player fund security need documented procedures</w:t>
      </w:r>
    </w:p>
    <w:bookmarkEnd w:id="51"/>
    <w:bookmarkStart w:id="53" w:name="the-trend"/>
    <w:p>
      <w:pPr>
        <w:pStyle w:val="Heading4"/>
      </w:pPr>
      <w:r>
        <w:t xml:space="preserve">The trend</w:t>
      </w:r>
    </w:p>
    <w:p>
      <w:pPr>
        <w:pStyle w:val="FirstParagraph"/>
      </w:pPr>
      <w:r>
        <w:t xml:space="preserve">Pure crypto casinos face narrowing options. Most successful operators now accept both crypto and fiat, using Curacao for crypto flexibility while pursuing Tier-1 licenses for fiat operations in regulated markets.</w:t>
      </w:r>
    </w:p>
    <w:p>
      <w:pPr>
        <w:pStyle w:val="BodyText"/>
      </w:pPr>
      <w:r>
        <w:t xml:space="preserve">Related:</w:t>
      </w:r>
      <w:r>
        <w:t xml:space="preserve"> </w:t>
      </w:r>
      <w:hyperlink r:id="rId52">
        <w:r>
          <w:rPr>
            <w:rStyle w:val="Hyperlink"/>
          </w:rPr>
          <w:t xml:space="preserve">Cryptocurrency Payments</w:t>
        </w:r>
      </w:hyperlink>
    </w:p>
    <w:p>
      <w:r>
        <w:pict>
          <v:rect style="width:0;height:1.5pt" o:hralign="center" o:hrstd="t" o:hr="t"/>
        </w:pict>
      </w:r>
    </w:p>
    <w:bookmarkEnd w:id="53"/>
    <w:bookmarkEnd w:id="54"/>
    <w:bookmarkStart w:id="57" w:name="Xb3efa00054ca0a83bccc738b197941eee00ec1b"/>
    <w:p>
      <w:pPr>
        <w:pStyle w:val="Heading3"/>
      </w:pPr>
      <w:r>
        <w:t xml:space="preserve">How is gambling licensing changing in 2026?</w:t>
      </w:r>
    </w:p>
    <w:p>
      <w:pPr>
        <w:pStyle w:val="FirstParagraph"/>
      </w:pPr>
      <w:r>
        <w:t xml:space="preserve">The licensing landscape is undergoing significant transformation: stricter compliance requirements globally, new markets opening, and legacy jurisdictions tightening oversight. Operators face higher barriers to entry but also new opportunities.</w:t>
      </w:r>
    </w:p>
    <w:bookmarkStart w:id="55" w:name="key-regulatory-trends"/>
    <w:p>
      <w:pPr>
        <w:pStyle w:val="Heading4"/>
      </w:pPr>
      <w:r>
        <w:t xml:space="preserve">Key regulatory trends</w:t>
      </w:r>
    </w:p>
    <w:p>
      <w:pPr>
        <w:numPr>
          <w:ilvl w:val="0"/>
          <w:numId w:val="1020"/>
        </w:numPr>
      </w:pPr>
      <w:r>
        <w:rPr>
          <w:b/>
          <w:bCs/>
        </w:rPr>
        <w:t xml:space="preserve">Curacao’s transformation:</w:t>
      </w:r>
      <w:r>
        <w:t xml:space="preserve"> </w:t>
      </w:r>
      <w:r>
        <w:t xml:space="preserve">The new LOK framework replaces the light-touch NOOGH regime with comprehensive requirements aligned with international standards. Annual B2C license fees now €24,490 plus €22,960 supervisory costs. The</w:t>
      </w:r>
      <w:r>
        <w:t xml:space="preserve"> </w:t>
      </w:r>
      <w:r>
        <w:t xml:space="preserve">“quick and easy”</w:t>
      </w:r>
      <w:r>
        <w:t xml:space="preserve"> </w:t>
      </w:r>
      <w:r>
        <w:t xml:space="preserve">Curacao license is becoming more rigorous.</w:t>
      </w:r>
    </w:p>
    <w:p>
      <w:pPr>
        <w:numPr>
          <w:ilvl w:val="0"/>
          <w:numId w:val="1020"/>
        </w:numPr>
      </w:pPr>
      <w:r>
        <w:rPr>
          <w:b/>
          <w:bCs/>
        </w:rPr>
        <w:t xml:space="preserve">New markets opening:</w:t>
      </w:r>
      <w:r>
        <w:t xml:space="preserve"> </w:t>
      </w:r>
      <w:r>
        <w:t xml:space="preserve">New Zealand preparing 15 online casino licenses by 2026. Ireland launching gambling licensing under GRAI (online betting in late 2025, online casino in early 2026). Brazil’s regulated market creating Latin America’s largest opportunity.</w:t>
      </w:r>
    </w:p>
    <w:p>
      <w:pPr>
        <w:numPr>
          <w:ilvl w:val="0"/>
          <w:numId w:val="1020"/>
        </w:numPr>
      </w:pPr>
      <w:r>
        <w:rPr>
          <w:b/>
          <w:bCs/>
        </w:rPr>
        <w:t xml:space="preserve">Advertising restrictions tightening:</w:t>
      </w:r>
      <w:r>
        <w:t xml:space="preserve"> </w:t>
      </w:r>
      <w:r>
        <w:t xml:space="preserve">Sweden banning credit card gambling deposits from April 2026. Stricter limitations on promotional content appealing to minors across EU markets.</w:t>
      </w:r>
    </w:p>
    <w:p>
      <w:pPr>
        <w:numPr>
          <w:ilvl w:val="0"/>
          <w:numId w:val="1020"/>
        </w:numPr>
      </w:pPr>
      <w:r>
        <w:rPr>
          <w:b/>
          <w:bCs/>
        </w:rPr>
        <w:t xml:space="preserve">Cross-border cooperation increasing:</w:t>
      </w:r>
      <w:r>
        <w:t xml:space="preserve"> </w:t>
      </w:r>
      <w:r>
        <w:t xml:space="preserve">Regulators sharing enforcement information. Unlicensed operator blacklists expanding. MLA (mutual legal assistance) requests becoming common for cross-border enforcement.</w:t>
      </w:r>
    </w:p>
    <w:p>
      <w:pPr>
        <w:numPr>
          <w:ilvl w:val="0"/>
          <w:numId w:val="1020"/>
        </w:numPr>
      </w:pPr>
      <w:r>
        <w:rPr>
          <w:b/>
          <w:bCs/>
        </w:rPr>
        <w:t xml:space="preserve">KYC/AML bar rising:</w:t>
      </w:r>
      <w:r>
        <w:t xml:space="preserve"> </w:t>
      </w:r>
      <w:r>
        <w:t xml:space="preserve">Mandatory affordability checks for high-value players in UK and spreading to other jurisdictions. FATF reviews increasing scrutiny of gambling sector compliance.</w:t>
      </w:r>
    </w:p>
    <w:bookmarkEnd w:id="55"/>
    <w:bookmarkStart w:id="56" w:name="what-this-means-for-operators"/>
    <w:p>
      <w:pPr>
        <w:pStyle w:val="Heading4"/>
      </w:pPr>
      <w:r>
        <w:t xml:space="preserve">What this means for operators</w:t>
      </w:r>
    </w:p>
    <w:p>
      <w:pPr>
        <w:pStyle w:val="Compact"/>
        <w:numPr>
          <w:ilvl w:val="0"/>
          <w:numId w:val="1021"/>
        </w:numPr>
      </w:pPr>
      <w:r>
        <w:t xml:space="preserve">Budget higher for licensing than historical benchmarks</w:t>
      </w:r>
    </w:p>
    <w:p>
      <w:pPr>
        <w:pStyle w:val="Compact"/>
        <w:numPr>
          <w:ilvl w:val="0"/>
          <w:numId w:val="1021"/>
        </w:numPr>
      </w:pPr>
      <w:r>
        <w:t xml:space="preserve">Plan longer timelines as regulators process more thorough applications</w:t>
      </w:r>
    </w:p>
    <w:p>
      <w:pPr>
        <w:pStyle w:val="Compact"/>
        <w:numPr>
          <w:ilvl w:val="0"/>
          <w:numId w:val="1021"/>
        </w:numPr>
      </w:pPr>
      <w:r>
        <w:t xml:space="preserve">Compliance infrastructure is now prerequisite, not afterthought</w:t>
      </w:r>
    </w:p>
    <w:p>
      <w:pPr>
        <w:pStyle w:val="Compact"/>
        <w:numPr>
          <w:ilvl w:val="0"/>
          <w:numId w:val="1021"/>
        </w:numPr>
      </w:pPr>
      <w:r>
        <w:t xml:space="preserve">Multi-jurisdictional strategies increasingly necessary for meaningful market access</w:t>
      </w:r>
    </w:p>
    <w:p>
      <w:pPr>
        <w:pStyle w:val="FirstParagraph"/>
      </w:pPr>
      <w:r>
        <w:t xml:space="preserve">Related:</w:t>
      </w:r>
      <w:r>
        <w:t xml:space="preserve"> </w:t>
      </w:r>
      <w:hyperlink r:id="rId42">
        <w:r>
          <w:rPr>
            <w:rStyle w:val="Hyperlink"/>
          </w:rPr>
          <w:t xml:space="preserve">KYC Services</w:t>
        </w:r>
      </w:hyperlink>
      <w:r>
        <w:t xml:space="preserve"> </w:t>
      </w:r>
      <w:r>
        <w:t xml:space="preserve">|</w:t>
      </w:r>
      <w:r>
        <w:t xml:space="preserve"> </w:t>
      </w:r>
      <w:hyperlink r:id="rId36">
        <w:r>
          <w:rPr>
            <w:rStyle w:val="Hyperlink"/>
          </w:rPr>
          <w:t xml:space="preserve">Responsible Gaming</w:t>
        </w:r>
      </w:hyperlink>
    </w:p>
    <w:p>
      <w:r>
        <w:pict>
          <v:rect style="width:0;height:1.5pt" o:hralign="center" o:hrstd="t" o:hr="t"/>
        </w:pict>
      </w:r>
    </w:p>
    <w:bookmarkEnd w:id="56"/>
    <w:bookmarkEnd w:id="57"/>
    <w:bookmarkStart w:id="61" w:name="Xe376e0559497cfc229b2cd083befdc9d4ca65c7"/>
    <w:p>
      <w:pPr>
        <w:pStyle w:val="Heading3"/>
      </w:pPr>
      <w:r>
        <w:t xml:space="preserve">How do I maintain my gambling license after approval?</w:t>
      </w:r>
    </w:p>
    <w:p>
      <w:pPr>
        <w:pStyle w:val="FirstParagraph"/>
      </w:pPr>
      <w:r>
        <w:t xml:space="preserve">Maintaining a gambling license requires ongoing compliance activities, regular reporting, and proactive management of regulatory relationships. The license is permission to operate. Keeping it requires continuous effort.</w:t>
      </w:r>
    </w:p>
    <w:bookmarkStart w:id="58" w:name="key-maintenance-requirements"/>
    <w:p>
      <w:pPr>
        <w:pStyle w:val="Heading4"/>
      </w:pPr>
      <w:r>
        <w:t xml:space="preserve">Key maintenance requirements</w:t>
      </w:r>
    </w:p>
    <w:p>
      <w:pPr>
        <w:pStyle w:val="Compact"/>
        <w:numPr>
          <w:ilvl w:val="0"/>
          <w:numId w:val="1022"/>
        </w:numPr>
      </w:pPr>
      <w:r>
        <w:rPr>
          <w:b/>
          <w:bCs/>
        </w:rPr>
        <w:t xml:space="preserve">Regular reporting:</w:t>
      </w:r>
      <w:r>
        <w:t xml:space="preserve"> </w:t>
      </w:r>
      <w:r>
        <w:t xml:space="preserve">Monthly, quarterly, or annual reports depending on jurisdiction (player activity, revenue, complaint handling, AML incidents)</w:t>
      </w:r>
    </w:p>
    <w:p>
      <w:pPr>
        <w:pStyle w:val="Compact"/>
        <w:numPr>
          <w:ilvl w:val="0"/>
          <w:numId w:val="1022"/>
        </w:numPr>
      </w:pPr>
      <w:r>
        <w:rPr>
          <w:b/>
          <w:bCs/>
        </w:rPr>
        <w:t xml:space="preserve">Annual audits:</w:t>
      </w:r>
      <w:r>
        <w:t xml:space="preserve"> </w:t>
      </w:r>
      <w:r>
        <w:t xml:space="preserve">Financial audits, compliance audits, technical system audits. Typically €30,000-€100,000/year combined</w:t>
      </w:r>
    </w:p>
    <w:p>
      <w:pPr>
        <w:pStyle w:val="Compact"/>
        <w:numPr>
          <w:ilvl w:val="0"/>
          <w:numId w:val="1022"/>
        </w:numPr>
      </w:pPr>
      <w:r>
        <w:rPr>
          <w:b/>
          <w:bCs/>
        </w:rPr>
        <w:t xml:space="preserve">Policy updates:</w:t>
      </w:r>
      <w:r>
        <w:t xml:space="preserve"> </w:t>
      </w:r>
      <w:r>
        <w:t xml:space="preserve">AML, responsible gaming, and data protection policies must reflect regulatory changes</w:t>
      </w:r>
    </w:p>
    <w:p>
      <w:pPr>
        <w:pStyle w:val="Compact"/>
        <w:numPr>
          <w:ilvl w:val="0"/>
          <w:numId w:val="1022"/>
        </w:numPr>
      </w:pPr>
      <w:r>
        <w:rPr>
          <w:b/>
          <w:bCs/>
        </w:rPr>
        <w:t xml:space="preserve">Key personnel notifications:</w:t>
      </w:r>
      <w:r>
        <w:t xml:space="preserve"> </w:t>
      </w:r>
      <w:r>
        <w:t xml:space="preserve">Changes to directors, shareholders, or key staff require regulatory approval</w:t>
      </w:r>
    </w:p>
    <w:p>
      <w:pPr>
        <w:pStyle w:val="Compact"/>
        <w:numPr>
          <w:ilvl w:val="0"/>
          <w:numId w:val="1022"/>
        </w:numPr>
      </w:pPr>
      <w:r>
        <w:rPr>
          <w:b/>
          <w:bCs/>
        </w:rPr>
        <w:t xml:space="preserve">Incident reporting:</w:t>
      </w:r>
      <w:r>
        <w:t xml:space="preserve"> </w:t>
      </w:r>
      <w:r>
        <w:t xml:space="preserve">Security breaches, significant complaints, AML suspicious activity reports. Immediate disclosure required</w:t>
      </w:r>
    </w:p>
    <w:p>
      <w:pPr>
        <w:pStyle w:val="Compact"/>
        <w:numPr>
          <w:ilvl w:val="0"/>
          <w:numId w:val="1022"/>
        </w:numPr>
      </w:pPr>
      <w:r>
        <w:rPr>
          <w:b/>
          <w:bCs/>
        </w:rPr>
        <w:t xml:space="preserve">License renewal:</w:t>
      </w:r>
      <w:r>
        <w:t xml:space="preserve"> </w:t>
      </w:r>
      <w:r>
        <w:t xml:space="preserve">Most licenses require renewal every 1-5 years with fresh documentation</w:t>
      </w:r>
    </w:p>
    <w:bookmarkEnd w:id="58"/>
    <w:bookmarkStart w:id="59" w:name="warning-signs-youre-at-risk"/>
    <w:p>
      <w:pPr>
        <w:pStyle w:val="Heading4"/>
      </w:pPr>
      <w:r>
        <w:t xml:space="preserve">Warning signs you’re at risk</w:t>
      </w:r>
    </w:p>
    <w:p>
      <w:pPr>
        <w:pStyle w:val="Compact"/>
        <w:numPr>
          <w:ilvl w:val="0"/>
          <w:numId w:val="1023"/>
        </w:numPr>
      </w:pPr>
      <w:r>
        <w:t xml:space="preserve">Missed reporting deadlines</w:t>
      </w:r>
    </w:p>
    <w:p>
      <w:pPr>
        <w:pStyle w:val="Compact"/>
        <w:numPr>
          <w:ilvl w:val="0"/>
          <w:numId w:val="1023"/>
        </w:numPr>
      </w:pPr>
      <w:r>
        <w:t xml:space="preserve">Unaddressed player complaints escalating to regulators</w:t>
      </w:r>
    </w:p>
    <w:p>
      <w:pPr>
        <w:pStyle w:val="Compact"/>
        <w:numPr>
          <w:ilvl w:val="0"/>
          <w:numId w:val="1023"/>
        </w:numPr>
      </w:pPr>
      <w:r>
        <w:t xml:space="preserve">AML deficiencies identified in audits without remediation</w:t>
      </w:r>
    </w:p>
    <w:p>
      <w:pPr>
        <w:pStyle w:val="Compact"/>
        <w:numPr>
          <w:ilvl w:val="0"/>
          <w:numId w:val="1023"/>
        </w:numPr>
      </w:pPr>
      <w:r>
        <w:t xml:space="preserve">Key personnel changes without notification</w:t>
      </w:r>
    </w:p>
    <w:p>
      <w:pPr>
        <w:pStyle w:val="Compact"/>
        <w:numPr>
          <w:ilvl w:val="0"/>
          <w:numId w:val="1023"/>
        </w:numPr>
      </w:pPr>
      <w:r>
        <w:t xml:space="preserve">Technical systems failing compliance checks</w:t>
      </w:r>
    </w:p>
    <w:bookmarkEnd w:id="59"/>
    <w:bookmarkStart w:id="60" w:name="compliance-cost-benchmarks"/>
    <w:p>
      <w:pPr>
        <w:pStyle w:val="Heading4"/>
      </w:pPr>
      <w:r>
        <w:t xml:space="preserve">Compliance cost benchmarks</w:t>
      </w:r>
    </w:p>
    <w:p>
      <w:pPr>
        <w:pStyle w:val="Compact"/>
        <w:numPr>
          <w:ilvl w:val="0"/>
          <w:numId w:val="1024"/>
        </w:numPr>
      </w:pPr>
      <w:r>
        <w:t xml:space="preserve">Compliance officer: €60,000-€150,000/year</w:t>
      </w:r>
    </w:p>
    <w:p>
      <w:pPr>
        <w:pStyle w:val="Compact"/>
        <w:numPr>
          <w:ilvl w:val="0"/>
          <w:numId w:val="1024"/>
        </w:numPr>
      </w:pPr>
      <w:r>
        <w:t xml:space="preserve">External audits: €30,000-€80,000/year</w:t>
      </w:r>
    </w:p>
    <w:p>
      <w:pPr>
        <w:pStyle w:val="Compact"/>
        <w:numPr>
          <w:ilvl w:val="0"/>
          <w:numId w:val="1024"/>
        </w:numPr>
      </w:pPr>
      <w:r>
        <w:t xml:space="preserve">Legal advisory: €10,000-€30,000/year</w:t>
      </w:r>
    </w:p>
    <w:p>
      <w:pPr>
        <w:pStyle w:val="Compact"/>
        <w:numPr>
          <w:ilvl w:val="0"/>
          <w:numId w:val="1024"/>
        </w:numPr>
      </w:pPr>
      <w:r>
        <w:t xml:space="preserve">Policy updates and training: €5,000-€15,000/year</w:t>
      </w:r>
    </w:p>
    <w:p>
      <w:pPr>
        <w:pStyle w:val="Compact"/>
        <w:numPr>
          <w:ilvl w:val="0"/>
          <w:numId w:val="1024"/>
        </w:numPr>
      </w:pPr>
      <w:r>
        <w:t xml:space="preserve">Regulatory engagement: €5,000-€20,000/year</w:t>
      </w:r>
    </w:p>
    <w:p>
      <w:pPr>
        <w:pStyle w:val="FirstParagraph"/>
      </w:pPr>
      <w:r>
        <w:t xml:space="preserve">Total ongoing compliance typically runs 40-60% of initial licensing cost annually. Budget accordingly.</w:t>
      </w:r>
    </w:p>
    <w:p>
      <w:pPr>
        <w:pStyle w:val="BodyText"/>
      </w:pPr>
      <w:r>
        <w:t xml:space="preserve">Related:</w:t>
      </w:r>
      <w:r>
        <w:t xml:space="preserve"> </w:t>
      </w:r>
      <w:hyperlink r:id="rId12">
        <w:r>
          <w:rPr>
            <w:rStyle w:val="Hyperlink"/>
          </w:rPr>
          <w:t xml:space="preserve">Compliance &amp; Regulatory Services</w:t>
        </w:r>
      </w:hyperlink>
      <w:r>
        <w:t xml:space="preserve"> </w:t>
      </w:r>
      <w:r>
        <w:t xml:space="preserve">|</w:t>
      </w:r>
      <w:r>
        <w:t xml:space="preserve"> </w:t>
      </w:r>
      <w:hyperlink r:id="rId35">
        <w:r>
          <w:rPr>
            <w:rStyle w:val="Hyperlink"/>
          </w:rPr>
          <w:t xml:space="preserve">AML Solutions</w:t>
        </w:r>
      </w:hyperlink>
    </w:p>
    <w:p>
      <w:r>
        <w:pict>
          <v:rect style="width:0;height:1.5pt" o:hralign="center" o:hrstd="t" o:hr="t"/>
        </w:pict>
      </w:r>
    </w:p>
    <w:p>
      <w:pPr>
        <w:pStyle w:val="FirstParagraph"/>
      </w:pPr>
      <w:r>
        <w:rPr>
          <w:i/>
          <w:iCs/>
        </w:rPr>
        <w:t xml:space="preserve">Last updated: January 2026</w:t>
      </w:r>
    </w:p>
    <w:bookmarkEnd w:id="60"/>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directory/aml-solutions" TargetMode="External" /><Relationship Type="http://schemas.openxmlformats.org/officeDocument/2006/relationships/hyperlink" Id="rId12" Target="/directory/compliance-regulatory-services" TargetMode="External" /><Relationship Type="http://schemas.openxmlformats.org/officeDocument/2006/relationships/hyperlink" Id="rId11" Target="/directory/corporate-services" TargetMode="External" /><Relationship Type="http://schemas.openxmlformats.org/officeDocument/2006/relationships/hyperlink" Id="rId52" Target="/directory/cryptocurrency-payments" TargetMode="External" /><Relationship Type="http://schemas.openxmlformats.org/officeDocument/2006/relationships/hyperlink" Id="rId32" Target="/directory/game-testing-certification" TargetMode="External" /><Relationship Type="http://schemas.openxmlformats.org/officeDocument/2006/relationships/hyperlink" Id="rId42" Target="/directory/kyc-services" TargetMode="External" /><Relationship Type="http://schemas.openxmlformats.org/officeDocument/2006/relationships/hyperlink" Id="rId16" Target="/directory/payment-processing" TargetMode="External" /><Relationship Type="http://schemas.openxmlformats.org/officeDocument/2006/relationships/hyperlink" Id="rId36" Target="/directory/responsible-gaming" TargetMode="External" /><Relationship Type="http://schemas.openxmlformats.org/officeDocument/2006/relationships/hyperlink" Id="rId24" Target="/directory/turnkey-platforms" TargetMode="External" /><Relationship Type="http://schemas.openxmlformats.org/officeDocument/2006/relationships/hyperlink" Id="rId23" Target="/directory/white-label-solutions" TargetMode="External" /></Relationships>
</file>

<file path=word/_rels/footnotes.xml.rels><?xml version="1.0" encoding="UTF-8"?><Relationships xmlns="http://schemas.openxmlformats.org/package/2006/relationships"><Relationship Type="http://schemas.openxmlformats.org/officeDocument/2006/relationships/hyperlink" Id="rId35" Target="/directory/aml-solutions" TargetMode="External" /><Relationship Type="http://schemas.openxmlformats.org/officeDocument/2006/relationships/hyperlink" Id="rId12" Target="/directory/compliance-regulatory-services" TargetMode="External" /><Relationship Type="http://schemas.openxmlformats.org/officeDocument/2006/relationships/hyperlink" Id="rId11" Target="/directory/corporate-services" TargetMode="External" /><Relationship Type="http://schemas.openxmlformats.org/officeDocument/2006/relationships/hyperlink" Id="rId52" Target="/directory/cryptocurrency-payments" TargetMode="External" /><Relationship Type="http://schemas.openxmlformats.org/officeDocument/2006/relationships/hyperlink" Id="rId32" Target="/directory/game-testing-certification" TargetMode="External" /><Relationship Type="http://schemas.openxmlformats.org/officeDocument/2006/relationships/hyperlink" Id="rId42" Target="/directory/kyc-services" TargetMode="External" /><Relationship Type="http://schemas.openxmlformats.org/officeDocument/2006/relationships/hyperlink" Id="rId16" Target="/directory/payment-processing" TargetMode="External" /><Relationship Type="http://schemas.openxmlformats.org/officeDocument/2006/relationships/hyperlink" Id="rId36" Target="/directory/responsible-gaming" TargetMode="External" /><Relationship Type="http://schemas.openxmlformats.org/officeDocument/2006/relationships/hyperlink" Id="rId24" Target="/directory/turnkey-platforms" TargetMode="External" /><Relationship Type="http://schemas.openxmlformats.org/officeDocument/2006/relationships/hyperlink" Id="rId23" Target="/directory/white-label-solu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2026-01-26T14:46:19Z</dcterms:created>
  <dcterms:modified xsi:type="dcterms:W3CDTF">2026-01-26T14:46:19Z</dcterms:modified>
</cp:coreProperties>
</file>

<file path=docProps/custom.xml><?xml version="1.0" encoding="utf-8"?>
<Properties xmlns="http://schemas.openxmlformats.org/officeDocument/2006/custom-properties" xmlns:vt="http://schemas.openxmlformats.org/officeDocument/2006/docPropsVTypes"/>
</file>