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5d58b90e93416328a869352d2de2be33e3c7de"/>
    <w:p>
      <w:pPr>
        <w:pStyle w:val="Heading1"/>
      </w:pPr>
      <w:r>
        <w:t xml:space="preserve">Casino Platforms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Casino Platforms</w:t>
      </w:r>
    </w:p>
    <w:p>
      <w:pPr>
        <w:pStyle w:val="Compact"/>
        <w:numPr>
          <w:ilvl w:val="0"/>
          <w:numId w:val="1001"/>
        </w:numPr>
      </w:pPr>
      <w:r>
        <w:rPr>
          <w:b/>
          <w:bCs/>
        </w:rPr>
        <w:t xml:space="preserve">Slug:</w:t>
      </w:r>
      <w:r>
        <w:t xml:space="preserve"> </w:t>
      </w:r>
      <w:r>
        <w:t xml:space="preserve">casino-platforms</w:t>
      </w:r>
    </w:p>
    <w:p>
      <w:pPr>
        <w:pStyle w:val="Compact"/>
        <w:numPr>
          <w:ilvl w:val="0"/>
          <w:numId w:val="1001"/>
        </w:numPr>
      </w:pPr>
      <w:r>
        <w:rPr>
          <w:b/>
          <w:bCs/>
        </w:rPr>
        <w:t xml:space="preserve">Parent:</w:t>
      </w:r>
      <w:r>
        <w:t xml:space="preserve"> </w:t>
      </w:r>
      <w:r>
        <w:t xml:space="preserve">Platforms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Casino platforms provide the technical infrastructure for running online slots, live dealer, and table games. This FAQ covers costs across delivery models, platform vs. provider selection, and the metrics that indicate whether your platform is performing.</w:t>
      </w:r>
    </w:p>
    <w:p>
      <w:r>
        <w:pict>
          <v:rect style="width:0;height:1.5pt" o:hralign="center" o:hrstd="t" o:hr="t"/>
        </w:pict>
      </w:r>
    </w:p>
    <w:bookmarkEnd w:id="10"/>
    <w:bookmarkStart w:id="13" w:name="what-is-a-casino-platform"/>
    <w:p>
      <w:pPr>
        <w:pStyle w:val="Heading2"/>
      </w:pPr>
      <w:r>
        <w:t xml:space="preserve">What is a casino platform?</w:t>
      </w:r>
    </w:p>
    <w:p>
      <w:pPr>
        <w:pStyle w:val="FirstParagraph"/>
      </w:pPr>
      <w:r>
        <w:t xml:space="preserve">A casino platform is specialized software infrastructure that provides the technical foundation for running online slots, live dealer games, and table games. It handles player account management (PAM), payment processing, game content integration from multiple studios, and the operational back-office tools needed to run a competitive online casino.</w:t>
      </w:r>
    </w:p>
    <w:p>
      <w:pPr>
        <w:pStyle w:val="BodyText"/>
      </w:pPr>
      <w:r>
        <w:t xml:space="preserve">Unlike broader iGaming platforms that might include sportsbook, lottery, and other verticals, casino platforms are purpose-built for casino-specific features: game lobby management, bonus engines optimized for slots and table games, tournament functionality, and loyalty programs designed around casino player behavior. You build promotions and structure games from your platform backend and push everything to reflect on the front-end your players see.</w:t>
      </w:r>
    </w:p>
    <w:p>
      <w:pPr>
        <w:pStyle w:val="BodyText"/>
      </w:pPr>
      <w:r>
        <w:t xml:space="preserve">Key components of a casino platform include:</w:t>
      </w:r>
    </w:p>
    <w:p>
      <w:pPr>
        <w:pStyle w:val="Compact"/>
        <w:numPr>
          <w:ilvl w:val="0"/>
          <w:numId w:val="1002"/>
        </w:numPr>
      </w:pPr>
      <w:r>
        <w:t xml:space="preserve">Player Account Management (PAM) with wallet and KYC functionality</w:t>
      </w:r>
    </w:p>
    <w:p>
      <w:pPr>
        <w:pStyle w:val="Compact"/>
        <w:numPr>
          <w:ilvl w:val="0"/>
          <w:numId w:val="1002"/>
        </w:numPr>
      </w:pPr>
      <w:r>
        <w:t xml:space="preserve">Game integration hub connecting to multiple studios via API</w:t>
      </w:r>
    </w:p>
    <w:p>
      <w:pPr>
        <w:pStyle w:val="Compact"/>
        <w:numPr>
          <w:ilvl w:val="0"/>
          <w:numId w:val="1002"/>
        </w:numPr>
      </w:pPr>
      <w:r>
        <w:t xml:space="preserve">Bonus engine for welcome offers, free spins, and promotional mechanics</w:t>
      </w:r>
    </w:p>
    <w:p>
      <w:pPr>
        <w:pStyle w:val="Compact"/>
        <w:numPr>
          <w:ilvl w:val="0"/>
          <w:numId w:val="1002"/>
        </w:numPr>
      </w:pPr>
      <w:r>
        <w:t xml:space="preserve">Payment processing for deposits and withdrawals</w:t>
      </w:r>
    </w:p>
    <w:p>
      <w:pPr>
        <w:pStyle w:val="Compact"/>
        <w:numPr>
          <w:ilvl w:val="0"/>
          <w:numId w:val="1002"/>
        </w:numPr>
      </w:pPr>
      <w:r>
        <w:t xml:space="preserve">Real-time reporting and analytics dashboard</w:t>
      </w:r>
    </w:p>
    <w:p>
      <w:pPr>
        <w:pStyle w:val="Compact"/>
        <w:numPr>
          <w:ilvl w:val="0"/>
          <w:numId w:val="1002"/>
        </w:numPr>
      </w:pPr>
      <w:r>
        <w:t xml:space="preserve">Responsible gaming tools and regulatory compliance features</w:t>
      </w:r>
    </w:p>
    <w:p>
      <w:pPr>
        <w:pStyle w:val="FirstParagraph"/>
      </w:pPr>
      <w:r>
        <w:t xml:space="preserve">Here’s what marketing materials won’t emphasize: the platform is only as good as its integrations. A platform claiming 10,000+ games means nothing if the API connections are unstable or settlement times are slow. The real differentiator is operational reliability, not game count.</w:t>
      </w:r>
    </w:p>
    <w:p>
      <w:pPr>
        <w:pStyle w:val="BodyText"/>
      </w:pPr>
      <w:r>
        <w:t xml:space="preserve">Related:</w:t>
      </w:r>
      <w:r>
        <w:t xml:space="preserve"> </w:t>
      </w:r>
      <w:hyperlink r:id="rId11">
        <w:r>
          <w:rPr>
            <w:rStyle w:val="Hyperlink"/>
          </w:rPr>
          <w:t xml:space="preserve">iGaming Platforms</w:t>
        </w:r>
      </w:hyperlink>
      <w:r>
        <w:t xml:space="preserve"> </w:t>
      </w:r>
      <w:r>
        <w:t xml:space="preserve">|</w:t>
      </w:r>
      <w:r>
        <w:t xml:space="preserve"> </w:t>
      </w:r>
      <w:hyperlink r:id="rId12">
        <w:r>
          <w:rPr>
            <w:rStyle w:val="Hyperlink"/>
          </w:rPr>
          <w:t xml:space="preserve">White Label Solutions</w:t>
        </w:r>
      </w:hyperlink>
    </w:p>
    <w:p>
      <w:r>
        <w:pict>
          <v:rect style="width:0;height:1.5pt" o:hralign="center" o:hrstd="t" o:hr="t"/>
        </w:pict>
      </w:r>
    </w:p>
    <w:bookmarkEnd w:id="13"/>
    <w:bookmarkStart w:id="21" w:name="how-much-does-a-casino-platform-cost"/>
    <w:p>
      <w:pPr>
        <w:pStyle w:val="Heading2"/>
      </w:pPr>
      <w:r>
        <w:t xml:space="preserve">How much does a casino platform cost?</w:t>
      </w:r>
    </w:p>
    <w:p>
      <w:pPr>
        <w:pStyle w:val="FirstParagraph"/>
      </w:pPr>
      <w:r>
        <w:t xml:space="preserve">Casino platform costs range from €10,000-€100,000+ for setup, plus €2,000-€50,000 monthly, depending on whether you’re licensing software, using white-label, or building custom. But here’s what providers don’t highlight: total first-year investment including licensing, payments, and marketing realistically runs €200,000-€1,500,000.</w:t>
      </w:r>
    </w:p>
    <w:bookmarkStart w:id="14" w:name="cost-breakdown-2026"/>
    <w:p>
      <w:pPr>
        <w:pStyle w:val="Heading4"/>
      </w:pPr>
      <w:r>
        <w:t xml:space="preserve">Cost breakdown (2026)</w:t>
      </w:r>
    </w:p>
    <w:p>
      <w:pPr>
        <w:pStyle w:val="Compact"/>
        <w:numPr>
          <w:ilvl w:val="0"/>
          <w:numId w:val="1003"/>
        </w:numPr>
      </w:pPr>
      <w:r>
        <w:rPr>
          <w:b/>
          <w:bCs/>
        </w:rPr>
        <w:t xml:space="preserve">Platform setup fee:</w:t>
      </w:r>
      <w:r>
        <w:t xml:space="preserve"> </w:t>
      </w:r>
      <w:r>
        <w:t xml:space="preserve">€10,000-€150,000. Varies dramatically by customization and delivery model</w:t>
      </w:r>
    </w:p>
    <w:p>
      <w:pPr>
        <w:pStyle w:val="Compact"/>
        <w:numPr>
          <w:ilvl w:val="0"/>
          <w:numId w:val="1003"/>
        </w:numPr>
      </w:pPr>
      <w:r>
        <w:rPr>
          <w:b/>
          <w:bCs/>
        </w:rPr>
        <w:t xml:space="preserve">Monthly platform fee:</w:t>
      </w:r>
      <w:r>
        <w:t xml:space="preserve"> </w:t>
      </w:r>
      <w:r>
        <w:t xml:space="preserve">€2,000-€50,000. Based on traffic volume, support level, and game access</w:t>
      </w:r>
    </w:p>
    <w:p>
      <w:pPr>
        <w:pStyle w:val="Compact"/>
        <w:numPr>
          <w:ilvl w:val="0"/>
          <w:numId w:val="1003"/>
        </w:numPr>
      </w:pPr>
      <w:r>
        <w:rPr>
          <w:b/>
          <w:bCs/>
        </w:rPr>
        <w:t xml:space="preserve">Revenue share:</w:t>
      </w:r>
      <w:r>
        <w:t xml:space="preserve"> </w:t>
      </w:r>
      <w:r>
        <w:t xml:space="preserve">10-30% of NGR. Common in white-label; turnkey often has minimal or no share</w:t>
      </w:r>
    </w:p>
    <w:p>
      <w:pPr>
        <w:pStyle w:val="Compact"/>
        <w:numPr>
          <w:ilvl w:val="0"/>
          <w:numId w:val="1003"/>
        </w:numPr>
      </w:pPr>
      <w:r>
        <w:rPr>
          <w:b/>
          <w:bCs/>
        </w:rPr>
        <w:t xml:space="preserve">Licensing costs:</w:t>
      </w:r>
      <w:r>
        <w:t xml:space="preserve"> </w:t>
      </w:r>
      <w:r>
        <w:t xml:space="preserve">€48,000-€300,000+. Curacao ~€48k/year; Malta MGA €180k+ initial plus annual fees</w:t>
      </w:r>
    </w:p>
    <w:p>
      <w:pPr>
        <w:pStyle w:val="Compact"/>
        <w:numPr>
          <w:ilvl w:val="0"/>
          <w:numId w:val="1003"/>
        </w:numPr>
      </w:pPr>
      <w:r>
        <w:rPr>
          <w:b/>
          <w:bCs/>
        </w:rPr>
        <w:t xml:space="preserve">Payment processing:</w:t>
      </w:r>
      <w:r>
        <w:t xml:space="preserve"> </w:t>
      </w:r>
      <w:r>
        <w:t xml:space="preserve">3-5% of deposits. Plus PSP setup fees of €2,000-€10,000 per provider</w:t>
      </w:r>
    </w:p>
    <w:p>
      <w:pPr>
        <w:pStyle w:val="Compact"/>
        <w:numPr>
          <w:ilvl w:val="0"/>
          <w:numId w:val="1003"/>
        </w:numPr>
      </w:pPr>
      <w:r>
        <w:rPr>
          <w:b/>
          <w:bCs/>
        </w:rPr>
        <w:t xml:space="preserve">Game provider fees:</w:t>
      </w:r>
      <w:r>
        <w:t xml:space="preserve"> </w:t>
      </w:r>
      <w:r>
        <w:t xml:space="preserve">€500-€5,000/month per premium studio. Top content costs extra</w:t>
      </w:r>
    </w:p>
    <w:bookmarkEnd w:id="14"/>
    <w:bookmarkStart w:id="16" w:name="the-math-nobody-does-upfront"/>
    <w:p>
      <w:pPr>
        <w:pStyle w:val="Heading4"/>
      </w:pPr>
      <w:r>
        <w:t xml:space="preserve">The math nobody does upfront</w:t>
      </w:r>
    </w:p>
    <w:p>
      <w:pPr>
        <w:pStyle w:val="FirstParagraph"/>
      </w:pPr>
      <w:r>
        <w:t xml:space="preserve">Custom development sounds attractive for long-term control, but startup MVP projects run €50,000-€100,000 minimum, Scale-Up builds €100,000-€300,000, and enterprise programs €300,000-€1,000,000. Development timelines range from 8-12 weeks for a pilot to 32-72 weeks for enterprise. For a regulated EU brand, budget €1.5 million total.</w:t>
      </w:r>
    </w:p>
    <w:p>
      <w:pPr>
        <w:pStyle w:val="BodyText"/>
      </w:pPr>
      <w:r>
        <w:rPr>
          <w:i/>
          <w:iCs/>
        </w:rPr>
        <w:t xml:space="preserve">Prices based on 2026 market data. Always request total cost projections at multiple revenue levels before signing.</w:t>
      </w:r>
    </w:p>
    <w:p>
      <w:pPr>
        <w:pStyle w:val="BodyText"/>
      </w:pPr>
      <w:r>
        <w:t xml:space="preserve">Related:</w:t>
      </w:r>
      <w:r>
        <w:t xml:space="preserve"> </w:t>
      </w:r>
      <w:hyperlink r:id="rId15">
        <w:r>
          <w:rPr>
            <w:rStyle w:val="Hyperlink"/>
          </w:rPr>
          <w:t xml:space="preserve">Turnkey Platforms</w:t>
        </w:r>
      </w:hyperlink>
      <w:r>
        <w:t xml:space="preserve"> </w:t>
      </w:r>
      <w:r>
        <w:t xml:space="preserve">|</w:t>
      </w:r>
      <w:r>
        <w:t xml:space="preserve"> </w:t>
      </w:r>
      <w:hyperlink r:id="rId12">
        <w:r>
          <w:rPr>
            <w:rStyle w:val="Hyperlink"/>
          </w:rPr>
          <w:t xml:space="preserve">White Label Solutions</w:t>
        </w:r>
      </w:hyperlink>
    </w:p>
    <w:p>
      <w:r>
        <w:pict>
          <v:rect style="width:0;height:1.5pt" o:hralign="center" o:hrstd="t" o:hr="t"/>
        </w:pict>
      </w:r>
    </w:p>
    <w:bookmarkEnd w:id="16"/>
    <w:bookmarkStart w:id="20" w:name="X2256f3f03c761d64ee8e28a51424ce37e3d5bc4"/>
    <w:p>
      <w:pPr>
        <w:pStyle w:val="Heading3"/>
      </w:pPr>
      <w:r>
        <w:t xml:space="preserve">What are the hidden costs of a casino platform?</w:t>
      </w:r>
    </w:p>
    <w:p>
      <w:pPr>
        <w:pStyle w:val="FirstParagraph"/>
      </w:pPr>
      <w:r>
        <w:t xml:space="preserve">The advertised platform fee is typically 30-50% of your real first-year cost. Budget for €200,000-€500,000 total, not the €30,000 in the sales deck.</w:t>
      </w:r>
    </w:p>
    <w:bookmarkStart w:id="17" w:name="commonly-overlooked-costs"/>
    <w:p>
      <w:pPr>
        <w:pStyle w:val="Heading4"/>
      </w:pPr>
      <w:r>
        <w:t xml:space="preserve">Commonly overlooked costs</w:t>
      </w:r>
    </w:p>
    <w:p>
      <w:pPr>
        <w:pStyle w:val="Compact"/>
        <w:numPr>
          <w:ilvl w:val="0"/>
          <w:numId w:val="1004"/>
        </w:numPr>
      </w:pPr>
      <w:r>
        <w:rPr>
          <w:b/>
          <w:bCs/>
        </w:rPr>
        <w:t xml:space="preserve">Game provider integration fees:</w:t>
      </w:r>
      <w:r>
        <w:t xml:space="preserve"> </w:t>
      </w:r>
      <w:r>
        <w:t xml:space="preserve">€2,000-€10,000 per studio. Premium providers like Evolution or Pragmatic often charge separately</w:t>
      </w:r>
    </w:p>
    <w:p>
      <w:pPr>
        <w:pStyle w:val="Compact"/>
        <w:numPr>
          <w:ilvl w:val="0"/>
          <w:numId w:val="1004"/>
        </w:numPr>
      </w:pPr>
      <w:r>
        <w:rPr>
          <w:b/>
          <w:bCs/>
        </w:rPr>
        <w:t xml:space="preserve">PSP setup and rolling reserves:</w:t>
      </w:r>
      <w:r>
        <w:t xml:space="preserve"> </w:t>
      </w:r>
      <w:r>
        <w:t xml:space="preserve">€5,000-€15,000 locked up. 5-10% held for 6 months affects cash flow</w:t>
      </w:r>
    </w:p>
    <w:p>
      <w:pPr>
        <w:pStyle w:val="Compact"/>
        <w:numPr>
          <w:ilvl w:val="0"/>
          <w:numId w:val="1004"/>
        </w:numPr>
      </w:pPr>
      <w:r>
        <w:rPr>
          <w:b/>
          <w:bCs/>
        </w:rPr>
        <w:t xml:space="preserve">Compliance and auditing:</w:t>
      </w:r>
      <w:r>
        <w:t xml:space="preserve"> </w:t>
      </w:r>
      <w:r>
        <w:t xml:space="preserve">€10,000-€40,000/year. RNG certification, game testing, annual audits</w:t>
      </w:r>
    </w:p>
    <w:p>
      <w:pPr>
        <w:pStyle w:val="Compact"/>
        <w:numPr>
          <w:ilvl w:val="0"/>
          <w:numId w:val="1004"/>
        </w:numPr>
      </w:pPr>
      <w:r>
        <w:rPr>
          <w:b/>
          <w:bCs/>
        </w:rPr>
        <w:t xml:space="preserve">Localization per market:</w:t>
      </w:r>
      <w:r>
        <w:t xml:space="preserve"> </w:t>
      </w:r>
      <w:r>
        <w:t xml:space="preserve">€3,000-€8,000 per language.</w:t>
      </w:r>
      <w:r>
        <w:t xml:space="preserve"> </w:t>
      </w:r>
      <w:r>
        <w:t xml:space="preserve">“Multi-language support”</w:t>
      </w:r>
      <w:r>
        <w:t xml:space="preserve"> </w:t>
      </w:r>
      <w:r>
        <w:t xml:space="preserve">has limits</w:t>
      </w:r>
    </w:p>
    <w:p>
      <w:pPr>
        <w:pStyle w:val="Compact"/>
        <w:numPr>
          <w:ilvl w:val="0"/>
          <w:numId w:val="1004"/>
        </w:numPr>
      </w:pPr>
      <w:r>
        <w:rPr>
          <w:b/>
          <w:bCs/>
        </w:rPr>
        <w:t xml:space="preserve">Marketing tools and CRM:</w:t>
      </w:r>
      <w:r>
        <w:t xml:space="preserve"> </w:t>
      </w:r>
      <w:r>
        <w:t xml:space="preserve">€500-€2,000/month. Often quoted as</w:t>
      </w:r>
      <w:r>
        <w:t xml:space="preserve"> </w:t>
      </w:r>
      <w:r>
        <w:t xml:space="preserve">“optional extras”</w:t>
      </w:r>
    </w:p>
    <w:p>
      <w:pPr>
        <w:pStyle w:val="Compact"/>
        <w:numPr>
          <w:ilvl w:val="0"/>
          <w:numId w:val="1004"/>
        </w:numPr>
      </w:pPr>
      <w:r>
        <w:rPr>
          <w:b/>
          <w:bCs/>
        </w:rPr>
        <w:t xml:space="preserve">Dedicated support tiers:</w:t>
      </w:r>
      <w:r>
        <w:t xml:space="preserve"> </w:t>
      </w:r>
      <w:r>
        <w:t xml:space="preserve">€2,000-€5,000/month. Premium SLA costs more</w:t>
      </w:r>
    </w:p>
    <w:bookmarkEnd w:id="17"/>
    <w:bookmarkStart w:id="19" w:name="how-to-protect-yourself"/>
    <w:p>
      <w:pPr>
        <w:pStyle w:val="Heading4"/>
      </w:pPr>
      <w:r>
        <w:t xml:space="preserve">How to protect yourself</w:t>
      </w:r>
    </w:p>
    <w:p>
      <w:pPr>
        <w:pStyle w:val="Compact"/>
        <w:numPr>
          <w:ilvl w:val="0"/>
          <w:numId w:val="1005"/>
        </w:numPr>
      </w:pPr>
      <w:r>
        <w:t xml:space="preserve">Request a complete fee schedule including all</w:t>
      </w:r>
      <w:r>
        <w:t xml:space="preserve"> </w:t>
      </w:r>
      <w:r>
        <w:t xml:space="preserve">“optional”</w:t>
      </w:r>
      <w:r>
        <w:t xml:space="preserve"> </w:t>
      </w:r>
      <w:r>
        <w:t xml:space="preserve">services before signing</w:t>
      </w:r>
    </w:p>
    <w:p>
      <w:pPr>
        <w:pStyle w:val="Compact"/>
        <w:numPr>
          <w:ilvl w:val="0"/>
          <w:numId w:val="1005"/>
        </w:numPr>
      </w:pPr>
      <w:r>
        <w:t xml:space="preserve">Calculate total monthly cost at €50k, €100k, and €200k NGR scenarios</w:t>
      </w:r>
    </w:p>
    <w:p>
      <w:pPr>
        <w:pStyle w:val="Compact"/>
        <w:numPr>
          <w:ilvl w:val="0"/>
          <w:numId w:val="1005"/>
        </w:numPr>
      </w:pPr>
      <w:r>
        <w:t xml:space="preserve">Get written confirmation on which game providers are included vs. extra</w:t>
      </w:r>
    </w:p>
    <w:p>
      <w:pPr>
        <w:pStyle w:val="Compact"/>
        <w:numPr>
          <w:ilvl w:val="0"/>
          <w:numId w:val="1005"/>
        </w:numPr>
      </w:pPr>
      <w:r>
        <w:t xml:space="preserve">Ask about minimum monthly commitments during slow periods</w:t>
      </w:r>
    </w:p>
    <w:p>
      <w:pPr>
        <w:pStyle w:val="FirstParagraph"/>
      </w:pPr>
      <w:r>
        <w:t xml:space="preserve">Related:</w:t>
      </w:r>
      <w:r>
        <w:t xml:space="preserve"> </w:t>
      </w:r>
      <w:hyperlink r:id="rId18">
        <w:r>
          <w:rPr>
            <w:rStyle w:val="Hyperlink"/>
          </w:rPr>
          <w:t xml:space="preserve">Payment Processing</w:t>
        </w:r>
      </w:hyperlink>
    </w:p>
    <w:p>
      <w:r>
        <w:pict>
          <v:rect style="width:0;height:1.5pt" o:hralign="center" o:hrstd="t" o:hr="t"/>
        </w:pict>
      </w:r>
    </w:p>
    <w:bookmarkEnd w:id="19"/>
    <w:bookmarkEnd w:id="20"/>
    <w:bookmarkEnd w:id="21"/>
    <w:bookmarkStart w:id="31" w:name="X357bfcd911ddcff31888dbd4b533e0a53420bf3"/>
    <w:p>
      <w:pPr>
        <w:pStyle w:val="Heading2"/>
      </w:pPr>
      <w:r>
        <w:t xml:space="preserve">What is the difference between a casino platform and an iGaming platform?</w:t>
      </w:r>
    </w:p>
    <w:p>
      <w:pPr>
        <w:pStyle w:val="FirstParagraph"/>
      </w:pPr>
      <w:r>
        <w:t xml:space="preserve">The fundamental difference is scope: a casino platform is specialized for casino verticals only (slots, table games, live dealer), while an iGaming platform is broader infrastructure supporting multiple verticals including sportsbook, lottery, poker, and casino within a single system.</w:t>
      </w:r>
    </w:p>
    <w:bookmarkStart w:id="22" w:name="casino-platform-characteristics"/>
    <w:p>
      <w:pPr>
        <w:pStyle w:val="Heading4"/>
      </w:pPr>
      <w:r>
        <w:t xml:space="preserve">Casino platform characteristics</w:t>
      </w:r>
    </w:p>
    <w:p>
      <w:pPr>
        <w:pStyle w:val="Compact"/>
        <w:numPr>
          <w:ilvl w:val="0"/>
          <w:numId w:val="1006"/>
        </w:numPr>
      </w:pPr>
      <w:r>
        <w:t xml:space="preserve">Purpose-built for casino player behavior and engagement patterns</w:t>
      </w:r>
    </w:p>
    <w:p>
      <w:pPr>
        <w:pStyle w:val="Compact"/>
        <w:numPr>
          <w:ilvl w:val="0"/>
          <w:numId w:val="1006"/>
        </w:numPr>
      </w:pPr>
      <w:r>
        <w:t xml:space="preserve">Optimized bonus engine for free spins, cashback, and slot tournaments</w:t>
      </w:r>
    </w:p>
    <w:p>
      <w:pPr>
        <w:pStyle w:val="Compact"/>
        <w:numPr>
          <w:ilvl w:val="0"/>
          <w:numId w:val="1006"/>
        </w:numPr>
      </w:pPr>
      <w:r>
        <w:t xml:space="preserve">Deep integration with casino game aggregators</w:t>
      </w:r>
    </w:p>
    <w:p>
      <w:pPr>
        <w:pStyle w:val="Compact"/>
        <w:numPr>
          <w:ilvl w:val="0"/>
          <w:numId w:val="1006"/>
        </w:numPr>
      </w:pPr>
      <w:r>
        <w:t xml:space="preserve">Lobby management designed for game discovery and categories</w:t>
      </w:r>
    </w:p>
    <w:p>
      <w:pPr>
        <w:pStyle w:val="Compact"/>
        <w:numPr>
          <w:ilvl w:val="0"/>
          <w:numId w:val="1006"/>
        </w:numPr>
      </w:pPr>
      <w:r>
        <w:t xml:space="preserve">Typically lower complexity and faster implementation</w:t>
      </w:r>
    </w:p>
    <w:bookmarkEnd w:id="22"/>
    <w:bookmarkStart w:id="23" w:name="igaming-platform-characteristics"/>
    <w:p>
      <w:pPr>
        <w:pStyle w:val="Heading4"/>
      </w:pPr>
      <w:r>
        <w:t xml:space="preserve">iGaming platform characteristics</w:t>
      </w:r>
    </w:p>
    <w:p>
      <w:pPr>
        <w:pStyle w:val="Compact"/>
        <w:numPr>
          <w:ilvl w:val="0"/>
          <w:numId w:val="1007"/>
        </w:numPr>
      </w:pPr>
      <w:r>
        <w:t xml:space="preserve">Multi-vertical support (casino + sportsbook + poker + lottery)</w:t>
      </w:r>
    </w:p>
    <w:p>
      <w:pPr>
        <w:pStyle w:val="Compact"/>
        <w:numPr>
          <w:ilvl w:val="0"/>
          <w:numId w:val="1007"/>
        </w:numPr>
      </w:pPr>
      <w:r>
        <w:t xml:space="preserve">Single wallet across all products</w:t>
      </w:r>
    </w:p>
    <w:p>
      <w:pPr>
        <w:pStyle w:val="Compact"/>
        <w:numPr>
          <w:ilvl w:val="0"/>
          <w:numId w:val="1007"/>
        </w:numPr>
      </w:pPr>
      <w:r>
        <w:t xml:space="preserve">Unified player account management</w:t>
      </w:r>
    </w:p>
    <w:p>
      <w:pPr>
        <w:pStyle w:val="Compact"/>
        <w:numPr>
          <w:ilvl w:val="0"/>
          <w:numId w:val="1007"/>
        </w:numPr>
      </w:pPr>
      <w:r>
        <w:t xml:space="preserve">More complex architecture and longer implementation</w:t>
      </w:r>
    </w:p>
    <w:p>
      <w:pPr>
        <w:pStyle w:val="Compact"/>
        <w:numPr>
          <w:ilvl w:val="0"/>
          <w:numId w:val="1007"/>
        </w:numPr>
      </w:pPr>
      <w:r>
        <w:t xml:space="preserve">Higher cost but better for operators wanting multiple verticals</w:t>
      </w:r>
    </w:p>
    <w:bookmarkEnd w:id="23"/>
    <w:bookmarkStart w:id="24" w:name="when-each-makes-sense"/>
    <w:p>
      <w:pPr>
        <w:pStyle w:val="Heading4"/>
      </w:pPr>
      <w:r>
        <w:t xml:space="preserve">When each makes sense</w:t>
      </w:r>
    </w:p>
    <w:p>
      <w:pPr>
        <w:pStyle w:val="FirstParagraph"/>
      </w:pPr>
      <w:r>
        <w:t xml:space="preserve">Choose a</w:t>
      </w:r>
      <w:r>
        <w:t xml:space="preserve"> </w:t>
      </w:r>
      <w:r>
        <w:rPr>
          <w:b/>
          <w:bCs/>
        </w:rPr>
        <w:t xml:space="preserve">casino platform</w:t>
      </w:r>
      <w:r>
        <w:t xml:space="preserve"> </w:t>
      </w:r>
      <w:r>
        <w:t xml:space="preserve">if you’re focused exclusively on casino, want faster time-to-market, or have a marketing-led strategy targeting slot players specifically.</w:t>
      </w:r>
    </w:p>
    <w:p>
      <w:pPr>
        <w:pStyle w:val="BodyText"/>
      </w:pPr>
      <w:r>
        <w:t xml:space="preserve">Choose an</w:t>
      </w:r>
      <w:r>
        <w:t xml:space="preserve"> </w:t>
      </w:r>
      <w:r>
        <w:rPr>
          <w:b/>
          <w:bCs/>
        </w:rPr>
        <w:t xml:space="preserve">iGaming platform</w:t>
      </w:r>
      <w:r>
        <w:t xml:space="preserve"> </w:t>
      </w:r>
      <w:r>
        <w:t xml:space="preserve">if you plan to offer sportsbook alongside casino, want cross-vertical player management, or are building a multi-product brand from the start.</w:t>
      </w:r>
    </w:p>
    <w:bookmarkEnd w:id="24"/>
    <w:bookmarkStart w:id="26" w:name="the-trade-off-nobody-mentions"/>
    <w:p>
      <w:pPr>
        <w:pStyle w:val="Heading4"/>
      </w:pPr>
      <w:r>
        <w:t xml:space="preserve">The trade-off nobody mentions</w:t>
      </w:r>
    </w:p>
    <w:p>
      <w:pPr>
        <w:pStyle w:val="FirstParagraph"/>
      </w:pPr>
      <w:r>
        <w:t xml:space="preserve">Adding sportsbook later to a casino-only platform often means re-platforming entirely. If there’s any chance you’ll expand to sports betting, factor that into your initial platform decision.</w:t>
      </w:r>
    </w:p>
    <w:p>
      <w:pPr>
        <w:pStyle w:val="BodyText"/>
      </w:pPr>
      <w:r>
        <w:t xml:space="preserve">Related:</w:t>
      </w:r>
      <w:r>
        <w:t xml:space="preserve"> </w:t>
      </w:r>
      <w:hyperlink r:id="rId11">
        <w:r>
          <w:rPr>
            <w:rStyle w:val="Hyperlink"/>
          </w:rPr>
          <w:t xml:space="preserve">iGaming Platforms</w:t>
        </w:r>
      </w:hyperlink>
      <w:r>
        <w:t xml:space="preserve"> </w:t>
      </w:r>
      <w:r>
        <w:t xml:space="preserve">|</w:t>
      </w:r>
      <w:r>
        <w:t xml:space="preserve"> </w:t>
      </w:r>
      <w:hyperlink r:id="rId25">
        <w:r>
          <w:rPr>
            <w:rStyle w:val="Hyperlink"/>
          </w:rPr>
          <w:t xml:space="preserve">Sportsbook Platforms</w:t>
        </w:r>
      </w:hyperlink>
    </w:p>
    <w:p>
      <w:r>
        <w:pict>
          <v:rect style="width:0;height:1.5pt" o:hralign="center" o:hrstd="t" o:hr="t"/>
        </w:pict>
      </w:r>
    </w:p>
    <w:bookmarkEnd w:id="26"/>
    <w:bookmarkStart w:id="30" w:name="X58e8ebc9f7dd3827b6eff13858764afabfcd00c"/>
    <w:p>
      <w:pPr>
        <w:pStyle w:val="Heading3"/>
      </w:pPr>
      <w:r>
        <w:t xml:space="preserve">When should I upgrade from white-label to a standalone casino platform?</w:t>
      </w:r>
    </w:p>
    <w:p>
      <w:pPr>
        <w:pStyle w:val="FirstParagraph"/>
      </w:pPr>
      <w:r>
        <w:t xml:space="preserve">Consider upgrading when revenue share exceeds €30,000-€40,000/month consistently, you need features your white-label provider won’t build, or you’re hitting game integration limitations. Most successful operators make this transition at 18-30 months.</w:t>
      </w:r>
    </w:p>
    <w:bookmarkStart w:id="27" w:name="clear-signals-its-time"/>
    <w:p>
      <w:pPr>
        <w:pStyle w:val="Heading4"/>
      </w:pPr>
      <w:r>
        <w:t xml:space="preserve">Clear signals it’s time</w:t>
      </w:r>
    </w:p>
    <w:p>
      <w:pPr>
        <w:pStyle w:val="Compact"/>
        <w:numPr>
          <w:ilvl w:val="0"/>
          <w:numId w:val="1008"/>
        </w:numPr>
      </w:pPr>
      <w:r>
        <w:rPr>
          <w:b/>
          <w:bCs/>
        </w:rPr>
        <w:t xml:space="preserve">Financial:</w:t>
      </w:r>
      <w:r>
        <w:t xml:space="preserve"> </w:t>
      </w:r>
      <w:r>
        <w:t xml:space="preserve">Revenue share payments exceed €35,000/month (€420k/year). You could fund a standalone platform from 12-18 months of saved revenue share.</w:t>
      </w:r>
    </w:p>
    <w:p>
      <w:pPr>
        <w:pStyle w:val="Compact"/>
        <w:numPr>
          <w:ilvl w:val="0"/>
          <w:numId w:val="1008"/>
        </w:numPr>
      </w:pPr>
      <w:r>
        <w:rPr>
          <w:b/>
          <w:bCs/>
        </w:rPr>
        <w:t xml:space="preserve">Operational:</w:t>
      </w:r>
      <w:r>
        <w:t xml:space="preserve"> </w:t>
      </w:r>
      <w:r>
        <w:t xml:space="preserve">You need specific game providers your white-label doesn’t support, or require custom bonus mechanics they won’t develop.</w:t>
      </w:r>
    </w:p>
    <w:p>
      <w:pPr>
        <w:pStyle w:val="Compact"/>
        <w:numPr>
          <w:ilvl w:val="0"/>
          <w:numId w:val="1008"/>
        </w:numPr>
      </w:pPr>
      <w:r>
        <w:rPr>
          <w:b/>
          <w:bCs/>
        </w:rPr>
        <w:t xml:space="preserve">Strategic:</w:t>
      </w:r>
      <w:r>
        <w:t xml:space="preserve"> </w:t>
      </w:r>
      <w:r>
        <w:t xml:space="preserve">Building a sellable asset (white-labels are harder to value), establishing direct payment provider relationships for better rates.</w:t>
      </w:r>
    </w:p>
    <w:bookmarkEnd w:id="27"/>
    <w:bookmarkStart w:id="29" w:name="dont-upgrade-too-early"/>
    <w:p>
      <w:pPr>
        <w:pStyle w:val="Heading4"/>
      </w:pPr>
      <w:r>
        <w:t xml:space="preserve">Don’t upgrade too early</w:t>
      </w:r>
    </w:p>
    <w:p>
      <w:pPr>
        <w:pStyle w:val="FirstParagraph"/>
      </w:pPr>
      <w:r>
        <w:t xml:space="preserve">The operational complexity of running your own platform only makes sense at scale. Below €80,000 monthly NGR, white-label’s simplicity usually outweighs its costs. Factor in that you’ll need compliance staff, technical resources, and licensing expertise.</w:t>
      </w:r>
    </w:p>
    <w:p>
      <w:pPr>
        <w:pStyle w:val="BodyText"/>
      </w:pPr>
      <w:r>
        <w:t xml:space="preserve">Related:</w:t>
      </w:r>
      <w:r>
        <w:t xml:space="preserve"> </w:t>
      </w:r>
      <w:hyperlink r:id="rId12">
        <w:r>
          <w:rPr>
            <w:rStyle w:val="Hyperlink"/>
          </w:rPr>
          <w:t xml:space="preserve">White Label Solutions</w:t>
        </w:r>
      </w:hyperlink>
      <w:r>
        <w:t xml:space="preserve"> </w:t>
      </w:r>
      <w:r>
        <w:t xml:space="preserve">|</w:t>
      </w:r>
      <w:r>
        <w:t xml:space="preserve"> </w:t>
      </w:r>
      <w:hyperlink r:id="rId28">
        <w:r>
          <w:rPr>
            <w:rStyle w:val="Hyperlink"/>
          </w:rPr>
          <w:t xml:space="preserve">Licensing &amp; Regulatory Consulting</w:t>
        </w:r>
      </w:hyperlink>
    </w:p>
    <w:p>
      <w:r>
        <w:pict>
          <v:rect style="width:0;height:1.5pt" o:hralign="center" o:hrstd="t" o:hr="t"/>
        </w:pict>
      </w:r>
    </w:p>
    <w:bookmarkEnd w:id="29"/>
    <w:bookmarkEnd w:id="30"/>
    <w:bookmarkEnd w:id="31"/>
    <w:bookmarkStart w:id="35" w:name="Xcc9b95c1a10fa855618959de0f52f70d9647702"/>
    <w:p>
      <w:pPr>
        <w:pStyle w:val="Heading2"/>
      </w:pPr>
      <w:r>
        <w:t xml:space="preserve">How long does it take to launch on a casino platform?</w:t>
      </w:r>
    </w:p>
    <w:p>
      <w:pPr>
        <w:pStyle w:val="FirstParagraph"/>
      </w:pPr>
      <w:r>
        <w:t xml:space="preserve">Providers promise 4-12 weeks depending on the delivery model, and that’s technically possible—but plan for 8-20 weeks in reality. The platform configuration is the fast part; licensing, payments, and game integrations take longer than expected.</w:t>
      </w:r>
    </w:p>
    <w:bookmarkStart w:id="32" w:name="what-the-timeline-actually-looks-like"/>
    <w:p>
      <w:pPr>
        <w:pStyle w:val="Heading4"/>
      </w:pPr>
      <w:r>
        <w:t xml:space="preserve">What the timeline actually looks like</w:t>
      </w:r>
    </w:p>
    <w:p>
      <w:pPr>
        <w:pStyle w:val="Compact"/>
        <w:numPr>
          <w:ilvl w:val="0"/>
          <w:numId w:val="1009"/>
        </w:numPr>
      </w:pPr>
      <w:r>
        <w:rPr>
          <w:b/>
          <w:bCs/>
        </w:rPr>
        <w:t xml:space="preserve">Platform selection and contract:</w:t>
      </w:r>
      <w:r>
        <w:t xml:space="preserve"> </w:t>
      </w:r>
      <w:r>
        <w:t xml:space="preserve">Provider promises 1-2 weeks, reality is 2-4 weeks due to legal review and negotiation</w:t>
      </w:r>
    </w:p>
    <w:p>
      <w:pPr>
        <w:pStyle w:val="Compact"/>
        <w:numPr>
          <w:ilvl w:val="0"/>
          <w:numId w:val="1009"/>
        </w:numPr>
      </w:pPr>
      <w:r>
        <w:rPr>
          <w:b/>
          <w:bCs/>
        </w:rPr>
        <w:t xml:space="preserve">Platform configuration:</w:t>
      </w:r>
      <w:r>
        <w:t xml:space="preserve"> </w:t>
      </w:r>
      <w:r>
        <w:t xml:space="preserve">Provider promises 2-4 weeks, reality is 3-6 weeks due to customization decisions</w:t>
      </w:r>
    </w:p>
    <w:p>
      <w:pPr>
        <w:pStyle w:val="Compact"/>
        <w:numPr>
          <w:ilvl w:val="0"/>
          <w:numId w:val="1009"/>
        </w:numPr>
      </w:pPr>
      <w:r>
        <w:rPr>
          <w:b/>
          <w:bCs/>
        </w:rPr>
        <w:t xml:space="preserve">Game provider integrations:</w:t>
      </w:r>
      <w:r>
        <w:t xml:space="preserve"> </w:t>
      </w:r>
      <w:r>
        <w:t xml:space="preserve">Provider promises 2-3 weeks, reality is 4-8 weeks due to individual studio onboarding</w:t>
      </w:r>
    </w:p>
    <w:p>
      <w:pPr>
        <w:pStyle w:val="Compact"/>
        <w:numPr>
          <w:ilvl w:val="0"/>
          <w:numId w:val="1009"/>
        </w:numPr>
      </w:pPr>
      <w:r>
        <w:rPr>
          <w:b/>
          <w:bCs/>
        </w:rPr>
        <w:t xml:space="preserve">Payment provider setup:</w:t>
      </w:r>
      <w:r>
        <w:t xml:space="preserve"> </w:t>
      </w:r>
      <w:r>
        <w:t xml:space="preserve">Provider promises 2-3 weeks, reality is 4-8 weeks due to PSP KYC requirements</w:t>
      </w:r>
    </w:p>
    <w:p>
      <w:pPr>
        <w:pStyle w:val="Compact"/>
        <w:numPr>
          <w:ilvl w:val="0"/>
          <w:numId w:val="1009"/>
        </w:numPr>
      </w:pPr>
      <w:r>
        <w:rPr>
          <w:b/>
          <w:bCs/>
        </w:rPr>
        <w:t xml:space="preserve">Licensing (if required):</w:t>
      </w:r>
      <w:r>
        <w:t xml:space="preserve"> </w:t>
      </w:r>
      <w:r>
        <w:t xml:space="preserve">Curacao 6-8 weeks, Malta 3-6 months. Cannot run parallel if you need license first</w:t>
      </w:r>
    </w:p>
    <w:p>
      <w:pPr>
        <w:pStyle w:val="Compact"/>
        <w:numPr>
          <w:ilvl w:val="0"/>
          <w:numId w:val="1009"/>
        </w:numPr>
      </w:pPr>
      <w:r>
        <w:rPr>
          <w:b/>
          <w:bCs/>
        </w:rPr>
        <w:t xml:space="preserve">Testing and QA:</w:t>
      </w:r>
      <w:r>
        <w:t xml:space="preserve"> </w:t>
      </w:r>
      <w:r>
        <w:t xml:space="preserve">Provider promises 1-2 weeks, reality is 2-4 weeks for thorough UAT</w:t>
      </w:r>
    </w:p>
    <w:bookmarkEnd w:id="32"/>
    <w:bookmarkStart w:id="33" w:name="the-biggest-time-sink"/>
    <w:p>
      <w:pPr>
        <w:pStyle w:val="Heading4"/>
      </w:pPr>
      <w:r>
        <w:t xml:space="preserve">The biggest time sink</w:t>
      </w:r>
    </w:p>
    <w:p>
      <w:pPr>
        <w:pStyle w:val="FirstParagraph"/>
      </w:pPr>
      <w:r>
        <w:t xml:space="preserve">Payment provider onboarding. PSPs have their own due diligence requirements, and getting approved can take 6-8 weeks by itself. Start this process immediately. Don’t wait for the platform to be ready.</w:t>
      </w:r>
    </w:p>
    <w:bookmarkEnd w:id="33"/>
    <w:bookmarkStart w:id="34" w:name="speed-tips"/>
    <w:p>
      <w:pPr>
        <w:pStyle w:val="Heading4"/>
      </w:pPr>
      <w:r>
        <w:t xml:space="preserve">Speed tips</w:t>
      </w:r>
    </w:p>
    <w:p>
      <w:pPr>
        <w:pStyle w:val="Compact"/>
        <w:numPr>
          <w:ilvl w:val="0"/>
          <w:numId w:val="1010"/>
        </w:numPr>
      </w:pPr>
      <w:r>
        <w:t xml:space="preserve">Have all corporate documentation ready before platform selection</w:t>
      </w:r>
    </w:p>
    <w:p>
      <w:pPr>
        <w:pStyle w:val="Compact"/>
        <w:numPr>
          <w:ilvl w:val="0"/>
          <w:numId w:val="1010"/>
        </w:numPr>
      </w:pPr>
      <w:r>
        <w:t xml:space="preserve">Pre-select game providers and negotiate terms in parallel</w:t>
      </w:r>
    </w:p>
    <w:p>
      <w:pPr>
        <w:pStyle w:val="Compact"/>
        <w:numPr>
          <w:ilvl w:val="0"/>
          <w:numId w:val="1010"/>
        </w:numPr>
      </w:pPr>
      <w:r>
        <w:t xml:space="preserve">Begin PSP applications during contract negotiation</w:t>
      </w:r>
    </w:p>
    <w:p>
      <w:pPr>
        <w:pStyle w:val="Compact"/>
        <w:numPr>
          <w:ilvl w:val="0"/>
          <w:numId w:val="1010"/>
        </w:numPr>
      </w:pPr>
      <w:r>
        <w:t xml:space="preserve">Accept more default configurations; customize after launch</w:t>
      </w:r>
    </w:p>
    <w:p>
      <w:pPr>
        <w:pStyle w:val="FirstParagraph"/>
      </w:pPr>
      <w:r>
        <w:t xml:space="preserve">Related:</w:t>
      </w:r>
      <w:r>
        <w:t xml:space="preserve"> </w:t>
      </w:r>
      <w:hyperlink r:id="rId18">
        <w:r>
          <w:rPr>
            <w:rStyle w:val="Hyperlink"/>
          </w:rPr>
          <w:t xml:space="preserve">Payment Processing</w:t>
        </w:r>
      </w:hyperlink>
      <w:r>
        <w:t xml:space="preserve"> </w:t>
      </w:r>
      <w:r>
        <w:t xml:space="preserve">|</w:t>
      </w:r>
      <w:r>
        <w:t xml:space="preserve"> </w:t>
      </w:r>
      <w:hyperlink r:id="rId28">
        <w:r>
          <w:rPr>
            <w:rStyle w:val="Hyperlink"/>
          </w:rPr>
          <w:t xml:space="preserve">Licensing &amp; Regulatory Consulting</w:t>
        </w:r>
      </w:hyperlink>
    </w:p>
    <w:p>
      <w:r>
        <w:pict>
          <v:rect style="width:0;height:1.5pt" o:hralign="center" o:hrstd="t" o:hr="t"/>
        </w:pict>
      </w:r>
    </w:p>
    <w:bookmarkEnd w:id="34"/>
    <w:bookmarkEnd w:id="35"/>
    <w:bookmarkStart w:id="46" w:name="X24b09e501f1cee614b495589be08f574cb42a5b"/>
    <w:p>
      <w:pPr>
        <w:pStyle w:val="Heading2"/>
      </w:pPr>
      <w:r>
        <w:t xml:space="preserve">What are the risks and downsides of a casino platform?</w:t>
      </w:r>
    </w:p>
    <w:p>
      <w:pPr>
        <w:pStyle w:val="FirstParagraph"/>
      </w:pPr>
      <w:r>
        <w:t xml:space="preserve">Casino platforms’ advantages (specialized casino features, established integrations, faster launch) come with real trade-offs that providers understandably don’t emphasize.</w:t>
      </w:r>
    </w:p>
    <w:bookmarkStart w:id="37" w:name="genuine-disadvantages"/>
    <w:p>
      <w:pPr>
        <w:pStyle w:val="Heading4"/>
      </w:pPr>
      <w:r>
        <w:t xml:space="preserve">Genuine disadvantages</w:t>
      </w:r>
    </w:p>
    <w:p>
      <w:pPr>
        <w:pStyle w:val="FirstParagraph"/>
      </w:pPr>
      <w:r>
        <w:rPr>
          <w:b/>
          <w:bCs/>
        </w:rPr>
        <w:t xml:space="preserve">1. Vendor lock-in and migration costs</w:t>
      </w:r>
      <w:r>
        <w:t xml:space="preserve"> </w:t>
      </w:r>
      <w:r>
        <w:t xml:space="preserve">Switching platforms is painful and expensive. Your game provider contracts, payment integrations, and player data are tied to the platform architecture. Migration can take 6-12 months and cost €100,000-€300,000, not including revenue loss during transition.</w:t>
      </w:r>
    </w:p>
    <w:p>
      <w:pPr>
        <w:pStyle w:val="BodyText"/>
      </w:pPr>
      <w:r>
        <w:rPr>
          <w:b/>
          <w:bCs/>
        </w:rPr>
        <w:t xml:space="preserve">2. Security and compliance exposure</w:t>
      </w:r>
      <w:r>
        <w:t xml:space="preserve"> </w:t>
      </w:r>
      <w:r>
        <w:t xml:space="preserve">Cybersecurity threats are intensifying. The September 2023 MGM Resorts attack (which disrupted slot machines, payment systems, and reservations) cost an estimated $100 million. Online platforms face DDoS attacks, ransomware, and fraud attempts constantly. Your platform choice affects your security posture.</w:t>
      </w:r>
    </w:p>
    <w:p>
      <w:pPr>
        <w:pStyle w:val="BodyText"/>
      </w:pPr>
      <w:r>
        <w:rPr>
          <w:b/>
          <w:bCs/>
        </w:rPr>
        <w:t xml:space="preserve">3. Limited customization without premium pricing</w:t>
      </w:r>
      <w:r>
        <w:t xml:space="preserve"> </w:t>
      </w:r>
      <w:r>
        <w:t xml:space="preserve">Standard platform features rarely differentiate brands. The unique bonus mechanics or gamification features that actually drive retention typically require custom development at €50,000-€200,000 additional cost.</w:t>
      </w:r>
    </w:p>
    <w:p>
      <w:pPr>
        <w:pStyle w:val="BodyText"/>
      </w:pPr>
      <w:r>
        <w:rPr>
          <w:b/>
          <w:bCs/>
        </w:rPr>
        <w:t xml:space="preserve">4. Regulatory complexity scales with markets</w:t>
      </w:r>
      <w:r>
        <w:t xml:space="preserve"> </w:t>
      </w:r>
      <w:r>
        <w:t xml:space="preserve">Each new jurisdiction requires additional compliance work, often platform modifications. Europe and North America have strict gambling laws that lead to higher licensing fees, taxation, and operational costs. One platform doesn’t mean one compliance framework.</w:t>
      </w:r>
    </w:p>
    <w:p>
      <w:pPr>
        <w:pStyle w:val="BodyText"/>
      </w:pPr>
      <w:r>
        <w:rPr>
          <w:b/>
          <w:bCs/>
        </w:rPr>
        <w:t xml:space="preserve">5. Technology obsolescence risk</w:t>
      </w:r>
      <w:r>
        <w:t xml:space="preserve"> </w:t>
      </w:r>
      <w:r>
        <w:t xml:space="preserve">The iGaming technology landscape evolves rapidly. AI personalization, crypto integration, and mobile-first architecture are now baseline requirements. Platforms that were cutting-edge three years ago may now lack essential features.</w:t>
      </w:r>
    </w:p>
    <w:p>
      <w:pPr>
        <w:pStyle w:val="BodyText"/>
      </w:pPr>
      <w:r>
        <w:t xml:space="preserve">Despite these drawbacks, established casino platforms remain the right choice for most operators. Custom development carries even more risk. Just understand what you’re committing to.</w:t>
      </w:r>
    </w:p>
    <w:p>
      <w:pPr>
        <w:pStyle w:val="BodyText"/>
      </w:pPr>
      <w:r>
        <w:t xml:space="preserve">Related:</w:t>
      </w:r>
      <w:r>
        <w:t xml:space="preserve"> </w:t>
      </w:r>
      <w:hyperlink r:id="rId36">
        <w:r>
          <w:rPr>
            <w:rStyle w:val="Hyperlink"/>
          </w:rPr>
          <w:t xml:space="preserve">Compliance &amp; Regulatory Services</w:t>
        </w:r>
      </w:hyperlink>
    </w:p>
    <w:p>
      <w:r>
        <w:pict>
          <v:rect style="width:0;height:1.5pt" o:hralign="center" o:hrstd="t" o:hr="t"/>
        </w:pict>
      </w:r>
    </w:p>
    <w:bookmarkEnd w:id="37"/>
    <w:bookmarkStart w:id="41" w:name="Xb7b774f53a174803ca0b5e4379240ab459f138a"/>
    <w:p>
      <w:pPr>
        <w:pStyle w:val="Heading3"/>
      </w:pPr>
      <w:r>
        <w:t xml:space="preserve">What are red flags when choosing a casino platform provider?</w:t>
      </w:r>
    </w:p>
    <w:p>
      <w:pPr>
        <w:pStyle w:val="FirstParagraph"/>
      </w:pPr>
      <w:r>
        <w:t xml:space="preserve">The biggest warning signs are unclear pricing structures, unwillingness to provide reference clients, and vague SLA terms. These typically indicate either inexperience or hidden costs you’ll discover later.</w:t>
      </w:r>
    </w:p>
    <w:bookmarkStart w:id="38" w:name="red-flags-to-watch-for"/>
    <w:p>
      <w:pPr>
        <w:pStyle w:val="Heading4"/>
      </w:pPr>
      <w:r>
        <w:t xml:space="preserve">Red flags to watch for</w:t>
      </w:r>
    </w:p>
    <w:p>
      <w:pPr>
        <w:pStyle w:val="Compact"/>
        <w:numPr>
          <w:ilvl w:val="0"/>
          <w:numId w:val="1011"/>
        </w:numPr>
      </w:pPr>
      <w:r>
        <w:rPr>
          <w:b/>
          <w:bCs/>
        </w:rPr>
        <w:t xml:space="preserve">Won’t provide complete pricing upfront:</w:t>
      </w:r>
      <w:r>
        <w:t xml:space="preserve"> </w:t>
      </w:r>
      <w:r>
        <w:t xml:space="preserve">Legitimate providers have standardized pricing.</w:t>
      </w:r>
      <w:r>
        <w:t xml:space="preserve"> </w:t>
      </w:r>
      <w:r>
        <w:t xml:space="preserve">“It depends”</w:t>
      </w:r>
      <w:r>
        <w:t xml:space="preserve"> </w:t>
      </w:r>
      <w:r>
        <w:t xml:space="preserve">without specifics means fees you haven’t been told about yet.</w:t>
      </w:r>
    </w:p>
    <w:p>
      <w:pPr>
        <w:pStyle w:val="Compact"/>
        <w:numPr>
          <w:ilvl w:val="0"/>
          <w:numId w:val="1011"/>
        </w:numPr>
      </w:pPr>
      <w:r>
        <w:rPr>
          <w:b/>
          <w:bCs/>
        </w:rPr>
        <w:t xml:space="preserve">No verifiable operator references:</w:t>
      </w:r>
      <w:r>
        <w:t xml:space="preserve"> </w:t>
      </w:r>
      <w:r>
        <w:t xml:space="preserve">Any established provider should connect you with 2-3 current operators.</w:t>
      </w:r>
      <w:r>
        <w:t xml:space="preserve"> </w:t>
      </w:r>
      <w:r>
        <w:t xml:space="preserve">“Confidentiality”</w:t>
      </w:r>
      <w:r>
        <w:t xml:space="preserve"> </w:t>
      </w:r>
      <w:r>
        <w:t xml:space="preserve">is usually an excuse.</w:t>
      </w:r>
    </w:p>
    <w:p>
      <w:pPr>
        <w:pStyle w:val="Compact"/>
        <w:numPr>
          <w:ilvl w:val="0"/>
          <w:numId w:val="1011"/>
        </w:numPr>
      </w:pPr>
      <w:r>
        <w:rPr>
          <w:b/>
          <w:bCs/>
        </w:rPr>
        <w:t xml:space="preserve">Vague integration timelines:</w:t>
      </w:r>
      <w:r>
        <w:t xml:space="preserve"> </w:t>
      </w:r>
      <w:r>
        <w:t xml:space="preserve">“4-6 weeks”</w:t>
      </w:r>
      <w:r>
        <w:t xml:space="preserve"> </w:t>
      </w:r>
      <w:r>
        <w:t xml:space="preserve">without specifics about which game providers and PSPs are included. Get commitments in writing.</w:t>
      </w:r>
    </w:p>
    <w:p>
      <w:pPr>
        <w:pStyle w:val="Compact"/>
        <w:numPr>
          <w:ilvl w:val="0"/>
          <w:numId w:val="1011"/>
        </w:numPr>
      </w:pPr>
      <w:r>
        <w:rPr>
          <w:b/>
          <w:bCs/>
        </w:rPr>
        <w:t xml:space="preserve">No demo environment access:</w:t>
      </w:r>
      <w:r>
        <w:t xml:space="preserve"> </w:t>
      </w:r>
      <w:r>
        <w:t xml:space="preserve">You should test the actual back-office extensively before committing. Refusal suggests the product doesn’t match the pitch.</w:t>
      </w:r>
    </w:p>
    <w:p>
      <w:pPr>
        <w:pStyle w:val="Compact"/>
        <w:numPr>
          <w:ilvl w:val="0"/>
          <w:numId w:val="1011"/>
        </w:numPr>
      </w:pPr>
      <w:r>
        <w:rPr>
          <w:b/>
          <w:bCs/>
        </w:rPr>
        <w:t xml:space="preserve">Unclear data ownership terms:</w:t>
      </w:r>
      <w:r>
        <w:t xml:space="preserve"> </w:t>
      </w:r>
      <w:r>
        <w:t xml:space="preserve">Ask explicitly:</w:t>
      </w:r>
      <w:r>
        <w:t xml:space="preserve"> </w:t>
      </w:r>
      <w:r>
        <w:t xml:space="preserve">“If I leave, what happens to my player database and transaction history?”</w:t>
      </w:r>
    </w:p>
    <w:p>
      <w:pPr>
        <w:pStyle w:val="Compact"/>
        <w:numPr>
          <w:ilvl w:val="0"/>
          <w:numId w:val="1011"/>
        </w:numPr>
      </w:pPr>
      <w:r>
        <w:rPr>
          <w:b/>
          <w:bCs/>
        </w:rPr>
        <w:t xml:space="preserve">Missing compliance certifications:</w:t>
      </w:r>
      <w:r>
        <w:t xml:space="preserve"> </w:t>
      </w:r>
      <w:r>
        <w:t xml:space="preserve">Legitimate platforms have RNG certification, penetration testing reports, and regulatory approvals for target markets.</w:t>
      </w:r>
    </w:p>
    <w:bookmarkEnd w:id="38"/>
    <w:bookmarkStart w:id="40" w:name="due-diligence-essentials"/>
    <w:p>
      <w:pPr>
        <w:pStyle w:val="Heading4"/>
      </w:pPr>
      <w:r>
        <w:t xml:space="preserve">Due diligence essentials</w:t>
      </w:r>
    </w:p>
    <w:p>
      <w:pPr>
        <w:pStyle w:val="FirstParagraph"/>
      </w:pPr>
      <w:r>
        <w:t xml:space="preserve">Request three reference clients you can speak with directly, test the platform for at least two weeks, have a lawyer review exit terms and data ownership clauses.</w:t>
      </w:r>
    </w:p>
    <w:p>
      <w:pPr>
        <w:pStyle w:val="BodyText"/>
      </w:pPr>
      <w:r>
        <w:t xml:space="preserve">Related:</w:t>
      </w:r>
      <w:r>
        <w:t xml:space="preserve"> </w:t>
      </w:r>
      <w:hyperlink r:id="rId39">
        <w:r>
          <w:rPr>
            <w:rStyle w:val="Hyperlink"/>
          </w:rPr>
          <w:t xml:space="preserve">Game Testing &amp; Certification</w:t>
        </w:r>
      </w:hyperlink>
    </w:p>
    <w:p>
      <w:r>
        <w:pict>
          <v:rect style="width:0;height:1.5pt" o:hralign="center" o:hrstd="t" o:hr="t"/>
        </w:pict>
      </w:r>
    </w:p>
    <w:bookmarkEnd w:id="40"/>
    <w:bookmarkEnd w:id="41"/>
    <w:bookmarkStart w:id="45" w:name="Xae17f3a1f691767bb6662ea99b979db8ca58e79"/>
    <w:p>
      <w:pPr>
        <w:pStyle w:val="Heading3"/>
      </w:pPr>
      <w:r>
        <w:t xml:space="preserve">What mistakes do operators make when choosing a casino platform?</w:t>
      </w:r>
    </w:p>
    <w:p>
      <w:pPr>
        <w:pStyle w:val="FirstParagraph"/>
      </w:pPr>
      <w:r>
        <w:t xml:space="preserve">The most expensive mistake is choosing based on game count rather than operational reliability. A platform claiming 30,000+ games means nothing if integrations are unstable or support is slow.</w:t>
      </w:r>
    </w:p>
    <w:bookmarkStart w:id="42" w:name="common-mistakes"/>
    <w:p>
      <w:pPr>
        <w:pStyle w:val="Heading4"/>
      </w:pPr>
      <w:r>
        <w:t xml:space="preserve">Common mistakes</w:t>
      </w:r>
    </w:p>
    <w:p>
      <w:pPr>
        <w:numPr>
          <w:ilvl w:val="0"/>
          <w:numId w:val="1012"/>
        </w:numPr>
      </w:pPr>
      <w:r>
        <w:rPr>
          <w:b/>
          <w:bCs/>
        </w:rPr>
        <w:t xml:space="preserve">Optimizing for upfront cost over total cost of ownership:</w:t>
      </w:r>
      <w:r>
        <w:t xml:space="preserve"> </w:t>
      </w:r>
      <w:r>
        <w:t xml:space="preserve">A €15,000 setup with 25% revenue share costs more than €80,000 setup with 8% revenue share once you’re generating €100,000+ monthly NGR. Run the three-year math.</w:t>
      </w:r>
    </w:p>
    <w:p>
      <w:pPr>
        <w:numPr>
          <w:ilvl w:val="0"/>
          <w:numId w:val="1012"/>
        </w:numPr>
      </w:pPr>
      <w:r>
        <w:rPr>
          <w:b/>
          <w:bCs/>
        </w:rPr>
        <w:t xml:space="preserve">Ignoring payment provider compatibility:</w:t>
      </w:r>
      <w:r>
        <w:t xml:space="preserve"> </w:t>
      </w:r>
      <w:r>
        <w:t xml:space="preserve">Your platform must work with PSPs willing to serve gambling. Some platforms have limited payment integrations in key markets, forcing you into suboptimal processor relationships.</w:t>
      </w:r>
    </w:p>
    <w:p>
      <w:pPr>
        <w:numPr>
          <w:ilvl w:val="0"/>
          <w:numId w:val="1012"/>
        </w:numPr>
      </w:pPr>
      <w:r>
        <w:rPr>
          <w:b/>
          <w:bCs/>
        </w:rPr>
        <w:t xml:space="preserve">Underestimating mobile performance:</w:t>
      </w:r>
      <w:r>
        <w:t xml:space="preserve"> </w:t>
      </w:r>
      <w:r>
        <w:t xml:space="preserve">Up to 72% of online gambling now happens on mobile devices. Platforms without genuine mobile-first architecture lose players to friction and slow loading.</w:t>
      </w:r>
    </w:p>
    <w:p>
      <w:pPr>
        <w:numPr>
          <w:ilvl w:val="0"/>
          <w:numId w:val="1012"/>
        </w:numPr>
      </w:pPr>
      <w:r>
        <w:rPr>
          <w:b/>
          <w:bCs/>
        </w:rPr>
        <w:t xml:space="preserve">Assuming</w:t>
      </w:r>
      <w:r>
        <w:rPr>
          <w:b/>
          <w:bCs/>
        </w:rPr>
        <w:t xml:space="preserve"> </w:t>
      </w:r>
      <w:r>
        <w:rPr>
          <w:b/>
          <w:bCs/>
        </w:rPr>
        <w:t xml:space="preserve">“unlimited games”</w:t>
      </w:r>
      <w:r>
        <w:rPr>
          <w:b/>
          <w:bCs/>
        </w:rPr>
        <w:t xml:space="preserve"> </w:t>
      </w:r>
      <w:r>
        <w:rPr>
          <w:b/>
          <w:bCs/>
        </w:rPr>
        <w:t xml:space="preserve">means quality content:</w:t>
      </w:r>
      <w:r>
        <w:t xml:space="preserve"> </w:t>
      </w:r>
      <w:r>
        <w:t xml:space="preserve">Having API access to 15,000 games doesn’t mean you can afford to activate the top studios. Premium providers like Evolution, Pragmatic Play, and NetEnt have separate commercial terms.</w:t>
      </w:r>
    </w:p>
    <w:p>
      <w:pPr>
        <w:numPr>
          <w:ilvl w:val="0"/>
          <w:numId w:val="1012"/>
        </w:numPr>
      </w:pPr>
      <w:r>
        <w:rPr>
          <w:b/>
          <w:bCs/>
        </w:rPr>
        <w:t xml:space="preserve">Not testing the back-office extensively:</w:t>
      </w:r>
      <w:r>
        <w:t xml:space="preserve"> </w:t>
      </w:r>
      <w:r>
        <w:t xml:space="preserve">The player-facing lobby looks polished in demos. The back-office where you’ll spend 90% of your time managing the business? Often clunky. Test operations workflows before signing.</w:t>
      </w:r>
    </w:p>
    <w:bookmarkEnd w:id="42"/>
    <w:bookmarkStart w:id="44" w:name="how-to-avoid-these"/>
    <w:p>
      <w:pPr>
        <w:pStyle w:val="Heading4"/>
      </w:pPr>
      <w:r>
        <w:t xml:space="preserve">How to avoid these</w:t>
      </w:r>
    </w:p>
    <w:p>
      <w:pPr>
        <w:pStyle w:val="FirstParagraph"/>
      </w:pPr>
      <w:r>
        <w:t xml:space="preserve">Create a detailed operational requirements document before evaluating platforms. Prioritize reliability, support quality, and payment flexibility over game counts and marketing claims.</w:t>
      </w:r>
    </w:p>
    <w:p>
      <w:pPr>
        <w:pStyle w:val="BodyText"/>
      </w:pPr>
      <w:r>
        <w:t xml:space="preserve">Related:</w:t>
      </w:r>
      <w:r>
        <w:t xml:space="preserve"> </w:t>
      </w:r>
      <w:hyperlink r:id="rId43">
        <w:r>
          <w:rPr>
            <w:rStyle w:val="Hyperlink"/>
          </w:rPr>
          <w:t xml:space="preserve">Game Providers</w:t>
        </w:r>
      </w:hyperlink>
    </w:p>
    <w:p>
      <w:r>
        <w:pict>
          <v:rect style="width:0;height:1.5pt" o:hralign="center" o:hrstd="t" o:hr="t"/>
        </w:pict>
      </w:r>
    </w:p>
    <w:bookmarkEnd w:id="44"/>
    <w:bookmarkEnd w:id="45"/>
    <w:bookmarkEnd w:id="46"/>
    <w:bookmarkStart w:id="64" w:name="Xc6bb13416e521c131075aecbf44c6c1ae5664d7"/>
    <w:p>
      <w:pPr>
        <w:pStyle w:val="Heading2"/>
      </w:pPr>
      <w:r>
        <w:t xml:space="preserve">Who are the top casino platform providers in 2026?</w:t>
      </w:r>
    </w:p>
    <w:p>
      <w:pPr>
        <w:pStyle w:val="FirstParagraph"/>
      </w:pPr>
      <w:r>
        <w:t xml:space="preserve">The leading casino platform providers are SOFTSWISS, EveryMatrix, NuxGame, SoftGamings, and Slotegrator, but</w:t>
      </w:r>
      <w:r>
        <w:t xml:space="preserve"> </w:t>
      </w:r>
      <w:r>
        <w:t xml:space="preserve">“best”</w:t>
      </w:r>
      <w:r>
        <w:t xml:space="preserve"> </w:t>
      </w:r>
      <w:r>
        <w:t xml:space="preserve">depends entirely on your target market, budget, and whether you need casino-only or multi-vertical capabilities.</w:t>
      </w:r>
    </w:p>
    <w:bookmarkStart w:id="47" w:name="provider-overview"/>
    <w:p>
      <w:pPr>
        <w:pStyle w:val="Heading4"/>
      </w:pPr>
      <w:r>
        <w:t xml:space="preserve">Provider overview</w:t>
      </w:r>
    </w:p>
    <w:p>
      <w:pPr>
        <w:numPr>
          <w:ilvl w:val="0"/>
          <w:numId w:val="1013"/>
        </w:numPr>
      </w:pPr>
      <w:r>
        <w:rPr>
          <w:b/>
          <w:bCs/>
        </w:rPr>
        <w:t xml:space="preserve">SOFTSWISS:</w:t>
      </w:r>
      <w:r>
        <w:t xml:space="preserve"> </w:t>
      </w:r>
      <w:r>
        <w:t xml:space="preserve">Best for crypto and EU markets. Strengths: 36,000+ games from 300+ providers, pioneer in cryptocurrency integration, strong anti-fraud features. Limitations: Higher pricing tier, sometimes has waitlist for new clients. Price range: €30k-€100k setup.</w:t>
      </w:r>
    </w:p>
    <w:p>
      <w:pPr>
        <w:numPr>
          <w:ilvl w:val="0"/>
          <w:numId w:val="1013"/>
        </w:numPr>
      </w:pPr>
      <w:r>
        <w:rPr>
          <w:b/>
          <w:bCs/>
        </w:rPr>
        <w:t xml:space="preserve">EveryMatrix (CasinoEngine):</w:t>
      </w:r>
      <w:r>
        <w:t xml:space="preserve"> </w:t>
      </w:r>
      <w:r>
        <w:t xml:space="preserve">Best for regulated markets and enterprise scale. Strengths: 45,000+ games via SlotMatrix aggregator, modular architecture (pick only what you need), strong compliance tools. Limitations: Premium pricing, complex for smaller operators. Price range: €50k-€150k+ setup.</w:t>
      </w:r>
    </w:p>
    <w:p>
      <w:pPr>
        <w:numPr>
          <w:ilvl w:val="0"/>
          <w:numId w:val="1013"/>
        </w:numPr>
      </w:pPr>
      <w:r>
        <w:rPr>
          <w:b/>
          <w:bCs/>
        </w:rPr>
        <w:t xml:space="preserve">NuxGame:</w:t>
      </w:r>
      <w:r>
        <w:t xml:space="preserve"> </w:t>
      </w:r>
      <w:r>
        <w:t xml:space="preserve">Best for operators wanting casino + sportsbook. Strengths: All-in-one solution, competitive pricing, good crypto support. Limitations: Less established than tier-1 competitors, smaller game library. Price range: €20k-€60k setup.</w:t>
      </w:r>
    </w:p>
    <w:p>
      <w:pPr>
        <w:numPr>
          <w:ilvl w:val="0"/>
          <w:numId w:val="1013"/>
        </w:numPr>
      </w:pPr>
      <w:r>
        <w:rPr>
          <w:b/>
          <w:bCs/>
        </w:rPr>
        <w:t xml:space="preserve">SoftGamings:</w:t>
      </w:r>
      <w:r>
        <w:t xml:space="preserve"> </w:t>
      </w:r>
      <w:r>
        <w:t xml:space="preserve">Best for emerging markets. Strengths: 100+ payment methods, fast setup, cost-effective. Limitations: Less polished back-office than enterprise competitors. Price range: €15k-€50k setup.</w:t>
      </w:r>
    </w:p>
    <w:p>
      <w:pPr>
        <w:numPr>
          <w:ilvl w:val="0"/>
          <w:numId w:val="1013"/>
        </w:numPr>
      </w:pPr>
      <w:r>
        <w:rPr>
          <w:b/>
          <w:bCs/>
        </w:rPr>
        <w:t xml:space="preserve">Slotegrator:</w:t>
      </w:r>
      <w:r>
        <w:t xml:space="preserve"> </w:t>
      </w:r>
      <w:r>
        <w:t xml:space="preserve">Best for budget-conscious operators. Strengths: Competitive pricing, unified API aggregator (APIgrator) for rapid game integration. Limitations: Fewer premium studio partnerships. Price range: €12k-€40k setup.</w:t>
      </w:r>
    </w:p>
    <w:bookmarkEnd w:id="47"/>
    <w:bookmarkStart w:id="48" w:name="what-comparisons-dont-show"/>
    <w:p>
      <w:pPr>
        <w:pStyle w:val="Heading4"/>
      </w:pPr>
      <w:r>
        <w:t xml:space="preserve">What comparisons don’t show</w:t>
      </w:r>
    </w:p>
    <w:p>
      <w:pPr>
        <w:pStyle w:val="FirstParagraph"/>
      </w:pPr>
      <w:r>
        <w:t xml:space="preserve">All claim 99.9% uptime but few have meaningful SLA penalties.</w:t>
      </w:r>
      <w:r>
        <w:t xml:space="preserve"> </w:t>
      </w:r>
      <w:r>
        <w:t xml:space="preserve">“24/7 support”</w:t>
      </w:r>
      <w:r>
        <w:t xml:space="preserve"> </w:t>
      </w:r>
      <w:r>
        <w:t xml:space="preserve">quality varies enormously. Ask about response times and escalation procedures.</w:t>
      </w:r>
    </w:p>
    <w:bookmarkEnd w:id="48"/>
    <w:bookmarkStart w:id="50" w:name="how-to-actually-choose"/>
    <w:p>
      <w:pPr>
        <w:pStyle w:val="Heading4"/>
      </w:pPr>
      <w:r>
        <w:t xml:space="preserve">How to actually choose</w:t>
      </w:r>
    </w:p>
    <w:p>
      <w:pPr>
        <w:pStyle w:val="Compact"/>
        <w:numPr>
          <w:ilvl w:val="0"/>
          <w:numId w:val="1014"/>
        </w:numPr>
      </w:pPr>
      <w:r>
        <w:t xml:space="preserve">Define your primary markets and licensing requirements first</w:t>
      </w:r>
    </w:p>
    <w:p>
      <w:pPr>
        <w:pStyle w:val="Compact"/>
        <w:numPr>
          <w:ilvl w:val="0"/>
          <w:numId w:val="1014"/>
        </w:numPr>
      </w:pPr>
      <w:r>
        <w:t xml:space="preserve">Request extensive demo access—live in the back-office for a week</w:t>
      </w:r>
    </w:p>
    <w:p>
      <w:pPr>
        <w:pStyle w:val="Compact"/>
        <w:numPr>
          <w:ilvl w:val="0"/>
          <w:numId w:val="1014"/>
        </w:numPr>
      </w:pPr>
      <w:r>
        <w:t xml:space="preserve">Talk to 3+ current operators, not just provided references</w:t>
      </w:r>
    </w:p>
    <w:p>
      <w:pPr>
        <w:pStyle w:val="Compact"/>
        <w:numPr>
          <w:ilvl w:val="0"/>
          <w:numId w:val="1014"/>
        </w:numPr>
      </w:pPr>
      <w:r>
        <w:t xml:space="preserve">Calculate 3-year total cost including revenue share at realistic NGR projections</w:t>
      </w:r>
    </w:p>
    <w:p>
      <w:pPr>
        <w:pStyle w:val="FirstParagraph"/>
      </w:pPr>
      <w:r>
        <w:t xml:space="preserve">Related:</w:t>
      </w:r>
      <w:r>
        <w:t xml:space="preserve"> </w:t>
      </w:r>
      <w:hyperlink r:id="rId49">
        <w:r>
          <w:rPr>
            <w:rStyle w:val="Hyperlink"/>
          </w:rPr>
          <w:t xml:space="preserve">Casino Game Aggregators</w:t>
        </w:r>
      </w:hyperlink>
    </w:p>
    <w:p>
      <w:r>
        <w:pict>
          <v:rect style="width:0;height:1.5pt" o:hralign="center" o:hrstd="t" o:hr="t"/>
        </w:pict>
      </w:r>
    </w:p>
    <w:bookmarkEnd w:id="50"/>
    <w:bookmarkStart w:id="55" w:name="Xe48979629fd020bebc8ba843526ade2dab8cc90"/>
    <w:p>
      <w:pPr>
        <w:pStyle w:val="Heading3"/>
      </w:pPr>
      <w:r>
        <w:t xml:space="preserve">What about casino platforms for crypto casinos?</w:t>
      </w:r>
    </w:p>
    <w:p>
      <w:pPr>
        <w:pStyle w:val="FirstParagraph"/>
      </w:pPr>
      <w:r>
        <w:t xml:space="preserve">Crypto-focused casino platforms have become a distinct sub-market with specific providers, different player expectations, and unique operational considerations. If you’re targeting crypto players specifically, standard platforms may not be optimal.</w:t>
      </w:r>
    </w:p>
    <w:bookmarkStart w:id="51" w:name="crypto-specific-advantages"/>
    <w:p>
      <w:pPr>
        <w:pStyle w:val="Heading4"/>
      </w:pPr>
      <w:r>
        <w:t xml:space="preserve">Crypto-specific advantages</w:t>
      </w:r>
    </w:p>
    <w:p>
      <w:pPr>
        <w:pStyle w:val="Compact"/>
        <w:numPr>
          <w:ilvl w:val="0"/>
          <w:numId w:val="1015"/>
        </w:numPr>
      </w:pPr>
      <w:r>
        <w:t xml:space="preserve">Faster onboarding with minimal KYC (often just email verification)</w:t>
      </w:r>
    </w:p>
    <w:p>
      <w:pPr>
        <w:pStyle w:val="Compact"/>
        <w:numPr>
          <w:ilvl w:val="0"/>
          <w:numId w:val="1015"/>
        </w:numPr>
      </w:pPr>
      <w:r>
        <w:t xml:space="preserve">Lower transaction costs (no PSP fees, no chargebacks)</w:t>
      </w:r>
    </w:p>
    <w:p>
      <w:pPr>
        <w:pStyle w:val="Compact"/>
        <w:numPr>
          <w:ilvl w:val="0"/>
          <w:numId w:val="1015"/>
        </w:numPr>
      </w:pPr>
      <w:r>
        <w:t xml:space="preserve">Faster withdrawals (minutes vs. days for bank transfers)</w:t>
      </w:r>
    </w:p>
    <w:p>
      <w:pPr>
        <w:pStyle w:val="Compact"/>
        <w:numPr>
          <w:ilvl w:val="0"/>
          <w:numId w:val="1015"/>
        </w:numPr>
      </w:pPr>
      <w:r>
        <w:t xml:space="preserve">Access to markets where fiat gambling is restricted</w:t>
      </w:r>
    </w:p>
    <w:p>
      <w:pPr>
        <w:pStyle w:val="Compact"/>
        <w:numPr>
          <w:ilvl w:val="0"/>
          <w:numId w:val="1015"/>
        </w:numPr>
      </w:pPr>
      <w:r>
        <w:t xml:space="preserve">“Provably fair”</w:t>
      </w:r>
      <w:r>
        <w:t xml:space="preserve"> </w:t>
      </w:r>
      <w:r>
        <w:t xml:space="preserve">game mechanics that verify randomness on-chain</w:t>
      </w:r>
    </w:p>
    <w:bookmarkEnd w:id="51"/>
    <w:bookmarkStart w:id="52" w:name="reality-check"/>
    <w:p>
      <w:pPr>
        <w:pStyle w:val="Heading4"/>
      </w:pPr>
      <w:r>
        <w:t xml:space="preserve">Reality check</w:t>
      </w:r>
    </w:p>
    <w:p>
      <w:pPr>
        <w:pStyle w:val="Compact"/>
        <w:numPr>
          <w:ilvl w:val="0"/>
          <w:numId w:val="1016"/>
        </w:numPr>
      </w:pPr>
      <w:r>
        <w:t xml:space="preserve">Crypto player acquisition is intensely competitive. Everyone targets the same audience</w:t>
      </w:r>
    </w:p>
    <w:p>
      <w:pPr>
        <w:pStyle w:val="Compact"/>
        <w:numPr>
          <w:ilvl w:val="0"/>
          <w:numId w:val="1016"/>
        </w:numPr>
      </w:pPr>
      <w:r>
        <w:t xml:space="preserve">Revenue volatility when players deposit in BTC but you pay costs in EUR/USD</w:t>
      </w:r>
    </w:p>
    <w:p>
      <w:pPr>
        <w:pStyle w:val="Compact"/>
        <w:numPr>
          <w:ilvl w:val="0"/>
          <w:numId w:val="1016"/>
        </w:numPr>
      </w:pPr>
      <w:r>
        <w:t xml:space="preserve">Regulatory scrutiny increasing. Many jurisdictions now require crypto KYC</w:t>
      </w:r>
    </w:p>
    <w:p>
      <w:pPr>
        <w:pStyle w:val="Compact"/>
        <w:numPr>
          <w:ilvl w:val="0"/>
          <w:numId w:val="1016"/>
        </w:numPr>
      </w:pPr>
      <w:r>
        <w:t xml:space="preserve">Token and NFT gimmicks rarely drive sustainable traffic</w:t>
      </w:r>
    </w:p>
    <w:p>
      <w:pPr>
        <w:pStyle w:val="Compact"/>
        <w:numPr>
          <w:ilvl w:val="0"/>
          <w:numId w:val="1016"/>
        </w:numPr>
      </w:pPr>
      <w:r>
        <w:t xml:space="preserve">Liquidity requirements for instant crypto withdrawals</w:t>
      </w:r>
    </w:p>
    <w:bookmarkEnd w:id="52"/>
    <w:bookmarkStart w:id="54" w:name="specialized-providers"/>
    <w:p>
      <w:pPr>
        <w:pStyle w:val="Heading4"/>
      </w:pPr>
      <w:r>
        <w:t xml:space="preserve">Specialized providers</w:t>
      </w:r>
    </w:p>
    <w:p>
      <w:pPr>
        <w:pStyle w:val="FirstParagraph"/>
      </w:pPr>
      <w:r>
        <w:t xml:space="preserve">SOFTSWISS (handles majority of crypto casino volume, native crypto support), SoftGamings (strong crypto options, more affordable tier), NuxGame (integrated crypto payments). Most successful</w:t>
      </w:r>
      <w:r>
        <w:t xml:space="preserve"> </w:t>
      </w:r>
      <w:r>
        <w:t xml:space="preserve">“crypto casinos”</w:t>
      </w:r>
      <w:r>
        <w:t xml:space="preserve"> </w:t>
      </w:r>
      <w:r>
        <w:t xml:space="preserve">actually accept both crypto and fiat to maximize addressable market.</w:t>
      </w:r>
    </w:p>
    <w:p>
      <w:pPr>
        <w:pStyle w:val="BodyText"/>
      </w:pPr>
      <w:r>
        <w:t xml:space="preserve">Related:</w:t>
      </w:r>
      <w:r>
        <w:t xml:space="preserve"> </w:t>
      </w:r>
      <w:hyperlink r:id="rId53">
        <w:r>
          <w:rPr>
            <w:rStyle w:val="Hyperlink"/>
          </w:rPr>
          <w:t xml:space="preserve">Cryptocurrency Payments</w:t>
        </w:r>
      </w:hyperlink>
    </w:p>
    <w:p>
      <w:r>
        <w:pict>
          <v:rect style="width:0;height:1.5pt" o:hralign="center" o:hrstd="t" o:hr="t"/>
        </w:pict>
      </w:r>
    </w:p>
    <w:bookmarkEnd w:id="54"/>
    <w:bookmarkEnd w:id="55"/>
    <w:bookmarkStart w:id="58" w:name="X944eca1445e77b9ae0fd698854750f87260870b"/>
    <w:p>
      <w:pPr>
        <w:pStyle w:val="Heading3"/>
      </w:pPr>
      <w:r>
        <w:t xml:space="preserve">How is the casino platform market changing in 2026?</w:t>
      </w:r>
    </w:p>
    <w:p>
      <w:pPr>
        <w:pStyle w:val="FirstParagraph"/>
      </w:pPr>
      <w:r>
        <w:t xml:space="preserve">The casino platform market is consolidating around fewer, larger providers while AI integration and regulatory pressure increase. New operators face a more professional but more expensive landscape.</w:t>
      </w:r>
    </w:p>
    <w:bookmarkStart w:id="56" w:name="key-trends"/>
    <w:p>
      <w:pPr>
        <w:pStyle w:val="Heading4"/>
      </w:pPr>
      <w:r>
        <w:t xml:space="preserve">Key trends</w:t>
      </w:r>
    </w:p>
    <w:p>
      <w:pPr>
        <w:numPr>
          <w:ilvl w:val="0"/>
          <w:numId w:val="1017"/>
        </w:numPr>
      </w:pPr>
      <w:r>
        <w:rPr>
          <w:b/>
          <w:bCs/>
        </w:rPr>
        <w:t xml:space="preserve">AI personalization is now baseline:</w:t>
      </w:r>
      <w:r>
        <w:t xml:space="preserve"> </w:t>
      </w:r>
      <w:r>
        <w:t xml:space="preserve">Artificial intelligence personalizes lobbies, tailors bonuses in real-time, and adapts experiences to individual preferences. Platforms without AI capabilities are falling behind. This is no longer a differentiator. It’s expected.</w:t>
      </w:r>
    </w:p>
    <w:p>
      <w:pPr>
        <w:numPr>
          <w:ilvl w:val="0"/>
          <w:numId w:val="1017"/>
        </w:numPr>
      </w:pPr>
      <w:r>
        <w:rPr>
          <w:b/>
          <w:bCs/>
        </w:rPr>
        <w:t xml:space="preserve">Mobile-first has become mobile-only:</w:t>
      </w:r>
      <w:r>
        <w:t xml:space="preserve"> </w:t>
      </w:r>
      <w:r>
        <w:t xml:space="preserve">72%+ of casino traffic now comes from mobile devices. Platforms without excellent mobile performance are losing players. Desktop-responsive design isn’t enough. Native mobile experience is required.</w:t>
      </w:r>
    </w:p>
    <w:p>
      <w:pPr>
        <w:numPr>
          <w:ilvl w:val="0"/>
          <w:numId w:val="1017"/>
        </w:numPr>
      </w:pPr>
      <w:r>
        <w:rPr>
          <w:b/>
          <w:bCs/>
        </w:rPr>
        <w:t xml:space="preserve">Regulatory requirements are tightening globally:</w:t>
      </w:r>
      <w:r>
        <w:t xml:space="preserve"> </w:t>
      </w:r>
      <w:r>
        <w:t xml:space="preserve">Even Curacao-licensed operations face more KYC/AML requirements. The</w:t>
      </w:r>
      <w:r>
        <w:t xml:space="preserve"> </w:t>
      </w:r>
      <w:r>
        <w:t xml:space="preserve">“launch fast, worry later”</w:t>
      </w:r>
      <w:r>
        <w:t xml:space="preserve"> </w:t>
      </w:r>
      <w:r>
        <w:t xml:space="preserve">era is ending. Compliance-ready platforms command premium pricing.</w:t>
      </w:r>
    </w:p>
    <w:p>
      <w:pPr>
        <w:numPr>
          <w:ilvl w:val="0"/>
          <w:numId w:val="1017"/>
        </w:numPr>
      </w:pPr>
      <w:r>
        <w:rPr>
          <w:b/>
          <w:bCs/>
        </w:rPr>
        <w:t xml:space="preserve">Consolidation among providers:</w:t>
      </w:r>
      <w:r>
        <w:t xml:space="preserve"> </w:t>
      </w:r>
      <w:r>
        <w:t xml:space="preserve">Smaller platform providers are being acquired or shutting down. The market is consolidating around providers with the resources for continuous compliance updates and technology investment.</w:t>
      </w:r>
    </w:p>
    <w:p>
      <w:pPr>
        <w:numPr>
          <w:ilvl w:val="0"/>
          <w:numId w:val="1017"/>
        </w:numPr>
      </w:pPr>
      <w:r>
        <w:rPr>
          <w:b/>
          <w:bCs/>
        </w:rPr>
        <w:t xml:space="preserve">Crypto integration is standard, not special:</w:t>
      </w:r>
      <w:r>
        <w:t xml:space="preserve"> </w:t>
      </w:r>
      <w:r>
        <w:t xml:space="preserve">Every major provider now supports cryptocurrency. It’s table stakes, not a differentiator. The competitive advantage has shifted to which cryptos and how seamlessly.</w:t>
      </w:r>
    </w:p>
    <w:bookmarkEnd w:id="56"/>
    <w:bookmarkStart w:id="57" w:name="what-this-means-for-operators"/>
    <w:p>
      <w:pPr>
        <w:pStyle w:val="Heading4"/>
      </w:pPr>
      <w:r>
        <w:t xml:space="preserve">What this means for operators</w:t>
      </w:r>
    </w:p>
    <w:p>
      <w:pPr>
        <w:pStyle w:val="FirstParagraph"/>
      </w:pPr>
      <w:r>
        <w:t xml:space="preserve">Higher barriers to entry, more professional operations required from day one, and platform selection increasingly determines market access rather than just technology capabilities.</w:t>
      </w:r>
    </w:p>
    <w:p>
      <w:pPr>
        <w:pStyle w:val="BodyText"/>
      </w:pPr>
      <w:r>
        <w:t xml:space="preserve">Related:</w:t>
      </w:r>
      <w:r>
        <w:t xml:space="preserve"> </w:t>
      </w:r>
      <w:hyperlink r:id="rId28">
        <w:r>
          <w:rPr>
            <w:rStyle w:val="Hyperlink"/>
          </w:rPr>
          <w:t xml:space="preserve">Licensing &amp; Regulatory Consulting</w:t>
        </w:r>
      </w:hyperlink>
    </w:p>
    <w:p>
      <w:r>
        <w:pict>
          <v:rect style="width:0;height:1.5pt" o:hralign="center" o:hrstd="t" o:hr="t"/>
        </w:pict>
      </w:r>
    </w:p>
    <w:bookmarkEnd w:id="57"/>
    <w:bookmarkEnd w:id="58"/>
    <w:bookmarkStart w:id="63" w:name="Xfc095583b94621c62c1f2745631032b23a76d40"/>
    <w:p>
      <w:pPr>
        <w:pStyle w:val="Heading3"/>
      </w:pPr>
      <w:r>
        <w:t xml:space="preserve">How do I know if my casino platform is performing well?</w:t>
      </w:r>
    </w:p>
    <w:p>
      <w:pPr>
        <w:pStyle w:val="FirstParagraph"/>
      </w:pPr>
      <w:r>
        <w:t xml:space="preserve">Track conversion rates, player value, and technical performance, not just revenue. Most operators focus on top-line numbers while the metrics that actually indicate platform health deteriorate.</w:t>
      </w:r>
    </w:p>
    <w:bookmarkStart w:id="59" w:name="key-metrics-to-monitor"/>
    <w:p>
      <w:pPr>
        <w:pStyle w:val="Heading4"/>
      </w:pPr>
      <w:r>
        <w:t xml:space="preserve">Key metrics to monitor</w:t>
      </w:r>
    </w:p>
    <w:p>
      <w:pPr>
        <w:pStyle w:val="Compact"/>
        <w:numPr>
          <w:ilvl w:val="0"/>
          <w:numId w:val="1018"/>
        </w:numPr>
      </w:pPr>
      <w:r>
        <w:rPr>
          <w:b/>
          <w:bCs/>
        </w:rPr>
        <w:t xml:space="preserve">Platform uptime:</w:t>
      </w:r>
      <w:r>
        <w:t xml:space="preserve"> </w:t>
      </w:r>
      <w:r>
        <w:t xml:space="preserve">Target 99.9%+, warning sign below 99.5%, check daily. Even small downtime during peak hours costs significant revenue.</w:t>
      </w:r>
    </w:p>
    <w:p>
      <w:pPr>
        <w:pStyle w:val="Compact"/>
        <w:numPr>
          <w:ilvl w:val="0"/>
          <w:numId w:val="1018"/>
        </w:numPr>
      </w:pPr>
      <w:r>
        <w:rPr>
          <w:b/>
          <w:bCs/>
        </w:rPr>
        <w:t xml:space="preserve">Page load time:</w:t>
      </w:r>
      <w:r>
        <w:t xml:space="preserve"> </w:t>
      </w:r>
      <w:r>
        <w:t xml:space="preserve">Target under 2 seconds, warning sign above 4 seconds, check weekly. Mobile players abandon slow sites.</w:t>
      </w:r>
    </w:p>
    <w:p>
      <w:pPr>
        <w:pStyle w:val="Compact"/>
        <w:numPr>
          <w:ilvl w:val="0"/>
          <w:numId w:val="1018"/>
        </w:numPr>
      </w:pPr>
      <w:r>
        <w:rPr>
          <w:b/>
          <w:bCs/>
        </w:rPr>
        <w:t xml:space="preserve">Registration-to-deposit rate:</w:t>
      </w:r>
      <w:r>
        <w:t xml:space="preserve"> </w:t>
      </w:r>
      <w:r>
        <w:t xml:space="preserve">Healthy range 25-40%, warning sign below 20%, check weekly. Low rates indicate UX friction.</w:t>
      </w:r>
    </w:p>
    <w:p>
      <w:pPr>
        <w:pStyle w:val="Compact"/>
        <w:numPr>
          <w:ilvl w:val="0"/>
          <w:numId w:val="1018"/>
        </w:numPr>
      </w:pPr>
      <w:r>
        <w:rPr>
          <w:b/>
          <w:bCs/>
        </w:rPr>
        <w:t xml:space="preserve">Game launch success rate:</w:t>
      </w:r>
      <w:r>
        <w:t xml:space="preserve"> </w:t>
      </w:r>
      <w:r>
        <w:t xml:space="preserve">Target 99%+, warning sign below 97%, check daily. Failed game loads drive players to competitors.</w:t>
      </w:r>
    </w:p>
    <w:p>
      <w:pPr>
        <w:pStyle w:val="Compact"/>
        <w:numPr>
          <w:ilvl w:val="0"/>
          <w:numId w:val="1018"/>
        </w:numPr>
      </w:pPr>
      <w:r>
        <w:rPr>
          <w:b/>
          <w:bCs/>
        </w:rPr>
        <w:t xml:space="preserve">Payment success rate:</w:t>
      </w:r>
      <w:r>
        <w:t xml:space="preserve"> </w:t>
      </w:r>
      <w:r>
        <w:t xml:space="preserve">Target 95%+, warning sign below 90%, check daily. Failed deposits are lost revenue.</w:t>
      </w:r>
    </w:p>
    <w:bookmarkEnd w:id="59"/>
    <w:bookmarkStart w:id="60" w:name="platform-specific-red-flags"/>
    <w:p>
      <w:pPr>
        <w:pStyle w:val="Heading4"/>
      </w:pPr>
      <w:r>
        <w:t xml:space="preserve">Platform-specific red flags</w:t>
      </w:r>
    </w:p>
    <w:p>
      <w:pPr>
        <w:pStyle w:val="Compact"/>
        <w:numPr>
          <w:ilvl w:val="0"/>
          <w:numId w:val="1019"/>
        </w:numPr>
      </w:pPr>
      <w:r>
        <w:t xml:space="preserve">Increasing API errors with game providers</w:t>
      </w:r>
    </w:p>
    <w:p>
      <w:pPr>
        <w:pStyle w:val="Compact"/>
        <w:numPr>
          <w:ilvl w:val="0"/>
          <w:numId w:val="1019"/>
        </w:numPr>
      </w:pPr>
      <w:r>
        <w:t xml:space="preserve">Growing support ticket volume for technical issues</w:t>
      </w:r>
    </w:p>
    <w:p>
      <w:pPr>
        <w:pStyle w:val="Compact"/>
        <w:numPr>
          <w:ilvl w:val="0"/>
          <w:numId w:val="1019"/>
        </w:numPr>
      </w:pPr>
      <w:r>
        <w:t xml:space="preserve">Player complaints about slow withdrawals or game loading</w:t>
      </w:r>
    </w:p>
    <w:p>
      <w:pPr>
        <w:pStyle w:val="Compact"/>
        <w:numPr>
          <w:ilvl w:val="0"/>
          <w:numId w:val="1019"/>
        </w:numPr>
      </w:pPr>
      <w:r>
        <w:t xml:space="preserve">Back-office reporting delays or data inconsistencies</w:t>
      </w:r>
    </w:p>
    <w:p>
      <w:pPr>
        <w:pStyle w:val="Compact"/>
        <w:numPr>
          <w:ilvl w:val="0"/>
          <w:numId w:val="1019"/>
        </w:numPr>
      </w:pPr>
      <w:r>
        <w:t xml:space="preserve">Declining mobile conversion rates vs. desktop</w:t>
      </w:r>
    </w:p>
    <w:bookmarkEnd w:id="60"/>
    <w:bookmarkStart w:id="62" w:name="when-to-worry"/>
    <w:p>
      <w:pPr>
        <w:pStyle w:val="Heading4"/>
      </w:pPr>
      <w:r>
        <w:t xml:space="preserve">When to worry</w:t>
      </w:r>
    </w:p>
    <w:p>
      <w:pPr>
        <w:pStyle w:val="FirstParagraph"/>
      </w:pPr>
      <w:r>
        <w:t xml:space="preserve">If multiple technical KPIs trend downward over 4+ weeks, investigate root causes. Platform performance issues compound. Small problems become player churn.</w:t>
      </w:r>
    </w:p>
    <w:p>
      <w:pPr>
        <w:pStyle w:val="BodyText"/>
      </w:pPr>
      <w:r>
        <w:t xml:space="preserve">Related:</w:t>
      </w:r>
      <w:r>
        <w:t xml:space="preserve"> </w:t>
      </w:r>
      <w:hyperlink r:id="rId61">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2"/>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directory/casino-game-aggregators" TargetMode="External" /><Relationship Type="http://schemas.openxmlformats.org/officeDocument/2006/relationships/hyperlink" Id="rId36" Target="/directory/compliance-regulatory-services" TargetMode="External" /><Relationship Type="http://schemas.openxmlformats.org/officeDocument/2006/relationships/hyperlink" Id="rId53" Target="/directory/cryptocurrency-payments" TargetMode="External" /><Relationship Type="http://schemas.openxmlformats.org/officeDocument/2006/relationships/hyperlink" Id="rId61" Target="/directory/data-analytics" TargetMode="External" /><Relationship Type="http://schemas.openxmlformats.org/officeDocument/2006/relationships/hyperlink" Id="rId43" Target="/directory/game-providers" TargetMode="External" /><Relationship Type="http://schemas.openxmlformats.org/officeDocument/2006/relationships/hyperlink" Id="rId39" Target="/directory/game-testing-certification" TargetMode="External" /><Relationship Type="http://schemas.openxmlformats.org/officeDocument/2006/relationships/hyperlink" Id="rId11" Target="/directory/igaming-platforms" TargetMode="External" /><Relationship Type="http://schemas.openxmlformats.org/officeDocument/2006/relationships/hyperlink" Id="rId28" Target="/directory/licensing-regulatory-consulting" TargetMode="External" /><Relationship Type="http://schemas.openxmlformats.org/officeDocument/2006/relationships/hyperlink" Id="rId18" Target="/directory/payment-processing" TargetMode="External" /><Relationship Type="http://schemas.openxmlformats.org/officeDocument/2006/relationships/hyperlink" Id="rId25" Target="/directory/sportsbook-platforms" TargetMode="External" /><Relationship Type="http://schemas.openxmlformats.org/officeDocument/2006/relationships/hyperlink" Id="rId15" Target="/directory/turnkey-platforms" TargetMode="External" /><Relationship Type="http://schemas.openxmlformats.org/officeDocument/2006/relationships/hyperlink" Id="rId12" Target="/directory/white-label-solutions" TargetMode="External" /></Relationships>
</file>

<file path=word/_rels/footnotes.xml.rels><?xml version="1.0" encoding="UTF-8"?><Relationships xmlns="http://schemas.openxmlformats.org/package/2006/relationships"><Relationship Type="http://schemas.openxmlformats.org/officeDocument/2006/relationships/hyperlink" Id="rId49" Target="/directory/casino-game-aggregators" TargetMode="External" /><Relationship Type="http://schemas.openxmlformats.org/officeDocument/2006/relationships/hyperlink" Id="rId36" Target="/directory/compliance-regulatory-services" TargetMode="External" /><Relationship Type="http://schemas.openxmlformats.org/officeDocument/2006/relationships/hyperlink" Id="rId53" Target="/directory/cryptocurrency-payments" TargetMode="External" /><Relationship Type="http://schemas.openxmlformats.org/officeDocument/2006/relationships/hyperlink" Id="rId61" Target="/directory/data-analytics" TargetMode="External" /><Relationship Type="http://schemas.openxmlformats.org/officeDocument/2006/relationships/hyperlink" Id="rId43" Target="/directory/game-providers" TargetMode="External" /><Relationship Type="http://schemas.openxmlformats.org/officeDocument/2006/relationships/hyperlink" Id="rId39" Target="/directory/game-testing-certification" TargetMode="External" /><Relationship Type="http://schemas.openxmlformats.org/officeDocument/2006/relationships/hyperlink" Id="rId11" Target="/directory/igaming-platforms" TargetMode="External" /><Relationship Type="http://schemas.openxmlformats.org/officeDocument/2006/relationships/hyperlink" Id="rId28" Target="/directory/licensing-regulatory-consulting" TargetMode="External" /><Relationship Type="http://schemas.openxmlformats.org/officeDocument/2006/relationships/hyperlink" Id="rId18" Target="/directory/payment-processing" TargetMode="External" /><Relationship Type="http://schemas.openxmlformats.org/officeDocument/2006/relationships/hyperlink" Id="rId25" Target="/directory/sportsbook-platforms" TargetMode="External" /><Relationship Type="http://schemas.openxmlformats.org/officeDocument/2006/relationships/hyperlink" Id="rId15" Target="/directory/turnkey-platforms" TargetMode="External" /><Relationship Type="http://schemas.openxmlformats.org/officeDocument/2006/relationships/hyperlink" Id="rId12" Target="/directory/white-label-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2026-01-26T14:46:19Z</dcterms:created>
  <dcterms:modified xsi:type="dcterms:W3CDTF">2026-01-26T14:46:19Z</dcterms:modified>
</cp:coreProperties>
</file>

<file path=docProps/custom.xml><?xml version="1.0" encoding="utf-8"?>
<Properties xmlns="http://schemas.openxmlformats.org/officeDocument/2006/custom-properties" xmlns:vt="http://schemas.openxmlformats.org/officeDocument/2006/docPropsVTypes"/>
</file>