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X3e042fe71c148b12422ad4ffe6d26062b474dad"/>
    <w:p>
      <w:pPr>
        <w:pStyle w:val="Heading1"/>
      </w:pPr>
      <w:r>
        <w:t xml:space="preserve">Game Providers - Frequently Asked Questions</w:t>
      </w:r>
    </w:p>
    <w:bookmarkStart w:id="9" w:name="category-information"/>
    <w:p>
      <w:pPr>
        <w:pStyle w:val="Heading2"/>
      </w:pPr>
      <w:r>
        <w:t xml:space="preserve">Category Information</w:t>
      </w:r>
    </w:p>
    <w:p>
      <w:pPr>
        <w:pStyle w:val="Compact"/>
        <w:numPr>
          <w:ilvl w:val="0"/>
          <w:numId w:val="1001"/>
        </w:numPr>
      </w:pPr>
      <w:r>
        <w:rPr>
          <w:b/>
          <w:bCs/>
        </w:rPr>
        <w:t xml:space="preserve">Category:</w:t>
      </w:r>
      <w:r>
        <w:t xml:space="preserve"> </w:t>
      </w:r>
      <w:r>
        <w:t xml:space="preserve">Game Providers</w:t>
      </w:r>
    </w:p>
    <w:p>
      <w:pPr>
        <w:pStyle w:val="Compact"/>
        <w:numPr>
          <w:ilvl w:val="0"/>
          <w:numId w:val="1001"/>
        </w:numPr>
      </w:pPr>
      <w:r>
        <w:rPr>
          <w:b/>
          <w:bCs/>
        </w:rPr>
        <w:t xml:space="preserve">Slug:</w:t>
      </w:r>
      <w:r>
        <w:t xml:space="preserve"> </w:t>
      </w:r>
      <w:r>
        <w:t xml:space="preserve">game-providers</w:t>
      </w:r>
    </w:p>
    <w:p>
      <w:pPr>
        <w:pStyle w:val="Compact"/>
        <w:numPr>
          <w:ilvl w:val="0"/>
          <w:numId w:val="1001"/>
        </w:numPr>
      </w:pPr>
      <w:r>
        <w:rPr>
          <w:b/>
          <w:bCs/>
        </w:rPr>
        <w:t xml:space="preserve">Parent:</w:t>
      </w:r>
      <w:r>
        <w:t xml:space="preserve"> </w:t>
      </w:r>
      <w:r>
        <w:t xml:space="preserve">Content &amp; Games</w:t>
      </w:r>
    </w:p>
    <w:p>
      <w:pPr>
        <w:pStyle w:val="Compact"/>
        <w:numPr>
          <w:ilvl w:val="0"/>
          <w:numId w:val="1001"/>
        </w:numPr>
      </w:pPr>
      <w:r>
        <w:rPr>
          <w:b/>
          <w:bCs/>
        </w:rPr>
        <w:t xml:space="preserve">Wave:</w:t>
      </w:r>
      <w:r>
        <w:t xml:space="preserve"> </w:t>
      </w:r>
      <w:r>
        <w:t xml:space="preserve">1 (Priority)</w:t>
      </w:r>
    </w:p>
    <w:p>
      <w:pPr>
        <w:pStyle w:val="Compact"/>
        <w:numPr>
          <w:ilvl w:val="0"/>
          <w:numId w:val="1001"/>
        </w:numPr>
      </w:pPr>
      <w:r>
        <w:rPr>
          <w:b/>
          <w:bCs/>
        </w:rPr>
        <w:t xml:space="preserve">Questions:</w:t>
      </w:r>
      <w:r>
        <w:t xml:space="preserve"> </w:t>
      </w:r>
      <w:r>
        <w:t xml:space="preserve">14 (6 H2, 8 H3)</w:t>
      </w:r>
    </w:p>
    <w:p>
      <w:pPr>
        <w:pStyle w:val="Compact"/>
        <w:numPr>
          <w:ilvl w:val="0"/>
          <w:numId w:val="1001"/>
        </w:numPr>
      </w:pPr>
      <w:r>
        <w:rPr>
          <w:b/>
          <w:bCs/>
        </w:rPr>
        <w:t xml:space="preserve">Word Count:</w:t>
      </w:r>
      <w:r>
        <w:t xml:space="preserve"> </w:t>
      </w:r>
      <w:r>
        <w:t xml:space="preserve">~3,200</w:t>
      </w:r>
    </w:p>
    <w:p>
      <w:r>
        <w:pict>
          <v:rect style="width:0;height:1.5pt" o:hralign="center" o:hrstd="t" o:hr="t"/>
        </w:pict>
      </w:r>
    </w:p>
    <w:bookmarkEnd w:id="9"/>
    <w:bookmarkStart w:id="10" w:name="introduction"/>
    <w:p>
      <w:pPr>
        <w:pStyle w:val="Heading2"/>
      </w:pPr>
      <w:r>
        <w:t xml:space="preserve">Introduction</w:t>
      </w:r>
    </w:p>
    <w:p>
      <w:pPr>
        <w:pStyle w:val="FirstParagraph"/>
      </w:pPr>
      <w:r>
        <w:t xml:space="preserve">Game providers supply the content that fills your casino lobby and keeps players engaged. This FAQ covers integration costs, revenue share models, content selection strategy, and how to evaluate providers beyond their marketing claims.</w:t>
      </w:r>
    </w:p>
    <w:p>
      <w:r>
        <w:pict>
          <v:rect style="width:0;height:1.5pt" o:hralign="center" o:hrstd="t" o:hr="t"/>
        </w:pict>
      </w:r>
    </w:p>
    <w:bookmarkEnd w:id="10"/>
    <w:bookmarkStart w:id="14" w:name="what-is-a-casino-game-provider"/>
    <w:p>
      <w:pPr>
        <w:pStyle w:val="Heading2"/>
      </w:pPr>
      <w:r>
        <w:t xml:space="preserve">What is a casino game provider?</w:t>
      </w:r>
    </w:p>
    <w:p>
      <w:pPr>
        <w:pStyle w:val="FirstParagraph"/>
      </w:pPr>
      <w:r>
        <w:t xml:space="preserve">A casino game provider is a company that creates and supplies the betting content that fills an operator’s lobby—including slots, table games, live dealer experiences, and specialty titles like crash games. They design the mathematical models, themes, mechanics, and back-office tools that keep play smooth for both operators and players.</w:t>
      </w:r>
    </w:p>
    <w:p>
      <w:pPr>
        <w:pStyle w:val="BodyText"/>
      </w:pPr>
      <w:r>
        <w:t xml:space="preserve">More than 100 studios now operate under various licenses, supplying gambling operators with unique slots and lively table games. Behind every reel spin is a provider that handles RNG certification, payout percentages (RTP), artwork, sound design, and regulatory compliance across jurisdictions. Operators don’t build games—they license or revenue-share content from these specialized studios.</w:t>
      </w:r>
    </w:p>
    <w:p>
      <w:pPr>
        <w:pStyle w:val="BodyText"/>
      </w:pPr>
      <w:r>
        <w:t xml:space="preserve">Key functions of game providers include:</w:t>
      </w:r>
    </w:p>
    <w:p>
      <w:pPr>
        <w:pStyle w:val="Compact"/>
        <w:numPr>
          <w:ilvl w:val="0"/>
          <w:numId w:val="1002"/>
        </w:numPr>
      </w:pPr>
      <w:r>
        <w:t xml:space="preserve">Game design and mathematics (volatility, RTP, hit frequency)</w:t>
      </w:r>
    </w:p>
    <w:p>
      <w:pPr>
        <w:pStyle w:val="Compact"/>
        <w:numPr>
          <w:ilvl w:val="0"/>
          <w:numId w:val="1002"/>
        </w:numPr>
      </w:pPr>
      <w:r>
        <w:t xml:space="preserve">Visual development (themes, animations, graphics)</w:t>
      </w:r>
    </w:p>
    <w:p>
      <w:pPr>
        <w:pStyle w:val="Compact"/>
        <w:numPr>
          <w:ilvl w:val="0"/>
          <w:numId w:val="1002"/>
        </w:numPr>
      </w:pPr>
      <w:r>
        <w:t xml:space="preserve">Back-office integration via API for seamless platform connectivity</w:t>
      </w:r>
    </w:p>
    <w:p>
      <w:pPr>
        <w:pStyle w:val="Compact"/>
        <w:numPr>
          <w:ilvl w:val="0"/>
          <w:numId w:val="1002"/>
        </w:numPr>
      </w:pPr>
      <w:r>
        <w:t xml:space="preserve">Regulatory certification for target markets (UK, Malta, Sweden, etc.)</w:t>
      </w:r>
    </w:p>
    <w:p>
      <w:pPr>
        <w:pStyle w:val="Compact"/>
        <w:numPr>
          <w:ilvl w:val="0"/>
          <w:numId w:val="1002"/>
        </w:numPr>
      </w:pPr>
      <w:r>
        <w:t xml:space="preserve">Localization for language and currency preferences</w:t>
      </w:r>
    </w:p>
    <w:p>
      <w:pPr>
        <w:pStyle w:val="Compact"/>
        <w:numPr>
          <w:ilvl w:val="0"/>
          <w:numId w:val="1002"/>
        </w:numPr>
      </w:pPr>
      <w:r>
        <w:t xml:space="preserve">Ongoing support, updates, and new release schedules</w:t>
      </w:r>
    </w:p>
    <w:bookmarkStart w:id="13" w:name="the-reality-nobody-mentions"/>
    <w:p>
      <w:pPr>
        <w:pStyle w:val="Heading4"/>
      </w:pPr>
      <w:r>
        <w:t xml:space="preserve">The reality nobody mentions</w:t>
      </w:r>
    </w:p>
    <w:p>
      <w:pPr>
        <w:pStyle w:val="FirstParagraph"/>
      </w:pPr>
      <w:r>
        <w:t xml:space="preserve">High-quality content from top providers is the primary driver of player acquisition and retention. But the best providers are selective—they prioritize operators with established traffic, strong compliance, and premium market access. New operators often can’t access tier-1 content at launch.</w:t>
      </w:r>
    </w:p>
    <w:p>
      <w:pPr>
        <w:pStyle w:val="BodyText"/>
      </w:pPr>
      <w:r>
        <w:t xml:space="preserve">Related:</w:t>
      </w:r>
      <w:r>
        <w:t xml:space="preserve"> </w:t>
      </w:r>
      <w:hyperlink r:id="rId11">
        <w:r>
          <w:rPr>
            <w:rStyle w:val="Hyperlink"/>
          </w:rPr>
          <w:t xml:space="preserve">Game Developers</w:t>
        </w:r>
      </w:hyperlink>
      <w:r>
        <w:t xml:space="preserve"> </w:t>
      </w:r>
      <w:r>
        <w:t xml:space="preserve">|</w:t>
      </w:r>
      <w:r>
        <w:t xml:space="preserve"> </w:t>
      </w:r>
      <w:hyperlink r:id="rId12">
        <w:r>
          <w:rPr>
            <w:rStyle w:val="Hyperlink"/>
          </w:rPr>
          <w:t xml:space="preserve">Casino Game Aggregators</w:t>
        </w:r>
      </w:hyperlink>
    </w:p>
    <w:p>
      <w:r>
        <w:pict>
          <v:rect style="width:0;height:1.5pt" o:hralign="center" o:hrstd="t" o:hr="t"/>
        </w:pict>
      </w:r>
    </w:p>
    <w:bookmarkEnd w:id="13"/>
    <w:bookmarkEnd w:id="14"/>
    <w:bookmarkStart w:id="23" w:name="how-much-do-game-providers-cost"/>
    <w:p>
      <w:pPr>
        <w:pStyle w:val="Heading2"/>
      </w:pPr>
      <w:r>
        <w:t xml:space="preserve">How much do game providers cost?</w:t>
      </w:r>
    </w:p>
    <w:p>
      <w:pPr>
        <w:pStyle w:val="FirstParagraph"/>
      </w:pPr>
      <w:r>
        <w:t xml:space="preserve">Game provider costs typically involve revenue share of 8-25% of GGR from their games, plus potential setup fees of €0-€10,000 per integration and monthly minimums. But here’s what providers don’t highlight: premium studios command higher shares, and accessing multiple providers through direct integration can cost €60,000+ before a single player spins.</w:t>
      </w:r>
    </w:p>
    <w:bookmarkStart w:id="15" w:name="cost-breakdown-2026"/>
    <w:p>
      <w:pPr>
        <w:pStyle w:val="Heading4"/>
      </w:pPr>
      <w:r>
        <w:t xml:space="preserve">Cost breakdown (2026)</w:t>
      </w:r>
    </w:p>
    <w:p>
      <w:pPr>
        <w:pStyle w:val="Compact"/>
        <w:numPr>
          <w:ilvl w:val="0"/>
          <w:numId w:val="1003"/>
        </w:numPr>
      </w:pPr>
      <w:r>
        <w:rPr>
          <w:b/>
          <w:bCs/>
        </w:rPr>
        <w:t xml:space="preserve">Revenue share (standard):</w:t>
      </w:r>
      <w:r>
        <w:t xml:space="preserve"> </w:t>
      </w:r>
      <w:r>
        <w:t xml:space="preserve">8-17% of GGR. Varies by provider tier and operator volume</w:t>
      </w:r>
    </w:p>
    <w:p>
      <w:pPr>
        <w:pStyle w:val="Compact"/>
        <w:numPr>
          <w:ilvl w:val="0"/>
          <w:numId w:val="1003"/>
        </w:numPr>
      </w:pPr>
      <w:r>
        <w:rPr>
          <w:b/>
          <w:bCs/>
        </w:rPr>
        <w:t xml:space="preserve">Revenue share (premium studios):</w:t>
      </w:r>
      <w:r>
        <w:t xml:space="preserve"> </w:t>
      </w:r>
      <w:r>
        <w:t xml:space="preserve">15-25% of GGR. Evolution, Pragmatic Play, NetEnt command higher rates</w:t>
      </w:r>
    </w:p>
    <w:p>
      <w:pPr>
        <w:pStyle w:val="Compact"/>
        <w:numPr>
          <w:ilvl w:val="0"/>
          <w:numId w:val="1003"/>
        </w:numPr>
      </w:pPr>
      <w:r>
        <w:rPr>
          <w:b/>
          <w:bCs/>
        </w:rPr>
        <w:t xml:space="preserve">Setup/integration fees:</w:t>
      </w:r>
      <w:r>
        <w:t xml:space="preserve"> </w:t>
      </w:r>
      <w:r>
        <w:t xml:space="preserve">€0-€10,000 per provider. Some waive for volume commitments</w:t>
      </w:r>
    </w:p>
    <w:p>
      <w:pPr>
        <w:pStyle w:val="Compact"/>
        <w:numPr>
          <w:ilvl w:val="0"/>
          <w:numId w:val="1003"/>
        </w:numPr>
      </w:pPr>
      <w:r>
        <w:rPr>
          <w:b/>
          <w:bCs/>
        </w:rPr>
        <w:t xml:space="preserve">Monthly minimums:</w:t>
      </w:r>
      <w:r>
        <w:t xml:space="preserve"> </w:t>
      </w:r>
      <w:r>
        <w:t xml:space="preserve">€500-€5,000. Triggered if GGR from their games falls below threshold</w:t>
      </w:r>
    </w:p>
    <w:p>
      <w:pPr>
        <w:pStyle w:val="Compact"/>
        <w:numPr>
          <w:ilvl w:val="0"/>
          <w:numId w:val="1003"/>
        </w:numPr>
      </w:pPr>
      <w:r>
        <w:rPr>
          <w:b/>
          <w:bCs/>
        </w:rPr>
        <w:t xml:space="preserve">Certification fees:</w:t>
      </w:r>
      <w:r>
        <w:t xml:space="preserve"> </w:t>
      </w:r>
      <w:r>
        <w:t xml:space="preserve">€2,000-€5,000 per jurisdiction. Required for regulated markets</w:t>
      </w:r>
    </w:p>
    <w:bookmarkEnd w:id="15"/>
    <w:bookmarkStart w:id="16" w:name="aggregator-vs.-direct-integration-costs"/>
    <w:p>
      <w:pPr>
        <w:pStyle w:val="Heading4"/>
      </w:pPr>
      <w:r>
        <w:t xml:space="preserve">Aggregator vs. direct integration costs</w:t>
      </w:r>
    </w:p>
    <w:p>
      <w:pPr>
        <w:pStyle w:val="Compact"/>
        <w:numPr>
          <w:ilvl w:val="0"/>
          <w:numId w:val="1004"/>
        </w:numPr>
      </w:pPr>
      <w:r>
        <w:rPr>
          <w:b/>
          <w:bCs/>
        </w:rPr>
        <w:t xml:space="preserve">Direct integration:</w:t>
      </w:r>
      <w:r>
        <w:t xml:space="preserve"> </w:t>
      </w:r>
      <w:r>
        <w:t xml:space="preserve">~€2,000 per provider. Multiply by 30 providers = €60,000 in integration costs alone</w:t>
      </w:r>
    </w:p>
    <w:p>
      <w:pPr>
        <w:pStyle w:val="Compact"/>
        <w:numPr>
          <w:ilvl w:val="0"/>
          <w:numId w:val="1004"/>
        </w:numPr>
      </w:pPr>
      <w:r>
        <w:rPr>
          <w:b/>
          <w:bCs/>
        </w:rPr>
        <w:t xml:space="preserve">Aggregator:</w:t>
      </w:r>
      <w:r>
        <w:t xml:space="preserve"> </w:t>
      </w:r>
      <w:r>
        <w:t xml:space="preserve">Single integration, but 15-30% revenue share (higher than direct). Aggregators add margin on top of provider rates</w:t>
      </w:r>
    </w:p>
    <w:bookmarkEnd w:id="16"/>
    <w:bookmarkStart w:id="18" w:name="the-math-nobody-does-upfront"/>
    <w:p>
      <w:pPr>
        <w:pStyle w:val="Heading4"/>
      </w:pPr>
      <w:r>
        <w:t xml:space="preserve">The math nobody does upfront</w:t>
      </w:r>
    </w:p>
    <w:p>
      <w:pPr>
        <w:pStyle w:val="FirstParagraph"/>
      </w:pPr>
      <w:r>
        <w:t xml:space="preserve">If you’re generating €100,000 monthly GGR from a provider at 15% revenue share, that’s €15,000/month (€180,000/year) to that single provider. At scale, game content costs often exceed platform fees. Budget accordingly.</w:t>
      </w:r>
    </w:p>
    <w:p>
      <w:pPr>
        <w:pStyle w:val="BodyText"/>
      </w:pPr>
      <w:r>
        <w:rPr>
          <w:i/>
          <w:iCs/>
        </w:rPr>
        <w:t xml:space="preserve">Rates based on 2026 market data. Always negotiate based on projected GGR.</w:t>
      </w:r>
    </w:p>
    <w:p>
      <w:pPr>
        <w:pStyle w:val="BodyText"/>
      </w:pPr>
      <w:r>
        <w:t xml:space="preserve">Related:</w:t>
      </w:r>
      <w:r>
        <w:t xml:space="preserve"> </w:t>
      </w:r>
      <w:hyperlink r:id="rId12">
        <w:r>
          <w:rPr>
            <w:rStyle w:val="Hyperlink"/>
          </w:rPr>
          <w:t xml:space="preserve">Casino Game Aggregators</w:t>
        </w:r>
      </w:hyperlink>
      <w:r>
        <w:t xml:space="preserve"> </w:t>
      </w:r>
      <w:r>
        <w:t xml:space="preserve">|</w:t>
      </w:r>
      <w:r>
        <w:t xml:space="preserve"> </w:t>
      </w:r>
      <w:hyperlink r:id="rId17">
        <w:r>
          <w:rPr>
            <w:rStyle w:val="Hyperlink"/>
          </w:rPr>
          <w:t xml:space="preserve">Casino Platforms</w:t>
        </w:r>
      </w:hyperlink>
    </w:p>
    <w:p>
      <w:r>
        <w:pict>
          <v:rect style="width:0;height:1.5pt" o:hralign="center" o:hrstd="t" o:hr="t"/>
        </w:pict>
      </w:r>
    </w:p>
    <w:bookmarkEnd w:id="18"/>
    <w:bookmarkStart w:id="22" w:name="Xd37acb232d5d07e7c2ac86359a9ff5cd6e7cac1"/>
    <w:p>
      <w:pPr>
        <w:pStyle w:val="Heading3"/>
      </w:pPr>
      <w:r>
        <w:t xml:space="preserve">What are the hidden costs of game provider integrations?</w:t>
      </w:r>
    </w:p>
    <w:p>
      <w:pPr>
        <w:pStyle w:val="FirstParagraph"/>
      </w:pPr>
      <w:r>
        <w:t xml:space="preserve">The revenue share percentage is only part of the picture. Total game content costs including integration, certification, and operational overhead typically run 20-40% higher than the quoted revenue share.</w:t>
      </w:r>
    </w:p>
    <w:bookmarkStart w:id="19" w:name="commonly-overlooked-costs"/>
    <w:p>
      <w:pPr>
        <w:pStyle w:val="Heading4"/>
      </w:pPr>
      <w:r>
        <w:t xml:space="preserve">Commonly overlooked costs</w:t>
      </w:r>
    </w:p>
    <w:p>
      <w:pPr>
        <w:pStyle w:val="Compact"/>
        <w:numPr>
          <w:ilvl w:val="0"/>
          <w:numId w:val="1005"/>
        </w:numPr>
      </w:pPr>
      <w:r>
        <w:rPr>
          <w:b/>
          <w:bCs/>
        </w:rPr>
        <w:t xml:space="preserve">Multi-jurisdiction certification:</w:t>
      </w:r>
      <w:r>
        <w:t xml:space="preserve"> </w:t>
      </w:r>
      <w:r>
        <w:t xml:space="preserve">€2,000-€5,000 per market, per provider. UK, Malta, Sweden, Brazil each require separate certification</w:t>
      </w:r>
    </w:p>
    <w:p>
      <w:pPr>
        <w:pStyle w:val="Compact"/>
        <w:numPr>
          <w:ilvl w:val="0"/>
          <w:numId w:val="1005"/>
        </w:numPr>
      </w:pPr>
      <w:r>
        <w:rPr>
          <w:b/>
          <w:bCs/>
        </w:rPr>
        <w:t xml:space="preserve">Technical integration time:</w:t>
      </w:r>
      <w:r>
        <w:t xml:space="preserve"> </w:t>
      </w:r>
      <w:r>
        <w:t xml:space="preserve">2-4 weeks per direct integration. Development team cost during this period</w:t>
      </w:r>
    </w:p>
    <w:p>
      <w:pPr>
        <w:pStyle w:val="Compact"/>
        <w:numPr>
          <w:ilvl w:val="0"/>
          <w:numId w:val="1005"/>
        </w:numPr>
      </w:pPr>
      <w:r>
        <w:rPr>
          <w:b/>
          <w:bCs/>
        </w:rPr>
        <w:t xml:space="preserve">Minimum guarantee shortfalls:</w:t>
      </w:r>
      <w:r>
        <w:t xml:space="preserve"> </w:t>
      </w:r>
      <w:r>
        <w:t xml:space="preserve">If you promise €5,000/month GGR and deliver €3,000, you still pay €5,000</w:t>
      </w:r>
    </w:p>
    <w:p>
      <w:pPr>
        <w:pStyle w:val="Compact"/>
        <w:numPr>
          <w:ilvl w:val="0"/>
          <w:numId w:val="1005"/>
        </w:numPr>
      </w:pPr>
      <w:r>
        <w:rPr>
          <w:b/>
          <w:bCs/>
        </w:rPr>
        <w:t xml:space="preserve">Premium game access fees:</w:t>
      </w:r>
      <w:r>
        <w:t xml:space="preserve"> </w:t>
      </w:r>
      <w:r>
        <w:t xml:space="preserve">Top titles like Gates of Olympus or Crazy Time may have additional fees beyond standard revenue share</w:t>
      </w:r>
    </w:p>
    <w:p>
      <w:pPr>
        <w:pStyle w:val="Compact"/>
        <w:numPr>
          <w:ilvl w:val="0"/>
          <w:numId w:val="1005"/>
        </w:numPr>
      </w:pPr>
      <w:r>
        <w:rPr>
          <w:b/>
          <w:bCs/>
        </w:rPr>
        <w:t xml:space="preserve">Back-office management:</w:t>
      </w:r>
      <w:r>
        <w:t xml:space="preserve"> </w:t>
      </w:r>
      <w:r>
        <w:t xml:space="preserve">Each direct integration = separate dashboard, separate invoicing, separate reconciliation</w:t>
      </w:r>
    </w:p>
    <w:p>
      <w:pPr>
        <w:pStyle w:val="Compact"/>
        <w:numPr>
          <w:ilvl w:val="0"/>
          <w:numId w:val="1005"/>
        </w:numPr>
      </w:pPr>
      <w:r>
        <w:rPr>
          <w:b/>
          <w:bCs/>
        </w:rPr>
        <w:t xml:space="preserve">API maintenance:</w:t>
      </w:r>
      <w:r>
        <w:t xml:space="preserve"> </w:t>
      </w:r>
      <w:r>
        <w:t xml:space="preserve">Updates, bug fixes, version changes require ongoing technical attention</w:t>
      </w:r>
    </w:p>
    <w:bookmarkEnd w:id="19"/>
    <w:bookmarkStart w:id="21" w:name="how-to-protect-yourself"/>
    <w:p>
      <w:pPr>
        <w:pStyle w:val="Heading4"/>
      </w:pPr>
      <w:r>
        <w:t xml:space="preserve">How to protect yourself</w:t>
      </w:r>
    </w:p>
    <w:p>
      <w:pPr>
        <w:pStyle w:val="Compact"/>
        <w:numPr>
          <w:ilvl w:val="0"/>
          <w:numId w:val="1006"/>
        </w:numPr>
      </w:pPr>
      <w:r>
        <w:t xml:space="preserve">Start with aggregator to prove traffic before negotiating direct deals</w:t>
      </w:r>
    </w:p>
    <w:p>
      <w:pPr>
        <w:pStyle w:val="Compact"/>
        <w:numPr>
          <w:ilvl w:val="0"/>
          <w:numId w:val="1006"/>
        </w:numPr>
      </w:pPr>
      <w:r>
        <w:t xml:space="preserve">Calculate true cost per provider including integration and certification</w:t>
      </w:r>
    </w:p>
    <w:p>
      <w:pPr>
        <w:pStyle w:val="Compact"/>
        <w:numPr>
          <w:ilvl w:val="0"/>
          <w:numId w:val="1006"/>
        </w:numPr>
      </w:pPr>
      <w:r>
        <w:t xml:space="preserve">Negotiate minimum guarantees based on realistic projections, not optimistic forecasts</w:t>
      </w:r>
    </w:p>
    <w:p>
      <w:pPr>
        <w:pStyle w:val="Compact"/>
        <w:numPr>
          <w:ilvl w:val="0"/>
          <w:numId w:val="1006"/>
        </w:numPr>
      </w:pPr>
      <w:r>
        <w:t xml:space="preserve">Request consolidated invoicing and reporting where possible</w:t>
      </w:r>
    </w:p>
    <w:p>
      <w:pPr>
        <w:pStyle w:val="FirstParagraph"/>
      </w:pPr>
      <w:r>
        <w:t xml:space="preserve">Related:</w:t>
      </w:r>
      <w:r>
        <w:t xml:space="preserve"> </w:t>
      </w:r>
      <w:hyperlink r:id="rId20">
        <w:r>
          <w:rPr>
            <w:rStyle w:val="Hyperlink"/>
          </w:rPr>
          <w:t xml:space="preserve">Game Testing &amp; Certification</w:t>
        </w:r>
      </w:hyperlink>
    </w:p>
    <w:p>
      <w:r>
        <w:pict>
          <v:rect style="width:0;height:1.5pt" o:hralign="center" o:hrstd="t" o:hr="t"/>
        </w:pict>
      </w:r>
    </w:p>
    <w:bookmarkEnd w:id="21"/>
    <w:bookmarkEnd w:id="22"/>
    <w:bookmarkEnd w:id="23"/>
    <w:bookmarkStart w:id="31" w:name="Xa7fb7182f11e80aa7657f0a5d9c216e1bc5a1fa"/>
    <w:p>
      <w:pPr>
        <w:pStyle w:val="Heading2"/>
      </w:pPr>
      <w:r>
        <w:t xml:space="preserve">Should I use a game aggregator or integrate directly with providers?</w:t>
      </w:r>
    </w:p>
    <w:p>
      <w:pPr>
        <w:pStyle w:val="FirstParagraph"/>
      </w:pPr>
      <w:r>
        <w:t xml:space="preserve">For most operators, starting with an aggregator is the right choice—faster launch, lower upfront costs, and access to hundreds of providers through a single API. Direct integration makes sense once you’re generating significant GGR and can negotiate better rates than aggregators offer.</w:t>
      </w:r>
    </w:p>
    <w:bookmarkStart w:id="24" w:name="aggregator-advantages"/>
    <w:p>
      <w:pPr>
        <w:pStyle w:val="Heading4"/>
      </w:pPr>
      <w:r>
        <w:t xml:space="preserve">Aggregator advantages</w:t>
      </w:r>
    </w:p>
    <w:p>
      <w:pPr>
        <w:pStyle w:val="Compact"/>
        <w:numPr>
          <w:ilvl w:val="0"/>
          <w:numId w:val="1007"/>
        </w:numPr>
      </w:pPr>
      <w:r>
        <w:t xml:space="preserve">Single API integration accesses 100+ providers (SOFTSWISS aggregator has 280+ providers, 23,500+ games)</w:t>
      </w:r>
    </w:p>
    <w:p>
      <w:pPr>
        <w:pStyle w:val="Compact"/>
        <w:numPr>
          <w:ilvl w:val="0"/>
          <w:numId w:val="1007"/>
        </w:numPr>
      </w:pPr>
      <w:r>
        <w:t xml:space="preserve">Faster time-to-market—weeks instead of months</w:t>
      </w:r>
    </w:p>
    <w:p>
      <w:pPr>
        <w:pStyle w:val="Compact"/>
        <w:numPr>
          <w:ilvl w:val="0"/>
          <w:numId w:val="1007"/>
        </w:numPr>
      </w:pPr>
      <w:r>
        <w:t xml:space="preserve">Consolidated back-office, reporting, and invoicing</w:t>
      </w:r>
    </w:p>
    <w:p>
      <w:pPr>
        <w:pStyle w:val="Compact"/>
        <w:numPr>
          <w:ilvl w:val="0"/>
          <w:numId w:val="1007"/>
        </w:numPr>
      </w:pPr>
      <w:r>
        <w:t xml:space="preserve">Lower upfront technical investment</w:t>
      </w:r>
    </w:p>
    <w:p>
      <w:pPr>
        <w:pStyle w:val="Compact"/>
        <w:numPr>
          <w:ilvl w:val="0"/>
          <w:numId w:val="1007"/>
        </w:numPr>
      </w:pPr>
      <w:r>
        <w:t xml:space="preserve">Immediate access to games you couldn’t get directly as a startup</w:t>
      </w:r>
    </w:p>
    <w:bookmarkEnd w:id="24"/>
    <w:bookmarkStart w:id="25" w:name="direct-integration-advantages"/>
    <w:p>
      <w:pPr>
        <w:pStyle w:val="Heading4"/>
      </w:pPr>
      <w:r>
        <w:t xml:space="preserve">Direct integration advantages</w:t>
      </w:r>
    </w:p>
    <w:p>
      <w:pPr>
        <w:pStyle w:val="Compact"/>
        <w:numPr>
          <w:ilvl w:val="0"/>
          <w:numId w:val="1008"/>
        </w:numPr>
      </w:pPr>
      <w:r>
        <w:t xml:space="preserve">Better revenue share rates (avoid aggregator margin of 3-8% on top)</w:t>
      </w:r>
    </w:p>
    <w:p>
      <w:pPr>
        <w:pStyle w:val="Compact"/>
        <w:numPr>
          <w:ilvl w:val="0"/>
          <w:numId w:val="1008"/>
        </w:numPr>
      </w:pPr>
      <w:r>
        <w:t xml:space="preserve">Direct relationship with provider support teams</w:t>
      </w:r>
    </w:p>
    <w:p>
      <w:pPr>
        <w:pStyle w:val="Compact"/>
        <w:numPr>
          <w:ilvl w:val="0"/>
          <w:numId w:val="1008"/>
        </w:numPr>
      </w:pPr>
      <w:r>
        <w:t xml:space="preserve">Priority access to new releases and exclusive content</w:t>
      </w:r>
    </w:p>
    <w:p>
      <w:pPr>
        <w:pStyle w:val="Compact"/>
        <w:numPr>
          <w:ilvl w:val="0"/>
          <w:numId w:val="1008"/>
        </w:numPr>
      </w:pPr>
      <w:r>
        <w:t xml:space="preserve">Full control over data and player analytics</w:t>
      </w:r>
    </w:p>
    <w:p>
      <w:pPr>
        <w:pStyle w:val="Compact"/>
        <w:numPr>
          <w:ilvl w:val="0"/>
          <w:numId w:val="1008"/>
        </w:numPr>
      </w:pPr>
      <w:r>
        <w:t xml:space="preserve">Stronger negotiating position for custom features</w:t>
      </w:r>
    </w:p>
    <w:bookmarkEnd w:id="25"/>
    <w:bookmarkStart w:id="26" w:name="when-each-makes-sense"/>
    <w:p>
      <w:pPr>
        <w:pStyle w:val="Heading4"/>
      </w:pPr>
      <w:r>
        <w:t xml:space="preserve">When each makes sense</w:t>
      </w:r>
    </w:p>
    <w:p>
      <w:pPr>
        <w:pStyle w:val="FirstParagraph"/>
      </w:pPr>
      <w:r>
        <w:rPr>
          <w:b/>
          <w:bCs/>
        </w:rPr>
        <w:t xml:space="preserve">Choose aggregator if:</w:t>
      </w:r>
      <w:r>
        <w:t xml:space="preserve"> </w:t>
      </w:r>
      <w:r>
        <w:t xml:space="preserve">- You’re launching and need games quickly</w:t>
      </w:r>
      <w:r>
        <w:t xml:space="preserve"> </w:t>
      </w:r>
      <w:r>
        <w:t xml:space="preserve">- You lack technical resources for multiple integrations</w:t>
      </w:r>
      <w:r>
        <w:t xml:space="preserve"> </w:t>
      </w:r>
      <w:r>
        <w:t xml:space="preserve">- Your monthly GGR is below €200,000</w:t>
      </w:r>
      <w:r>
        <w:t xml:space="preserve"> </w:t>
      </w:r>
      <w:r>
        <w:t xml:space="preserve">- You want to test which providers perform before committing</w:t>
      </w:r>
    </w:p>
    <w:p>
      <w:pPr>
        <w:pStyle w:val="BodyText"/>
      </w:pPr>
      <w:r>
        <w:rPr>
          <w:b/>
          <w:bCs/>
        </w:rPr>
        <w:t xml:space="preserve">Choose direct integration if:</w:t>
      </w:r>
      <w:r>
        <w:t xml:space="preserve"> </w:t>
      </w:r>
      <w:r>
        <w:t xml:space="preserve">- You’re generating €200,000+ monthly GGR per major provider</w:t>
      </w:r>
      <w:r>
        <w:t xml:space="preserve"> </w:t>
      </w:r>
      <w:r>
        <w:t xml:space="preserve">- You want exclusive content or priority new releases</w:t>
      </w:r>
      <w:r>
        <w:t xml:space="preserve"> </w:t>
      </w:r>
      <w:r>
        <w:t xml:space="preserve">- Your technical team can manage multiple integrations</w:t>
      </w:r>
      <w:r>
        <w:t xml:space="preserve"> </w:t>
      </w:r>
      <w:r>
        <w:t xml:space="preserve">- You’ve outgrown aggregator rates and want to optimize costs</w:t>
      </w:r>
    </w:p>
    <w:bookmarkEnd w:id="26"/>
    <w:bookmarkStart w:id="27" w:name="the-hybrid-approach"/>
    <w:p>
      <w:pPr>
        <w:pStyle w:val="Heading4"/>
      </w:pPr>
      <w:r>
        <w:t xml:space="preserve">The hybrid approach</w:t>
      </w:r>
    </w:p>
    <w:p>
      <w:pPr>
        <w:pStyle w:val="FirstParagraph"/>
      </w:pPr>
      <w:r>
        <w:t xml:space="preserve">Most successful operators use both: aggregator for the long tail of 50+ providers, direct integration with top 3-5 performers. This balances cost optimization with operational simplicity.</w:t>
      </w:r>
    </w:p>
    <w:p>
      <w:pPr>
        <w:pStyle w:val="BodyText"/>
      </w:pPr>
      <w:r>
        <w:t xml:space="preserve">Related:</w:t>
      </w:r>
      <w:r>
        <w:t xml:space="preserve"> </w:t>
      </w:r>
      <w:hyperlink r:id="rId12">
        <w:r>
          <w:rPr>
            <w:rStyle w:val="Hyperlink"/>
          </w:rPr>
          <w:t xml:space="preserve">Casino Game Aggregators</w:t>
        </w:r>
      </w:hyperlink>
    </w:p>
    <w:p>
      <w:r>
        <w:pict>
          <v:rect style="width:0;height:1.5pt" o:hralign="center" o:hrstd="t" o:hr="t"/>
        </w:pict>
      </w:r>
    </w:p>
    <w:bookmarkEnd w:id="27"/>
    <w:bookmarkStart w:id="30" w:name="Xf1a8f721846da6d83fcf9e26778b10a88d52175"/>
    <w:p>
      <w:pPr>
        <w:pStyle w:val="Heading3"/>
      </w:pPr>
      <w:r>
        <w:t xml:space="preserve">How do I negotiate better rates with game providers?</w:t>
      </w:r>
    </w:p>
    <w:p>
      <w:pPr>
        <w:pStyle w:val="FirstParagraph"/>
      </w:pPr>
      <w:r>
        <w:t xml:space="preserve">The best operators negotiate rates 20-40% below standard terms through volume commitments, exclusivity arrangements, and strategic timing. Providers want distribution—use that leverage.</w:t>
      </w:r>
    </w:p>
    <w:bookmarkStart w:id="28" w:name="negotiation-strategies"/>
    <w:p>
      <w:pPr>
        <w:pStyle w:val="Heading4"/>
      </w:pPr>
      <w:r>
        <w:t xml:space="preserve">Negotiation strategies</w:t>
      </w:r>
    </w:p>
    <w:p>
      <w:pPr>
        <w:numPr>
          <w:ilvl w:val="0"/>
          <w:numId w:val="1009"/>
        </w:numPr>
      </w:pPr>
      <w:r>
        <w:rPr>
          <w:b/>
          <w:bCs/>
        </w:rPr>
        <w:t xml:space="preserve">Volume commitments:</w:t>
      </w:r>
      <w:r>
        <w:t xml:space="preserve"> </w:t>
      </w:r>
      <w:r>
        <w:t xml:space="preserve">Guarantee €50,000+ monthly GGR for significant rate reductions. Providers discount for predictable revenue.</w:t>
      </w:r>
    </w:p>
    <w:p>
      <w:pPr>
        <w:numPr>
          <w:ilvl w:val="0"/>
          <w:numId w:val="1009"/>
        </w:numPr>
      </w:pPr>
      <w:r>
        <w:rPr>
          <w:b/>
          <w:bCs/>
        </w:rPr>
        <w:t xml:space="preserve">Multi-provider bundling:</w:t>
      </w:r>
      <w:r>
        <w:t xml:space="preserve"> </w:t>
      </w:r>
      <w:r>
        <w:t xml:space="preserve">If a group owns multiple studios (Evolution owns NetEnt, Red Tiger, Big Time Gaming), negotiate across the portfolio for better overall terms.</w:t>
      </w:r>
    </w:p>
    <w:p>
      <w:pPr>
        <w:numPr>
          <w:ilvl w:val="0"/>
          <w:numId w:val="1009"/>
        </w:numPr>
      </w:pPr>
      <w:r>
        <w:rPr>
          <w:b/>
          <w:bCs/>
        </w:rPr>
        <w:t xml:space="preserve">Exclusivity windows:</w:t>
      </w:r>
      <w:r>
        <w:t xml:space="preserve"> </w:t>
      </w:r>
      <w:r>
        <w:t xml:space="preserve">Offer first-to-market rights for new releases in exchange for reduced revenue share. Providers value marketing exposure.</w:t>
      </w:r>
    </w:p>
    <w:p>
      <w:pPr>
        <w:numPr>
          <w:ilvl w:val="0"/>
          <w:numId w:val="1009"/>
        </w:numPr>
      </w:pPr>
      <w:r>
        <w:rPr>
          <w:b/>
          <w:bCs/>
        </w:rPr>
        <w:t xml:space="preserve">Long-term contracts:</w:t>
      </w:r>
      <w:r>
        <w:t xml:space="preserve"> </w:t>
      </w:r>
      <w:r>
        <w:t xml:space="preserve">2-3 year commitments secure better rates than month-to-month. Providers prefer stable partnerships.</w:t>
      </w:r>
    </w:p>
    <w:p>
      <w:pPr>
        <w:numPr>
          <w:ilvl w:val="0"/>
          <w:numId w:val="1009"/>
        </w:numPr>
      </w:pPr>
      <w:r>
        <w:rPr>
          <w:b/>
          <w:bCs/>
        </w:rPr>
        <w:t xml:space="preserve">Market access leverage:</w:t>
      </w:r>
      <w:r>
        <w:t xml:space="preserve"> </w:t>
      </w:r>
      <w:r>
        <w:t xml:space="preserve">If you have strong presence in high-value markets (UK, Germany, regulated US), use that as negotiating leverage.</w:t>
      </w:r>
    </w:p>
    <w:p>
      <w:pPr>
        <w:numPr>
          <w:ilvl w:val="0"/>
          <w:numId w:val="1009"/>
        </w:numPr>
      </w:pPr>
      <w:r>
        <w:rPr>
          <w:b/>
          <w:bCs/>
        </w:rPr>
        <w:t xml:space="preserve">Aggregator to direct timing:</w:t>
      </w:r>
      <w:r>
        <w:t xml:space="preserve"> </w:t>
      </w:r>
      <w:r>
        <w:t xml:space="preserve">Once you’ve proven performance through an aggregator, approach providers directly with real GGR data.</w:t>
      </w:r>
    </w:p>
    <w:bookmarkEnd w:id="28"/>
    <w:bookmarkStart w:id="29" w:name="what-actually-moves-the-needle"/>
    <w:p>
      <w:pPr>
        <w:pStyle w:val="Heading4"/>
      </w:pPr>
      <w:r>
        <w:t xml:space="preserve">What actually moves the needle</w:t>
      </w:r>
    </w:p>
    <w:p>
      <w:pPr>
        <w:pStyle w:val="FirstParagraph"/>
      </w:pPr>
      <w:r>
        <w:t xml:space="preserve">Proven traffic and payment history. Providers lose money on small operators who generate minimal GGR. Demonstrate you’re worth preferential treatment with data.</w:t>
      </w:r>
    </w:p>
    <w:p>
      <w:pPr>
        <w:pStyle w:val="BodyText"/>
      </w:pPr>
      <w:r>
        <w:t xml:space="preserve">Related:</w:t>
      </w:r>
      <w:r>
        <w:t xml:space="preserve"> </w:t>
      </w:r>
      <w:hyperlink r:id="rId17">
        <w:r>
          <w:rPr>
            <w:rStyle w:val="Hyperlink"/>
          </w:rPr>
          <w:t xml:space="preserve">Casino Platforms</w:t>
        </w:r>
      </w:hyperlink>
    </w:p>
    <w:p>
      <w:r>
        <w:pict>
          <v:rect style="width:0;height:1.5pt" o:hralign="center" o:hrstd="t" o:hr="t"/>
        </w:pict>
      </w:r>
    </w:p>
    <w:bookmarkEnd w:id="29"/>
    <w:bookmarkEnd w:id="30"/>
    <w:bookmarkEnd w:id="31"/>
    <w:bookmarkStart w:id="36" w:name="X60072dedc88a2bb6986e4f56cec77e9f96b944a"/>
    <w:p>
      <w:pPr>
        <w:pStyle w:val="Heading2"/>
      </w:pPr>
      <w:r>
        <w:t xml:space="preserve">Who are the top casino game providers in 2026?</w:t>
      </w:r>
    </w:p>
    <w:p>
      <w:pPr>
        <w:pStyle w:val="FirstParagraph"/>
      </w:pPr>
      <w:r>
        <w:t xml:space="preserve">The leading providers are Evolution (live casino), Pragmatic Play (slots), NetEnt (slots), Play’n GO, and Microgaming—but</w:t>
      </w:r>
      <w:r>
        <w:t xml:space="preserve"> </w:t>
      </w:r>
      <w:r>
        <w:t xml:space="preserve">“best”</w:t>
      </w:r>
      <w:r>
        <w:t xml:space="preserve"> </w:t>
      </w:r>
      <w:r>
        <w:t xml:space="preserve">depends on your target market and player preferences. Player tastes vary by region, and content diversity matters more than having any single provider.</w:t>
      </w:r>
    </w:p>
    <w:bookmarkStart w:id="32" w:name="provider-overview"/>
    <w:p>
      <w:pPr>
        <w:pStyle w:val="Heading4"/>
      </w:pPr>
      <w:r>
        <w:t xml:space="preserve">Provider overview</w:t>
      </w:r>
    </w:p>
    <w:p>
      <w:pPr>
        <w:numPr>
          <w:ilvl w:val="0"/>
          <w:numId w:val="1010"/>
        </w:numPr>
      </w:pPr>
      <w:r>
        <w:rPr>
          <w:b/>
          <w:bCs/>
        </w:rPr>
        <w:t xml:space="preserve">Evolution:</w:t>
      </w:r>
      <w:r>
        <w:t xml:space="preserve"> </w:t>
      </w:r>
      <w:r>
        <w:t xml:space="preserve">Undisputed leader in live casino. Owns NetEnt, Red Tiger, Big Time Gaming. Known for Lightning Roulette, Crazy Time, Monopoly Live. Best for: Operators prioritizing live dealer experiences.</w:t>
      </w:r>
    </w:p>
    <w:p>
      <w:pPr>
        <w:numPr>
          <w:ilvl w:val="0"/>
          <w:numId w:val="1010"/>
        </w:numPr>
      </w:pPr>
      <w:r>
        <w:rPr>
          <w:b/>
          <w:bCs/>
        </w:rPr>
        <w:t xml:space="preserve">Pragmatic Play:</w:t>
      </w:r>
      <w:r>
        <w:t xml:space="preserve"> </w:t>
      </w:r>
      <w:r>
        <w:t xml:space="preserve">Most prolific slot developer—8 new releases monthly, 900+ games. Gates of Olympus, Sweet Bonanza, Dog House Megaways. Strong in Latin America with localized content. Best for: Broad appeal, high release frequency.</w:t>
      </w:r>
    </w:p>
    <w:p>
      <w:pPr>
        <w:numPr>
          <w:ilvl w:val="0"/>
          <w:numId w:val="1010"/>
        </w:numPr>
      </w:pPr>
      <w:r>
        <w:rPr>
          <w:b/>
          <w:bCs/>
        </w:rPr>
        <w:t xml:space="preserve">NetEnt:</w:t>
      </w:r>
      <w:r>
        <w:t xml:space="preserve"> </w:t>
      </w:r>
      <w:r>
        <w:t xml:space="preserve">Iconic slot brand (now part of Evolution). Starburst, Gonzo’s Quest, branded titles. Wide regulatory coverage. Best for: Classic slot players, strong brand recognition.</w:t>
      </w:r>
    </w:p>
    <w:p>
      <w:pPr>
        <w:numPr>
          <w:ilvl w:val="0"/>
          <w:numId w:val="1010"/>
        </w:numPr>
      </w:pPr>
      <w:r>
        <w:rPr>
          <w:b/>
          <w:bCs/>
        </w:rPr>
        <w:t xml:space="preserve">Play’n GO:</w:t>
      </w:r>
      <w:r>
        <w:t xml:space="preserve"> </w:t>
      </w:r>
      <w:r>
        <w:t xml:space="preserve">Premium slots with innovative mechanics. Book of Dead, Reactoonz series. Strong European presence. Best for: Quality over quantity, premium positioning.</w:t>
      </w:r>
    </w:p>
    <w:p>
      <w:pPr>
        <w:numPr>
          <w:ilvl w:val="0"/>
          <w:numId w:val="1010"/>
        </w:numPr>
      </w:pPr>
      <w:r>
        <w:rPr>
          <w:b/>
          <w:bCs/>
        </w:rPr>
        <w:t xml:space="preserve">Hacksaw Gaming:</w:t>
      </w:r>
      <w:r>
        <w:t xml:space="preserve"> </w:t>
      </w:r>
      <w:r>
        <w:t xml:space="preserve">Rising star since 2018. Hand of Anubis, Chaos Crew. Known for bold visuals and high volatility. Best for: Younger audiences, crypto-friendly casinos.</w:t>
      </w:r>
    </w:p>
    <w:p>
      <w:pPr>
        <w:numPr>
          <w:ilvl w:val="0"/>
          <w:numId w:val="1010"/>
        </w:numPr>
      </w:pPr>
      <w:r>
        <w:rPr>
          <w:b/>
          <w:bCs/>
        </w:rPr>
        <w:t xml:space="preserve">Nolimit City:</w:t>
      </w:r>
      <w:r>
        <w:t xml:space="preserve"> </w:t>
      </w:r>
      <w:r>
        <w:t xml:space="preserve">Swedish studio with unconventional themes and extreme volatility. Mental, San Quentin, Fire in the Hole. Best for: Niche audiences seeking edgy content.</w:t>
      </w:r>
    </w:p>
    <w:p>
      <w:pPr>
        <w:numPr>
          <w:ilvl w:val="0"/>
          <w:numId w:val="1010"/>
        </w:numPr>
      </w:pPr>
      <w:r>
        <w:rPr>
          <w:b/>
          <w:bCs/>
        </w:rPr>
        <w:t xml:space="preserve">BGaming:</w:t>
      </w:r>
      <w:r>
        <w:t xml:space="preserve"> </w:t>
      </w:r>
      <w:r>
        <w:t xml:space="preserve">Strong crypto integration, provably fair games. Aviamasters won Game of the Year at SiGMA 2025. Best for: Crypto casinos, innovative mechanics.</w:t>
      </w:r>
    </w:p>
    <w:bookmarkEnd w:id="32"/>
    <w:bookmarkStart w:id="33" w:name="what-rankings-dont-show"/>
    <w:p>
      <w:pPr>
        <w:pStyle w:val="Heading4"/>
      </w:pPr>
      <w:r>
        <w:t xml:space="preserve">What rankings don’t show</w:t>
      </w:r>
    </w:p>
    <w:p>
      <w:pPr>
        <w:pStyle w:val="FirstParagraph"/>
      </w:pPr>
      <w:r>
        <w:t xml:space="preserve">Provider performance varies dramatically by market. Pragmatic dominates Latin America; Evolution rules live casino globally; local providers often outperform in specific regions.</w:t>
      </w:r>
    </w:p>
    <w:bookmarkEnd w:id="33"/>
    <w:bookmarkStart w:id="35" w:name="how-to-actually-choose"/>
    <w:p>
      <w:pPr>
        <w:pStyle w:val="Heading4"/>
      </w:pPr>
      <w:r>
        <w:t xml:space="preserve">How to actually choose</w:t>
      </w:r>
    </w:p>
    <w:p>
      <w:pPr>
        <w:pStyle w:val="Compact"/>
        <w:numPr>
          <w:ilvl w:val="0"/>
          <w:numId w:val="1011"/>
        </w:numPr>
      </w:pPr>
      <w:r>
        <w:t xml:space="preserve">Analyze your target player demographics and preferences</w:t>
      </w:r>
    </w:p>
    <w:p>
      <w:pPr>
        <w:pStyle w:val="Compact"/>
        <w:numPr>
          <w:ilvl w:val="0"/>
          <w:numId w:val="1011"/>
        </w:numPr>
      </w:pPr>
      <w:r>
        <w:t xml:space="preserve">Review competitor lobbies in your target markets</w:t>
      </w:r>
    </w:p>
    <w:p>
      <w:pPr>
        <w:pStyle w:val="Compact"/>
        <w:numPr>
          <w:ilvl w:val="0"/>
          <w:numId w:val="1011"/>
        </w:numPr>
      </w:pPr>
      <w:r>
        <w:t xml:space="preserve">Test providers through aggregator before committing to direct integration</w:t>
      </w:r>
    </w:p>
    <w:p>
      <w:pPr>
        <w:pStyle w:val="Compact"/>
        <w:numPr>
          <w:ilvl w:val="0"/>
          <w:numId w:val="1011"/>
        </w:numPr>
      </w:pPr>
      <w:r>
        <w:t xml:space="preserve">Prioritize 5-7 core providers, use aggregator for the rest</w:t>
      </w:r>
    </w:p>
    <w:p>
      <w:pPr>
        <w:pStyle w:val="FirstParagraph"/>
      </w:pPr>
      <w:r>
        <w:t xml:space="preserve">Related:</w:t>
      </w:r>
      <w:r>
        <w:t xml:space="preserve"> </w:t>
      </w:r>
      <w:hyperlink r:id="rId34">
        <w:r>
          <w:rPr>
            <w:rStyle w:val="Hyperlink"/>
          </w:rPr>
          <w:t xml:space="preserve">Live Casino Studios</w:t>
        </w:r>
      </w:hyperlink>
    </w:p>
    <w:p>
      <w:r>
        <w:pict>
          <v:rect style="width:0;height:1.5pt" o:hralign="center" o:hrstd="t" o:hr="t"/>
        </w:pict>
      </w:r>
    </w:p>
    <w:bookmarkEnd w:id="35"/>
    <w:bookmarkEnd w:id="36"/>
    <w:bookmarkStart w:id="67" w:name="X75186bb2d259649ee30396b6485a516496455ab"/>
    <w:p>
      <w:pPr>
        <w:pStyle w:val="Heading2"/>
      </w:pPr>
      <w:r>
        <w:t xml:space="preserve">What are the risks and challenges of working with game providers?</w:t>
      </w:r>
    </w:p>
    <w:p>
      <w:pPr>
        <w:pStyle w:val="FirstParagraph"/>
      </w:pPr>
      <w:r>
        <w:t xml:space="preserve">Game provider relationships involve real operational and business risks that affect your margins, compliance, and competitive positioning. Understanding these challenges helps you structure better partnerships.</w:t>
      </w:r>
    </w:p>
    <w:bookmarkStart w:id="38" w:name="genuine-challenges"/>
    <w:p>
      <w:pPr>
        <w:pStyle w:val="Heading4"/>
      </w:pPr>
      <w:r>
        <w:t xml:space="preserve">Genuine challenges</w:t>
      </w:r>
    </w:p>
    <w:p>
      <w:pPr>
        <w:pStyle w:val="FirstParagraph"/>
      </w:pPr>
      <w:r>
        <w:rPr>
          <w:b/>
          <w:bCs/>
        </w:rPr>
        <w:t xml:space="preserve">1. Premium content isn’t guaranteed</w:t>
      </w:r>
      <w:r>
        <w:t xml:space="preserve"> </w:t>
      </w:r>
      <w:r>
        <w:t xml:space="preserve">Top providers like Evolution and Pragmatic Play are selective about partners. New operators may be rejected or offered unfavorable terms. Some providers only work through aggregators, limiting your ability to negotiate directly.</w:t>
      </w:r>
    </w:p>
    <w:p>
      <w:pPr>
        <w:pStyle w:val="BodyText"/>
      </w:pPr>
      <w:r>
        <w:rPr>
          <w:b/>
          <w:bCs/>
        </w:rPr>
        <w:t xml:space="preserve">2. RTP and margin management</w:t>
      </w:r>
      <w:r>
        <w:t xml:space="preserve"> </w:t>
      </w:r>
      <w:r>
        <w:t xml:space="preserve">Operators walk a fine line between player appeal and profitability. Higher RTP (96%+) attracts players but reduces margin. Lower RTP (94%) improves margin but may drive players to competitors. Providers offer multiple RTP variants—choosing wrong affects both player satisfaction and revenue.</w:t>
      </w:r>
    </w:p>
    <w:p>
      <w:pPr>
        <w:pStyle w:val="BodyText"/>
      </w:pPr>
      <w:r>
        <w:rPr>
          <w:b/>
          <w:bCs/>
        </w:rPr>
        <w:t xml:space="preserve">3. Exclusivity can backfire</w:t>
      </w:r>
      <w:r>
        <w:t xml:space="preserve"> </w:t>
      </w:r>
      <w:r>
        <w:t xml:space="preserve">If a major provider pulls out of your market due to regulatory changes (as has happened in Germany and Netherlands), you lose access to content your players expect. Over-reliance on any single provider is a risk.</w:t>
      </w:r>
    </w:p>
    <w:p>
      <w:pPr>
        <w:pStyle w:val="BodyText"/>
      </w:pPr>
      <w:r>
        <w:rPr>
          <w:b/>
          <w:bCs/>
        </w:rPr>
        <w:t xml:space="preserve">4. Compliance complexity scales with providers</w:t>
      </w:r>
      <w:r>
        <w:t xml:space="preserve"> </w:t>
      </w:r>
      <w:r>
        <w:t xml:space="preserve">Each provider must be certified for each jurisdiction. 20 providers × 5 markets = 100 certifications to manage. Regulatory changes require provider-by-provider updates.</w:t>
      </w:r>
    </w:p>
    <w:p>
      <w:pPr>
        <w:pStyle w:val="BodyText"/>
      </w:pPr>
      <w:r>
        <w:rPr>
          <w:b/>
          <w:bCs/>
        </w:rPr>
        <w:t xml:space="preserve">5. New release pressure is constant</w:t>
      </w:r>
      <w:r>
        <w:t xml:space="preserve"> </w:t>
      </w:r>
      <w:r>
        <w:t xml:space="preserve">Players expect fresh content. Providers release 4-8 games monthly. Managing new integrations, testing, and lobby positioning is ongoing operational work.</w:t>
      </w:r>
    </w:p>
    <w:p>
      <w:pPr>
        <w:pStyle w:val="BodyText"/>
      </w:pPr>
      <w:r>
        <w:t xml:space="preserve">Despite these challenges, diverse provider relationships are essential. The solution is strategic selection, not avoidance.</w:t>
      </w:r>
    </w:p>
    <w:p>
      <w:pPr>
        <w:pStyle w:val="BodyText"/>
      </w:pPr>
      <w:r>
        <w:t xml:space="preserve">Related:</w:t>
      </w:r>
      <w:r>
        <w:t xml:space="preserve"> </w:t>
      </w:r>
      <w:hyperlink r:id="rId37">
        <w:r>
          <w:rPr>
            <w:rStyle w:val="Hyperlink"/>
          </w:rPr>
          <w:t xml:space="preserve">Compliance &amp; Regulatory Services</w:t>
        </w:r>
      </w:hyperlink>
    </w:p>
    <w:p>
      <w:r>
        <w:pict>
          <v:rect style="width:0;height:1.5pt" o:hralign="center" o:hrstd="t" o:hr="t"/>
        </w:pict>
      </w:r>
    </w:p>
    <w:bookmarkEnd w:id="38"/>
    <w:bookmarkStart w:id="43" w:name="Xb0b75f3823f385b36dc9fe186848471d406da04"/>
    <w:p>
      <w:pPr>
        <w:pStyle w:val="Heading3"/>
      </w:pPr>
      <w:r>
        <w:t xml:space="preserve">What is RTP and why does it matter for operators?</w:t>
      </w:r>
    </w:p>
    <w:p>
      <w:pPr>
        <w:pStyle w:val="FirstParagraph"/>
      </w:pPr>
      <w:r>
        <w:t xml:space="preserve">RTP (Return to Player) is the percentage of wagered money a slot machine returns to players over time—typically 94-98% for online slots. It directly affects both player perception and operator margins, making it one of the most important content decisions you’ll make.</w:t>
      </w:r>
    </w:p>
    <w:bookmarkStart w:id="39" w:name="how-rtp-works"/>
    <w:p>
      <w:pPr>
        <w:pStyle w:val="Heading4"/>
      </w:pPr>
      <w:r>
        <w:t xml:space="preserve">How RTP works</w:t>
      </w:r>
    </w:p>
    <w:p>
      <w:pPr>
        <w:pStyle w:val="Compact"/>
        <w:numPr>
          <w:ilvl w:val="0"/>
          <w:numId w:val="1012"/>
        </w:numPr>
      </w:pPr>
      <w:r>
        <w:t xml:space="preserve">96% RTP means for every €100 wagered, €96 returns to players over millions of spins</w:t>
      </w:r>
    </w:p>
    <w:p>
      <w:pPr>
        <w:pStyle w:val="Compact"/>
        <w:numPr>
          <w:ilvl w:val="0"/>
          <w:numId w:val="1012"/>
        </w:numPr>
      </w:pPr>
      <w:r>
        <w:t xml:space="preserve">The remaining 4% is GGR (Gross Gaming Revenue) split between operator and provider</w:t>
      </w:r>
    </w:p>
    <w:p>
      <w:pPr>
        <w:pStyle w:val="Compact"/>
        <w:numPr>
          <w:ilvl w:val="0"/>
          <w:numId w:val="1012"/>
        </w:numPr>
      </w:pPr>
      <w:r>
        <w:t xml:space="preserve">Higher RTP = lower margin but better player experience</w:t>
      </w:r>
    </w:p>
    <w:p>
      <w:pPr>
        <w:pStyle w:val="Compact"/>
        <w:numPr>
          <w:ilvl w:val="0"/>
          <w:numId w:val="1012"/>
        </w:numPr>
      </w:pPr>
      <w:r>
        <w:t xml:space="preserve">Lower RTP = higher margin but potentially lower player retention</w:t>
      </w:r>
    </w:p>
    <w:bookmarkEnd w:id="39"/>
    <w:bookmarkStart w:id="40" w:name="rtp-configuration-options"/>
    <w:p>
      <w:pPr>
        <w:pStyle w:val="Heading4"/>
      </w:pPr>
      <w:r>
        <w:t xml:space="preserve">RTP configuration options</w:t>
      </w:r>
    </w:p>
    <w:p>
      <w:pPr>
        <w:pStyle w:val="FirstParagraph"/>
      </w:pPr>
      <w:r>
        <w:t xml:space="preserve">Many providers offer multiple RTP variants for the same game:</w:t>
      </w:r>
      <w:r>
        <w:t xml:space="preserve"> </w:t>
      </w:r>
      <w:r>
        <w:t xml:space="preserve">-</w:t>
      </w:r>
      <w:r>
        <w:t xml:space="preserve"> </w:t>
      </w:r>
      <w:r>
        <w:rPr>
          <w:b/>
          <w:bCs/>
        </w:rPr>
        <w:t xml:space="preserve">High RTP (96-98%):</w:t>
      </w:r>
      <w:r>
        <w:t xml:space="preserve"> </w:t>
      </w:r>
      <w:r>
        <w:t xml:space="preserve">Player-friendly, good for competitive markets</w:t>
      </w:r>
      <w:r>
        <w:t xml:space="preserve"> </w:t>
      </w:r>
      <w:r>
        <w:t xml:space="preserve">-</w:t>
      </w:r>
      <w:r>
        <w:t xml:space="preserve"> </w:t>
      </w:r>
      <w:r>
        <w:rPr>
          <w:b/>
          <w:bCs/>
        </w:rPr>
        <w:t xml:space="preserve">Standard RTP (94-96%):</w:t>
      </w:r>
      <w:r>
        <w:t xml:space="preserve"> </w:t>
      </w:r>
      <w:r>
        <w:t xml:space="preserve">Balanced, most common setting</w:t>
      </w:r>
      <w:r>
        <w:t xml:space="preserve"> </w:t>
      </w:r>
      <w:r>
        <w:t xml:space="preserve">-</w:t>
      </w:r>
      <w:r>
        <w:t xml:space="preserve"> </w:t>
      </w:r>
      <w:r>
        <w:rPr>
          <w:b/>
          <w:bCs/>
        </w:rPr>
        <w:t xml:space="preserve">Low RTP (92-94%):</w:t>
      </w:r>
      <w:r>
        <w:t xml:space="preserve"> </w:t>
      </w:r>
      <w:r>
        <w:t xml:space="preserve">Higher margin, may be required in some jurisdictions</w:t>
      </w:r>
    </w:p>
    <w:bookmarkEnd w:id="40"/>
    <w:bookmarkStart w:id="41" w:name="operator-considerations"/>
    <w:p>
      <w:pPr>
        <w:pStyle w:val="Heading4"/>
      </w:pPr>
      <w:r>
        <w:t xml:space="preserve">Operator considerations</w:t>
      </w:r>
    </w:p>
    <w:p>
      <w:pPr>
        <w:pStyle w:val="Compact"/>
        <w:numPr>
          <w:ilvl w:val="0"/>
          <w:numId w:val="1013"/>
        </w:numPr>
      </w:pPr>
      <w:r>
        <w:rPr>
          <w:b/>
          <w:bCs/>
        </w:rPr>
        <w:t xml:space="preserve">Regulatory requirements:</w:t>
      </w:r>
      <w:r>
        <w:t xml:space="preserve"> </w:t>
      </w:r>
      <w:r>
        <w:t xml:space="preserve">Some jurisdictions mandate minimum RTP (UK requires display, not minimum)</w:t>
      </w:r>
    </w:p>
    <w:p>
      <w:pPr>
        <w:pStyle w:val="Compact"/>
        <w:numPr>
          <w:ilvl w:val="0"/>
          <w:numId w:val="1013"/>
        </w:numPr>
      </w:pPr>
      <w:r>
        <w:rPr>
          <w:b/>
          <w:bCs/>
        </w:rPr>
        <w:t xml:space="preserve">Competitive positioning:</w:t>
      </w:r>
      <w:r>
        <w:t xml:space="preserve"> </w:t>
      </w:r>
      <w:r>
        <w:t xml:space="preserve">Premium brands often run higher RTP to differentiate</w:t>
      </w:r>
    </w:p>
    <w:p>
      <w:pPr>
        <w:pStyle w:val="Compact"/>
        <w:numPr>
          <w:ilvl w:val="0"/>
          <w:numId w:val="1013"/>
        </w:numPr>
      </w:pPr>
      <w:r>
        <w:rPr>
          <w:b/>
          <w:bCs/>
        </w:rPr>
        <w:t xml:space="preserve">Player expectations:</w:t>
      </w:r>
      <w:r>
        <w:t xml:space="preserve"> </w:t>
      </w:r>
      <w:r>
        <w:t xml:space="preserve">Educated players check RTP; low settings can drive them away</w:t>
      </w:r>
    </w:p>
    <w:p>
      <w:pPr>
        <w:pStyle w:val="Compact"/>
        <w:numPr>
          <w:ilvl w:val="0"/>
          <w:numId w:val="1013"/>
        </w:numPr>
      </w:pPr>
      <w:r>
        <w:rPr>
          <w:b/>
          <w:bCs/>
        </w:rPr>
        <w:t xml:space="preserve">Transparency requirements:</w:t>
      </w:r>
      <w:r>
        <w:t xml:space="preserve"> </w:t>
      </w:r>
      <w:r>
        <w:t xml:space="preserve">Many regulators require RTP disclosure in game info</w:t>
      </w:r>
    </w:p>
    <w:bookmarkEnd w:id="41"/>
    <w:bookmarkStart w:id="42" w:name="the-reality"/>
    <w:p>
      <w:pPr>
        <w:pStyle w:val="Heading4"/>
      </w:pPr>
      <w:r>
        <w:t xml:space="preserve">The reality</w:t>
      </w:r>
    </w:p>
    <w:p>
      <w:pPr>
        <w:pStyle w:val="FirstParagraph"/>
      </w:pPr>
      <w:r>
        <w:t xml:space="preserve">Neither platform providers nor operators can tamper with RTP after certification—it’s locked by the provider and verified by testing labs. But you choose which variant to deploy. This choice affects your margin more than most operators realize.</w:t>
      </w:r>
    </w:p>
    <w:p>
      <w:pPr>
        <w:pStyle w:val="BodyText"/>
      </w:pPr>
      <w:r>
        <w:t xml:space="preserve">Related:</w:t>
      </w:r>
      <w:r>
        <w:t xml:space="preserve"> </w:t>
      </w:r>
      <w:hyperlink r:id="rId20">
        <w:r>
          <w:rPr>
            <w:rStyle w:val="Hyperlink"/>
          </w:rPr>
          <w:t xml:space="preserve">Game Testing &amp; Certification</w:t>
        </w:r>
      </w:hyperlink>
    </w:p>
    <w:p>
      <w:r>
        <w:pict>
          <v:rect style="width:0;height:1.5pt" o:hralign="center" o:hrstd="t" o:hr="t"/>
        </w:pict>
      </w:r>
    </w:p>
    <w:bookmarkEnd w:id="42"/>
    <w:bookmarkEnd w:id="43"/>
    <w:bookmarkStart w:id="47" w:name="X63fc6e0e522eb3549bfe18845d4d5ec37fad0a9"/>
    <w:p>
      <w:pPr>
        <w:pStyle w:val="Heading3"/>
      </w:pPr>
      <w:r>
        <w:t xml:space="preserve">What are red flags when choosing a game provider?</w:t>
      </w:r>
    </w:p>
    <w:p>
      <w:pPr>
        <w:pStyle w:val="FirstParagraph"/>
      </w:pPr>
      <w:r>
        <w:t xml:space="preserve">The biggest warning signs are missing certifications, unclear revenue share terms, and inability to provide operator references. These typically indicate either inexperience or compliance issues that could affect your license.</w:t>
      </w:r>
    </w:p>
    <w:bookmarkStart w:id="44" w:name="red-flags-to-watch-for"/>
    <w:p>
      <w:pPr>
        <w:pStyle w:val="Heading4"/>
      </w:pPr>
      <w:r>
        <w:t xml:space="preserve">Red flags to watch for</w:t>
      </w:r>
    </w:p>
    <w:p>
      <w:pPr>
        <w:pStyle w:val="Compact"/>
        <w:numPr>
          <w:ilvl w:val="0"/>
          <w:numId w:val="1014"/>
        </w:numPr>
      </w:pPr>
      <w:r>
        <w:rPr>
          <w:b/>
          <w:bCs/>
        </w:rPr>
        <w:t xml:space="preserve">No certification for your target markets:</w:t>
      </w:r>
      <w:r>
        <w:t xml:space="preserve"> </w:t>
      </w:r>
      <w:r>
        <w:t xml:space="preserve">Legitimate providers have Malta, UK, and Curacao certifications at minimum. Missing certifications means you can’t legally offer their games.</w:t>
      </w:r>
    </w:p>
    <w:p>
      <w:pPr>
        <w:pStyle w:val="Compact"/>
        <w:numPr>
          <w:ilvl w:val="0"/>
          <w:numId w:val="1014"/>
        </w:numPr>
      </w:pPr>
      <w:r>
        <w:rPr>
          <w:b/>
          <w:bCs/>
        </w:rPr>
        <w:t xml:space="preserve">Unclear or changing commercial terms:</w:t>
      </w:r>
      <w:r>
        <w:t xml:space="preserve"> </w:t>
      </w:r>
      <w:r>
        <w:t xml:space="preserve">Revenue share should be explicit in contracts.</w:t>
      </w:r>
      <w:r>
        <w:t xml:space="preserve"> </w:t>
      </w:r>
      <w:r>
        <w:t xml:space="preserve">“We’ll discuss later”</w:t>
      </w:r>
      <w:r>
        <w:t xml:space="preserve"> </w:t>
      </w:r>
      <w:r>
        <w:t xml:space="preserve">is a red flag.</w:t>
      </w:r>
    </w:p>
    <w:p>
      <w:pPr>
        <w:pStyle w:val="Compact"/>
        <w:numPr>
          <w:ilvl w:val="0"/>
          <w:numId w:val="1014"/>
        </w:numPr>
      </w:pPr>
      <w:r>
        <w:rPr>
          <w:b/>
          <w:bCs/>
        </w:rPr>
        <w:t xml:space="preserve">No established operator references:</w:t>
      </w:r>
      <w:r>
        <w:t xml:space="preserve"> </w:t>
      </w:r>
      <w:r>
        <w:t xml:space="preserve">Any provider worth considering should have visible partnerships you can verify.</w:t>
      </w:r>
    </w:p>
    <w:p>
      <w:pPr>
        <w:pStyle w:val="Compact"/>
        <w:numPr>
          <w:ilvl w:val="0"/>
          <w:numId w:val="1014"/>
        </w:numPr>
      </w:pPr>
      <w:r>
        <w:rPr>
          <w:b/>
          <w:bCs/>
        </w:rPr>
        <w:t xml:space="preserve">Games not tested by recognized labs:</w:t>
      </w:r>
      <w:r>
        <w:t xml:space="preserve"> </w:t>
      </w:r>
      <w:r>
        <w:t xml:space="preserve">iTechLabs, BMM Testlabs, GLI, eCOGRA are industry standards. Unknown testing labs are suspect.</w:t>
      </w:r>
    </w:p>
    <w:p>
      <w:pPr>
        <w:pStyle w:val="Compact"/>
        <w:numPr>
          <w:ilvl w:val="0"/>
          <w:numId w:val="1014"/>
        </w:numPr>
      </w:pPr>
      <w:r>
        <w:rPr>
          <w:b/>
          <w:bCs/>
        </w:rPr>
        <w:t xml:space="preserve">Pressure to launch before certification:</w:t>
      </w:r>
      <w:r>
        <w:t xml:space="preserve"> </w:t>
      </w:r>
      <w:r>
        <w:t xml:space="preserve">Providers pushing you to go live without proper certification are risking your license.</w:t>
      </w:r>
    </w:p>
    <w:p>
      <w:pPr>
        <w:pStyle w:val="Compact"/>
        <w:numPr>
          <w:ilvl w:val="0"/>
          <w:numId w:val="1014"/>
        </w:numPr>
      </w:pPr>
      <w:r>
        <w:rPr>
          <w:b/>
          <w:bCs/>
        </w:rPr>
        <w:t xml:space="preserve">No back-office or reporting access:</w:t>
      </w:r>
      <w:r>
        <w:t xml:space="preserve"> </w:t>
      </w:r>
      <w:r>
        <w:t xml:space="preserve">You need real-time visibility into game performance and player activity.</w:t>
      </w:r>
    </w:p>
    <w:bookmarkEnd w:id="44"/>
    <w:bookmarkStart w:id="46" w:name="due-diligence-essentials"/>
    <w:p>
      <w:pPr>
        <w:pStyle w:val="Heading4"/>
      </w:pPr>
      <w:r>
        <w:t xml:space="preserve">Due diligence essentials</w:t>
      </w:r>
    </w:p>
    <w:p>
      <w:pPr>
        <w:pStyle w:val="Compact"/>
        <w:numPr>
          <w:ilvl w:val="0"/>
          <w:numId w:val="1015"/>
        </w:numPr>
      </w:pPr>
      <w:r>
        <w:t xml:space="preserve">Request certification certificates for each target jurisdiction</w:t>
      </w:r>
    </w:p>
    <w:p>
      <w:pPr>
        <w:pStyle w:val="Compact"/>
        <w:numPr>
          <w:ilvl w:val="0"/>
          <w:numId w:val="1015"/>
        </w:numPr>
      </w:pPr>
      <w:r>
        <w:t xml:space="preserve">Ask for 3+ operator references you can contact directly</w:t>
      </w:r>
    </w:p>
    <w:p>
      <w:pPr>
        <w:pStyle w:val="Compact"/>
        <w:numPr>
          <w:ilvl w:val="0"/>
          <w:numId w:val="1015"/>
        </w:numPr>
      </w:pPr>
      <w:r>
        <w:t xml:space="preserve">Test games in demo mode extensively before integration</w:t>
      </w:r>
    </w:p>
    <w:p>
      <w:pPr>
        <w:pStyle w:val="Compact"/>
        <w:numPr>
          <w:ilvl w:val="0"/>
          <w:numId w:val="1015"/>
        </w:numPr>
      </w:pPr>
      <w:r>
        <w:t xml:space="preserve">Review contract terms with legal counsel, especially exclusivity and termination clauses</w:t>
      </w:r>
    </w:p>
    <w:p>
      <w:pPr>
        <w:pStyle w:val="Compact"/>
        <w:numPr>
          <w:ilvl w:val="0"/>
          <w:numId w:val="1015"/>
        </w:numPr>
      </w:pPr>
      <w:r>
        <w:t xml:space="preserve">Verify the provider appears on regulated operator sites in your target markets</w:t>
      </w:r>
    </w:p>
    <w:p>
      <w:pPr>
        <w:pStyle w:val="FirstParagraph"/>
      </w:pPr>
      <w:r>
        <w:t xml:space="preserve">Related:</w:t>
      </w:r>
      <w:r>
        <w:t xml:space="preserve"> </w:t>
      </w:r>
      <w:hyperlink r:id="rId45">
        <w:r>
          <w:rPr>
            <w:rStyle w:val="Hyperlink"/>
          </w:rPr>
          <w:t xml:space="preserve">Game Security &amp; Fair Play</w:t>
        </w:r>
      </w:hyperlink>
    </w:p>
    <w:p>
      <w:r>
        <w:pict>
          <v:rect style="width:0;height:1.5pt" o:hralign="center" o:hrstd="t" o:hr="t"/>
        </w:pict>
      </w:r>
    </w:p>
    <w:bookmarkEnd w:id="46"/>
    <w:bookmarkEnd w:id="47"/>
    <w:bookmarkStart w:id="51" w:name="Xfb2edb4870ad90b9d42ce4719abb422a7838c22"/>
    <w:p>
      <w:pPr>
        <w:pStyle w:val="Heading3"/>
      </w:pPr>
      <w:r>
        <w:t xml:space="preserve">What mistakes do operators make with game providers?</w:t>
      </w:r>
    </w:p>
    <w:p>
      <w:pPr>
        <w:pStyle w:val="FirstParagraph"/>
      </w:pPr>
      <w:r>
        <w:t xml:space="preserve">The most expensive mistake is prioritizing game quantity over quality and fit. Having 15,000 games means nothing if players can’t find what they want or your lobby is cluttered with underperforming content.</w:t>
      </w:r>
    </w:p>
    <w:bookmarkStart w:id="48" w:name="common-mistakes"/>
    <w:p>
      <w:pPr>
        <w:pStyle w:val="Heading4"/>
      </w:pPr>
      <w:r>
        <w:t xml:space="preserve">Common mistakes</w:t>
      </w:r>
    </w:p>
    <w:p>
      <w:pPr>
        <w:numPr>
          <w:ilvl w:val="0"/>
          <w:numId w:val="1016"/>
        </w:numPr>
      </w:pPr>
      <w:r>
        <w:rPr>
          <w:b/>
          <w:bCs/>
        </w:rPr>
        <w:t xml:space="preserve">Adding every available provider:</w:t>
      </w:r>
      <w:r>
        <w:t xml:space="preserve"> </w:t>
      </w:r>
      <w:r>
        <w:t xml:space="preserve">More isn’t better. 50+ providers create operational complexity, lobby clutter, and diluted GGR across too many revenue shares. Focus on 10-15 core providers.</w:t>
      </w:r>
    </w:p>
    <w:p>
      <w:pPr>
        <w:numPr>
          <w:ilvl w:val="0"/>
          <w:numId w:val="1016"/>
        </w:numPr>
      </w:pPr>
      <w:r>
        <w:rPr>
          <w:b/>
          <w:bCs/>
        </w:rPr>
        <w:t xml:space="preserve">Ignoring regional preferences:</w:t>
      </w:r>
      <w:r>
        <w:t xml:space="preserve"> </w:t>
      </w:r>
      <w:r>
        <w:t xml:space="preserve">A lobby optimized for European players will underperform in Latin America. Pragmatic Play dominates LatAm; local providers matter in Asia. Research before selecting.</w:t>
      </w:r>
    </w:p>
    <w:p>
      <w:pPr>
        <w:numPr>
          <w:ilvl w:val="0"/>
          <w:numId w:val="1016"/>
        </w:numPr>
      </w:pPr>
      <w:r>
        <w:rPr>
          <w:b/>
          <w:bCs/>
        </w:rPr>
        <w:t xml:space="preserve">Accepting default RTP settings:</w:t>
      </w:r>
      <w:r>
        <w:t xml:space="preserve"> </w:t>
      </w:r>
      <w:r>
        <w:t xml:space="preserve">Providers often default to lower RTP settings. Review and choose settings that match your market positioning and regulatory requirements.</w:t>
      </w:r>
    </w:p>
    <w:p>
      <w:pPr>
        <w:numPr>
          <w:ilvl w:val="0"/>
          <w:numId w:val="1016"/>
        </w:numPr>
      </w:pPr>
      <w:r>
        <w:rPr>
          <w:b/>
          <w:bCs/>
        </w:rPr>
        <w:t xml:space="preserve">No new release strategy:</w:t>
      </w:r>
      <w:r>
        <w:t xml:space="preserve"> </w:t>
      </w:r>
      <w:r>
        <w:t xml:space="preserve">Games go stale. Top operators feature new releases prominently and retire underperforming games. Treat your lobby as dynamic inventory.</w:t>
      </w:r>
    </w:p>
    <w:p>
      <w:pPr>
        <w:numPr>
          <w:ilvl w:val="0"/>
          <w:numId w:val="1016"/>
        </w:numPr>
      </w:pPr>
      <w:r>
        <w:rPr>
          <w:b/>
          <w:bCs/>
        </w:rPr>
        <w:t xml:space="preserve">Not negotiating after proving performance:</w:t>
      </w:r>
      <w:r>
        <w:t xml:space="preserve"> </w:t>
      </w:r>
      <w:r>
        <w:t xml:space="preserve">Operators who demonstrate consistent GGR have negotiating power. Many never renegotiate their initial aggregator rates even after significant growth.</w:t>
      </w:r>
    </w:p>
    <w:bookmarkEnd w:id="48"/>
    <w:bookmarkStart w:id="50" w:name="how-to-avoid-these"/>
    <w:p>
      <w:pPr>
        <w:pStyle w:val="Heading4"/>
      </w:pPr>
      <w:r>
        <w:t xml:space="preserve">How to avoid these</w:t>
      </w:r>
    </w:p>
    <w:p>
      <w:pPr>
        <w:pStyle w:val="Compact"/>
        <w:numPr>
          <w:ilvl w:val="0"/>
          <w:numId w:val="1017"/>
        </w:numPr>
      </w:pPr>
      <w:r>
        <w:t xml:space="preserve">Start with focused provider selection based on target market research</w:t>
      </w:r>
    </w:p>
    <w:p>
      <w:pPr>
        <w:pStyle w:val="Compact"/>
        <w:numPr>
          <w:ilvl w:val="0"/>
          <w:numId w:val="1017"/>
        </w:numPr>
      </w:pPr>
      <w:r>
        <w:t xml:space="preserve">Track per-provider and per-game performance monthly</w:t>
      </w:r>
    </w:p>
    <w:p>
      <w:pPr>
        <w:pStyle w:val="Compact"/>
        <w:numPr>
          <w:ilvl w:val="0"/>
          <w:numId w:val="1017"/>
        </w:numPr>
      </w:pPr>
      <w:r>
        <w:t xml:space="preserve">Review RTP settings against competitor positioning</w:t>
      </w:r>
    </w:p>
    <w:p>
      <w:pPr>
        <w:pStyle w:val="Compact"/>
        <w:numPr>
          <w:ilvl w:val="0"/>
          <w:numId w:val="1017"/>
        </w:numPr>
      </w:pPr>
      <w:r>
        <w:t xml:space="preserve">Renegotiate terms annually based on actual GGR delivered</w:t>
      </w:r>
    </w:p>
    <w:p>
      <w:pPr>
        <w:pStyle w:val="Compact"/>
        <w:numPr>
          <w:ilvl w:val="0"/>
          <w:numId w:val="1017"/>
        </w:numPr>
      </w:pPr>
      <w:r>
        <w:t xml:space="preserve">Maintain dynamic lobby curation, not static game lists</w:t>
      </w:r>
    </w:p>
    <w:p>
      <w:pPr>
        <w:pStyle w:val="FirstParagraph"/>
      </w:pPr>
      <w:r>
        <w:t xml:space="preserve">Related:</w:t>
      </w:r>
      <w:r>
        <w:t xml:space="preserve"> </w:t>
      </w:r>
      <w:hyperlink r:id="rId49">
        <w:r>
          <w:rPr>
            <w:rStyle w:val="Hyperlink"/>
          </w:rPr>
          <w:t xml:space="preserve">Data &amp; Analytics</w:t>
        </w:r>
      </w:hyperlink>
    </w:p>
    <w:p>
      <w:r>
        <w:pict>
          <v:rect style="width:0;height:1.5pt" o:hralign="center" o:hrstd="t" o:hr="t"/>
        </w:pict>
      </w:r>
    </w:p>
    <w:bookmarkEnd w:id="50"/>
    <w:bookmarkEnd w:id="51"/>
    <w:bookmarkStart w:id="56" w:name="Xd0fd8e49b6f1e59a428812cea7725db779a9fb3"/>
    <w:p>
      <w:pPr>
        <w:pStyle w:val="Heading3"/>
      </w:pPr>
      <w:r>
        <w:t xml:space="preserve">What about exclusive or in-house game content?</w:t>
      </w:r>
    </w:p>
    <w:p>
      <w:pPr>
        <w:pStyle w:val="FirstParagraph"/>
      </w:pPr>
      <w:r>
        <w:t xml:space="preserve">Exclusive content—either through early access deals, custom-branded games, or in-house development—can differentiate your brand but comes with significant costs and complexity. Most operators don’t need it until they’ve established substantial traffic.</w:t>
      </w:r>
    </w:p>
    <w:bookmarkStart w:id="52" w:name="types-of-exclusive-content"/>
    <w:p>
      <w:pPr>
        <w:pStyle w:val="Heading4"/>
      </w:pPr>
      <w:r>
        <w:t xml:space="preserve">Types of exclusive content</w:t>
      </w:r>
    </w:p>
    <w:p>
      <w:pPr>
        <w:pStyle w:val="Compact"/>
        <w:numPr>
          <w:ilvl w:val="0"/>
          <w:numId w:val="1018"/>
        </w:numPr>
      </w:pPr>
      <w:r>
        <w:rPr>
          <w:b/>
          <w:bCs/>
        </w:rPr>
        <w:t xml:space="preserve">Early access:</w:t>
      </w:r>
      <w:r>
        <w:t xml:space="preserve"> </w:t>
      </w:r>
      <w:r>
        <w:t xml:space="preserve">First-to-market with new releases for 1-4 weeks before competitors</w:t>
      </w:r>
    </w:p>
    <w:p>
      <w:pPr>
        <w:pStyle w:val="Compact"/>
        <w:numPr>
          <w:ilvl w:val="0"/>
          <w:numId w:val="1018"/>
        </w:numPr>
      </w:pPr>
      <w:r>
        <w:rPr>
          <w:b/>
          <w:bCs/>
        </w:rPr>
        <w:t xml:space="preserve">Branded exclusives:</w:t>
      </w:r>
      <w:r>
        <w:t xml:space="preserve"> </w:t>
      </w:r>
      <w:r>
        <w:t xml:space="preserve">Custom themes or mechanics developed for your casino only</w:t>
      </w:r>
    </w:p>
    <w:p>
      <w:pPr>
        <w:pStyle w:val="Compact"/>
        <w:numPr>
          <w:ilvl w:val="0"/>
          <w:numId w:val="1018"/>
        </w:numPr>
      </w:pPr>
      <w:r>
        <w:rPr>
          <w:b/>
          <w:bCs/>
        </w:rPr>
        <w:t xml:space="preserve">In-house development:</w:t>
      </w:r>
      <w:r>
        <w:t xml:space="preserve"> </w:t>
      </w:r>
      <w:r>
        <w:t xml:space="preserve">Building your own game studio (like Stake’s Paperclip Gaming)</w:t>
      </w:r>
    </w:p>
    <w:p>
      <w:pPr>
        <w:pStyle w:val="Compact"/>
        <w:numPr>
          <w:ilvl w:val="0"/>
          <w:numId w:val="1018"/>
        </w:numPr>
      </w:pPr>
      <w:r>
        <w:rPr>
          <w:b/>
          <w:bCs/>
        </w:rPr>
        <w:t xml:space="preserve">White-label games:</w:t>
      </w:r>
      <w:r>
        <w:t xml:space="preserve"> </w:t>
      </w:r>
      <w:r>
        <w:t xml:space="preserve">Provider creates games with your branding</w:t>
      </w:r>
    </w:p>
    <w:bookmarkEnd w:id="52"/>
    <w:bookmarkStart w:id="53" w:name="cost-considerations"/>
    <w:p>
      <w:pPr>
        <w:pStyle w:val="Heading4"/>
      </w:pPr>
      <w:r>
        <w:t xml:space="preserve">Cost considerations</w:t>
      </w:r>
    </w:p>
    <w:p>
      <w:pPr>
        <w:pStyle w:val="Compact"/>
        <w:numPr>
          <w:ilvl w:val="0"/>
          <w:numId w:val="1019"/>
        </w:numPr>
      </w:pPr>
      <w:r>
        <w:t xml:space="preserve">Early access: Typically negotiated as part of volume commitment, minimal additional cost</w:t>
      </w:r>
    </w:p>
    <w:p>
      <w:pPr>
        <w:pStyle w:val="Compact"/>
        <w:numPr>
          <w:ilvl w:val="0"/>
          <w:numId w:val="1019"/>
        </w:numPr>
      </w:pPr>
      <w:r>
        <w:t xml:space="preserve">Branded exclusives: €50,000-€200,000+ per game depending on complexity</w:t>
      </w:r>
    </w:p>
    <w:p>
      <w:pPr>
        <w:pStyle w:val="Compact"/>
        <w:numPr>
          <w:ilvl w:val="0"/>
          <w:numId w:val="1019"/>
        </w:numPr>
      </w:pPr>
      <w:r>
        <w:t xml:space="preserve">In-house studio: €500,000+ to establish, plus ongoing development team costs</w:t>
      </w:r>
    </w:p>
    <w:p>
      <w:pPr>
        <w:pStyle w:val="Compact"/>
        <w:numPr>
          <w:ilvl w:val="0"/>
          <w:numId w:val="1019"/>
        </w:numPr>
      </w:pPr>
      <w:r>
        <w:t xml:space="preserve">White-label: €10,000-€50,000 per game plus ongoing royalties</w:t>
      </w:r>
    </w:p>
    <w:bookmarkEnd w:id="53"/>
    <w:bookmarkStart w:id="54" w:name="when-exclusivity-makes-sense"/>
    <w:p>
      <w:pPr>
        <w:pStyle w:val="Heading4"/>
      </w:pPr>
      <w:r>
        <w:t xml:space="preserve">When exclusivity makes sense</w:t>
      </w:r>
    </w:p>
    <w:p>
      <w:pPr>
        <w:pStyle w:val="Compact"/>
        <w:numPr>
          <w:ilvl w:val="0"/>
          <w:numId w:val="1020"/>
        </w:numPr>
      </w:pPr>
      <w:r>
        <w:t xml:space="preserve">You’re generating €1M+ monthly GGR and need differentiation</w:t>
      </w:r>
    </w:p>
    <w:p>
      <w:pPr>
        <w:pStyle w:val="Compact"/>
        <w:numPr>
          <w:ilvl w:val="0"/>
          <w:numId w:val="1020"/>
        </w:numPr>
      </w:pPr>
      <w:r>
        <w:t xml:space="preserve">Your brand identity benefits from unique content</w:t>
      </w:r>
    </w:p>
    <w:p>
      <w:pPr>
        <w:pStyle w:val="Compact"/>
        <w:numPr>
          <w:ilvl w:val="0"/>
          <w:numId w:val="1020"/>
        </w:numPr>
      </w:pPr>
      <w:r>
        <w:t xml:space="preserve">You’re targeting a niche audience with specific preferences</w:t>
      </w:r>
    </w:p>
    <w:p>
      <w:pPr>
        <w:pStyle w:val="Compact"/>
        <w:numPr>
          <w:ilvl w:val="0"/>
          <w:numId w:val="1020"/>
        </w:numPr>
      </w:pPr>
      <w:r>
        <w:t xml:space="preserve">Competitors in your market all have identical lobbies</w:t>
      </w:r>
    </w:p>
    <w:bookmarkEnd w:id="54"/>
    <w:bookmarkStart w:id="55" w:name="the-reality-1"/>
    <w:p>
      <w:pPr>
        <w:pStyle w:val="Heading4"/>
      </w:pPr>
      <w:r>
        <w:t xml:space="preserve">The reality</w:t>
      </w:r>
    </w:p>
    <w:p>
      <w:pPr>
        <w:pStyle w:val="FirstParagraph"/>
      </w:pPr>
      <w:r>
        <w:t xml:space="preserve">For most operators, a well-curated selection from top providers with strong lobby management beats exclusive content. Focus on fundamentals before pursuing differentiation through exclusives.</w:t>
      </w:r>
    </w:p>
    <w:p>
      <w:pPr>
        <w:pStyle w:val="BodyText"/>
      </w:pPr>
      <w:r>
        <w:t xml:space="preserve">Related:</w:t>
      </w:r>
      <w:r>
        <w:t xml:space="preserve"> </w:t>
      </w:r>
      <w:hyperlink r:id="rId11">
        <w:r>
          <w:rPr>
            <w:rStyle w:val="Hyperlink"/>
          </w:rPr>
          <w:t xml:space="preserve">Game Developers</w:t>
        </w:r>
      </w:hyperlink>
    </w:p>
    <w:p>
      <w:r>
        <w:pict>
          <v:rect style="width:0;height:1.5pt" o:hralign="center" o:hrstd="t" o:hr="t"/>
        </w:pict>
      </w:r>
    </w:p>
    <w:bookmarkEnd w:id="55"/>
    <w:bookmarkEnd w:id="56"/>
    <w:bookmarkStart w:id="60" w:name="Xe9b6a87938b9033e39d0e3efa106457884af558"/>
    <w:p>
      <w:pPr>
        <w:pStyle w:val="Heading3"/>
      </w:pPr>
      <w:r>
        <w:t xml:space="preserve">How is the game provider market changing in 2026?</w:t>
      </w:r>
    </w:p>
    <w:p>
      <w:pPr>
        <w:pStyle w:val="FirstParagraph"/>
      </w:pPr>
      <w:r>
        <w:t xml:space="preserve">The game provider landscape is consolidating around major groups while innovation shifts toward personalization, hybrid mechanics, and regulatory adaptation. Operators face both opportunities and challenges in this evolving market.</w:t>
      </w:r>
    </w:p>
    <w:bookmarkStart w:id="57" w:name="key-trends"/>
    <w:p>
      <w:pPr>
        <w:pStyle w:val="Heading4"/>
      </w:pPr>
      <w:r>
        <w:t xml:space="preserve">Key trends</w:t>
      </w:r>
    </w:p>
    <w:p>
      <w:pPr>
        <w:numPr>
          <w:ilvl w:val="0"/>
          <w:numId w:val="1021"/>
        </w:numPr>
      </w:pPr>
      <w:r>
        <w:rPr>
          <w:b/>
          <w:bCs/>
        </w:rPr>
        <w:t xml:space="preserve">Consolidation accelerating:</w:t>
      </w:r>
      <w:r>
        <w:t xml:space="preserve"> </w:t>
      </w:r>
      <w:r>
        <w:t xml:space="preserve">Evolution now owns NetEnt, Red Tiger, Big Time Gaming. Playtech, Light &amp; Wonder continue acquiring studios. Fewer independent providers means less negotiating leverage.</w:t>
      </w:r>
    </w:p>
    <w:p>
      <w:pPr>
        <w:numPr>
          <w:ilvl w:val="0"/>
          <w:numId w:val="1021"/>
        </w:numPr>
      </w:pPr>
      <w:r>
        <w:rPr>
          <w:b/>
          <w:bCs/>
        </w:rPr>
        <w:t xml:space="preserve">Personalization becoming standard:</w:t>
      </w:r>
      <w:r>
        <w:t xml:space="preserve"> </w:t>
      </w:r>
      <w:r>
        <w:t xml:space="preserve">AI-driven game recommendations, dynamic difficulty, and customized bonus mechanics are emerging. Providers without personalization tech are falling behind.</w:t>
      </w:r>
    </w:p>
    <w:p>
      <w:pPr>
        <w:numPr>
          <w:ilvl w:val="0"/>
          <w:numId w:val="1021"/>
        </w:numPr>
      </w:pPr>
      <w:r>
        <w:rPr>
          <w:b/>
          <w:bCs/>
        </w:rPr>
        <w:t xml:space="preserve">Hybrid mechanics rising:</w:t>
      </w:r>
      <w:r>
        <w:t xml:space="preserve"> </w:t>
      </w:r>
      <w:r>
        <w:t xml:space="preserve">Games mixing slots with skill elements, social features, and arcade-style gameplay appeal to younger players. Crash games (pioneered by Spribe, expanded by BGaming) represent this trend.</w:t>
      </w:r>
    </w:p>
    <w:p>
      <w:pPr>
        <w:numPr>
          <w:ilvl w:val="0"/>
          <w:numId w:val="1021"/>
        </w:numPr>
      </w:pPr>
      <w:r>
        <w:rPr>
          <w:b/>
          <w:bCs/>
        </w:rPr>
        <w:t xml:space="preserve">Regulatory coverage as differentiator:</w:t>
      </w:r>
      <w:r>
        <w:t xml:space="preserve"> </w:t>
      </w:r>
      <w:r>
        <w:t xml:space="preserve">Brazil, US states, and new markets require specific certifications. Providers with broad regulatory coverage command premium positioning.</w:t>
      </w:r>
    </w:p>
    <w:p>
      <w:pPr>
        <w:numPr>
          <w:ilvl w:val="0"/>
          <w:numId w:val="1021"/>
        </w:numPr>
      </w:pPr>
      <w:r>
        <w:rPr>
          <w:b/>
          <w:bCs/>
        </w:rPr>
        <w:t xml:space="preserve">Crypto-native content growing:</w:t>
      </w:r>
      <w:r>
        <w:t xml:space="preserve"> </w:t>
      </w:r>
      <w:r>
        <w:t xml:space="preserve">Provably fair games, blockchain integration, and crypto-specific providers (BGaming, Spribe) serve the expanding crypto casino segment.</w:t>
      </w:r>
    </w:p>
    <w:p>
      <w:pPr>
        <w:numPr>
          <w:ilvl w:val="0"/>
          <w:numId w:val="1021"/>
        </w:numPr>
      </w:pPr>
      <w:r>
        <w:rPr>
          <w:b/>
          <w:bCs/>
        </w:rPr>
        <w:t xml:space="preserve">Larger providers restricting aggregator access:</w:t>
      </w:r>
      <w:r>
        <w:t xml:space="preserve"> </w:t>
      </w:r>
      <w:r>
        <w:t xml:space="preserve">Playtech recently stopped accepting new aggregator partners. Direct integration may become mandatory for top content.</w:t>
      </w:r>
    </w:p>
    <w:bookmarkEnd w:id="57"/>
    <w:bookmarkStart w:id="59" w:name="what-this-means-for-operators"/>
    <w:p>
      <w:pPr>
        <w:pStyle w:val="Heading4"/>
      </w:pPr>
      <w:r>
        <w:t xml:space="preserve">What this means for operators</w:t>
      </w:r>
    </w:p>
    <w:p>
      <w:pPr>
        <w:pStyle w:val="Compact"/>
        <w:numPr>
          <w:ilvl w:val="0"/>
          <w:numId w:val="1022"/>
        </w:numPr>
      </w:pPr>
      <w:r>
        <w:t xml:space="preserve">Diversify provider relationships to reduce consolidation risk</w:t>
      </w:r>
    </w:p>
    <w:p>
      <w:pPr>
        <w:pStyle w:val="Compact"/>
        <w:numPr>
          <w:ilvl w:val="0"/>
          <w:numId w:val="1022"/>
        </w:numPr>
      </w:pPr>
      <w:r>
        <w:t xml:space="preserve">Prioritize providers with strong regulatory roadmaps for your target markets</w:t>
      </w:r>
    </w:p>
    <w:p>
      <w:pPr>
        <w:pStyle w:val="Compact"/>
        <w:numPr>
          <w:ilvl w:val="0"/>
          <w:numId w:val="1022"/>
        </w:numPr>
      </w:pPr>
      <w:r>
        <w:t xml:space="preserve">Evaluate personalization capabilities in platform and provider selection</w:t>
      </w:r>
    </w:p>
    <w:p>
      <w:pPr>
        <w:pStyle w:val="Compact"/>
        <w:numPr>
          <w:ilvl w:val="0"/>
          <w:numId w:val="1022"/>
        </w:numPr>
      </w:pPr>
      <w:r>
        <w:t xml:space="preserve">Budget for potential shift from aggregator to direct integration over time</w:t>
      </w:r>
    </w:p>
    <w:p>
      <w:pPr>
        <w:pStyle w:val="FirstParagraph"/>
      </w:pPr>
      <w:r>
        <w:t xml:space="preserve">Related:</w:t>
      </w:r>
      <w:r>
        <w:t xml:space="preserve"> </w:t>
      </w:r>
      <w:hyperlink r:id="rId58">
        <w:r>
          <w:rPr>
            <w:rStyle w:val="Hyperlink"/>
          </w:rPr>
          <w:t xml:space="preserve">AI &amp; Machine Learning</w:t>
        </w:r>
      </w:hyperlink>
    </w:p>
    <w:p>
      <w:r>
        <w:pict>
          <v:rect style="width:0;height:1.5pt" o:hralign="center" o:hrstd="t" o:hr="t"/>
        </w:pict>
      </w:r>
    </w:p>
    <w:bookmarkEnd w:id="59"/>
    <w:bookmarkEnd w:id="60"/>
    <w:bookmarkStart w:id="66" w:name="Xebbe203f332151d90344e9d0edf2d7a54478b23"/>
    <w:p>
      <w:pPr>
        <w:pStyle w:val="Heading3"/>
      </w:pPr>
      <w:r>
        <w:t xml:space="preserve">How do I know if my game content is performing well?</w:t>
      </w:r>
    </w:p>
    <w:p>
      <w:pPr>
        <w:pStyle w:val="FirstParagraph"/>
      </w:pPr>
      <w:r>
        <w:t xml:space="preserve">Track per-game and per-provider metrics—not just total GGR. Most operators have 20% of games generating 80% of revenue, with significant dead weight inflating costs and cluttering lobbies.</w:t>
      </w:r>
    </w:p>
    <w:bookmarkStart w:id="61" w:name="key-metrics-to-monitor"/>
    <w:p>
      <w:pPr>
        <w:pStyle w:val="Heading4"/>
      </w:pPr>
      <w:r>
        <w:t xml:space="preserve">Key metrics to monitor</w:t>
      </w:r>
    </w:p>
    <w:p>
      <w:pPr>
        <w:pStyle w:val="Compact"/>
        <w:numPr>
          <w:ilvl w:val="0"/>
          <w:numId w:val="1023"/>
        </w:numPr>
      </w:pPr>
      <w:r>
        <w:rPr>
          <w:b/>
          <w:bCs/>
        </w:rPr>
        <w:t xml:space="preserve">GGR per game:</w:t>
      </w:r>
      <w:r>
        <w:t xml:space="preserve"> </w:t>
      </w:r>
      <w:r>
        <w:t xml:space="preserve">Identify top performers and underperformers. Remove games generating &lt;€100/month.</w:t>
      </w:r>
    </w:p>
    <w:p>
      <w:pPr>
        <w:pStyle w:val="Compact"/>
        <w:numPr>
          <w:ilvl w:val="0"/>
          <w:numId w:val="1023"/>
        </w:numPr>
      </w:pPr>
      <w:r>
        <w:rPr>
          <w:b/>
          <w:bCs/>
        </w:rPr>
        <w:t xml:space="preserve">Bet count per game:</w:t>
      </w:r>
      <w:r>
        <w:t xml:space="preserve"> </w:t>
      </w:r>
      <w:r>
        <w:t xml:space="preserve">Separates popular games from those with few high-value players.</w:t>
      </w:r>
    </w:p>
    <w:p>
      <w:pPr>
        <w:pStyle w:val="Compact"/>
        <w:numPr>
          <w:ilvl w:val="0"/>
          <w:numId w:val="1023"/>
        </w:numPr>
      </w:pPr>
      <w:r>
        <w:rPr>
          <w:b/>
          <w:bCs/>
        </w:rPr>
        <w:t xml:space="preserve">Player retention by provider:</w:t>
      </w:r>
      <w:r>
        <w:t xml:space="preserve"> </w:t>
      </w:r>
      <w:r>
        <w:t xml:space="preserve">Do certain providers keep players engaged longer?</w:t>
      </w:r>
    </w:p>
    <w:p>
      <w:pPr>
        <w:pStyle w:val="Compact"/>
        <w:numPr>
          <w:ilvl w:val="0"/>
          <w:numId w:val="1023"/>
        </w:numPr>
      </w:pPr>
      <w:r>
        <w:rPr>
          <w:b/>
          <w:bCs/>
        </w:rPr>
        <w:t xml:space="preserve">New release performance:</w:t>
      </w:r>
      <w:r>
        <w:t xml:space="preserve"> </w:t>
      </w:r>
      <w:r>
        <w:t xml:space="preserve">Track first 30-day performance to evaluate future acquisitions.</w:t>
      </w:r>
    </w:p>
    <w:p>
      <w:pPr>
        <w:pStyle w:val="Compact"/>
        <w:numPr>
          <w:ilvl w:val="0"/>
          <w:numId w:val="1023"/>
        </w:numPr>
      </w:pPr>
      <w:r>
        <w:rPr>
          <w:b/>
          <w:bCs/>
        </w:rPr>
        <w:t xml:space="preserve">RTP actual vs. theoretical:</w:t>
      </w:r>
      <w:r>
        <w:t xml:space="preserve"> </w:t>
      </w:r>
      <w:r>
        <w:t xml:space="preserve">Verify games are performing within expected mathematical parameters.</w:t>
      </w:r>
    </w:p>
    <w:bookmarkEnd w:id="61"/>
    <w:bookmarkStart w:id="62" w:name="performance-benchmarks"/>
    <w:p>
      <w:pPr>
        <w:pStyle w:val="Heading4"/>
      </w:pPr>
      <w:r>
        <w:t xml:space="preserve">Performance benchmarks</w:t>
      </w:r>
    </w:p>
    <w:p>
      <w:pPr>
        <w:pStyle w:val="Compact"/>
        <w:numPr>
          <w:ilvl w:val="0"/>
          <w:numId w:val="1024"/>
        </w:numPr>
      </w:pPr>
      <w:r>
        <w:t xml:space="preserve">Top 10% of games typically generate 50%+ of GGR</w:t>
      </w:r>
    </w:p>
    <w:p>
      <w:pPr>
        <w:pStyle w:val="Compact"/>
        <w:numPr>
          <w:ilvl w:val="0"/>
          <w:numId w:val="1024"/>
        </w:numPr>
      </w:pPr>
      <w:r>
        <w:t xml:space="preserve">New releases should hit 75% of peak performance within 14 days or be reconsidered</w:t>
      </w:r>
    </w:p>
    <w:p>
      <w:pPr>
        <w:pStyle w:val="Compact"/>
        <w:numPr>
          <w:ilvl w:val="0"/>
          <w:numId w:val="1024"/>
        </w:numPr>
      </w:pPr>
      <w:r>
        <w:t xml:space="preserve">Provider with &lt;2% of total GGR may not justify integration/maintenance costs</w:t>
      </w:r>
    </w:p>
    <w:bookmarkEnd w:id="62"/>
    <w:bookmarkStart w:id="63" w:name="optimization-actions"/>
    <w:p>
      <w:pPr>
        <w:pStyle w:val="Heading4"/>
      </w:pPr>
      <w:r>
        <w:t xml:space="preserve">Optimization actions</w:t>
      </w:r>
    </w:p>
    <w:p>
      <w:pPr>
        <w:pStyle w:val="Compact"/>
        <w:numPr>
          <w:ilvl w:val="0"/>
          <w:numId w:val="1025"/>
        </w:numPr>
      </w:pPr>
      <w:r>
        <w:t xml:space="preserve">Feature top performers in prominent lobby positions</w:t>
      </w:r>
    </w:p>
    <w:p>
      <w:pPr>
        <w:pStyle w:val="Compact"/>
        <w:numPr>
          <w:ilvl w:val="0"/>
          <w:numId w:val="1025"/>
        </w:numPr>
      </w:pPr>
      <w:r>
        <w:t xml:space="preserve">Rotate new releases through premium placement</w:t>
      </w:r>
    </w:p>
    <w:p>
      <w:pPr>
        <w:pStyle w:val="Compact"/>
        <w:numPr>
          <w:ilvl w:val="0"/>
          <w:numId w:val="1025"/>
        </w:numPr>
      </w:pPr>
      <w:r>
        <w:t xml:space="preserve">Remove consistently underperforming games quarterly</w:t>
      </w:r>
    </w:p>
    <w:p>
      <w:pPr>
        <w:pStyle w:val="Compact"/>
        <w:numPr>
          <w:ilvl w:val="0"/>
          <w:numId w:val="1025"/>
        </w:numPr>
      </w:pPr>
      <w:r>
        <w:t xml:space="preserve">Renegotiate or terminate providers consistently underperforming</w:t>
      </w:r>
    </w:p>
    <w:bookmarkEnd w:id="63"/>
    <w:bookmarkStart w:id="65" w:name="when-to-worry"/>
    <w:p>
      <w:pPr>
        <w:pStyle w:val="Heading4"/>
      </w:pPr>
      <w:r>
        <w:t xml:space="preserve">When to worry</w:t>
      </w:r>
    </w:p>
    <w:p>
      <w:pPr>
        <w:pStyle w:val="FirstParagraph"/>
      </w:pPr>
      <w:r>
        <w:t xml:space="preserve">If no individual game generates &gt;5% of your GGR, your content strategy lacks focus. If provider costs (revenue share + fees) exceed 30% of game GGR, your commercial terms need renegotiation.</w:t>
      </w:r>
    </w:p>
    <w:p>
      <w:pPr>
        <w:pStyle w:val="BodyText"/>
      </w:pPr>
      <w:r>
        <w:t xml:space="preserve">Related:</w:t>
      </w:r>
      <w:r>
        <w:t xml:space="preserve"> </w:t>
      </w:r>
      <w:hyperlink r:id="rId49">
        <w:r>
          <w:rPr>
            <w:rStyle w:val="Hyperlink"/>
          </w:rPr>
          <w:t xml:space="preserve">Data &amp; Analytics</w:t>
        </w:r>
      </w:hyperlink>
      <w:r>
        <w:t xml:space="preserve"> </w:t>
      </w:r>
      <w:r>
        <w:t xml:space="preserve">|</w:t>
      </w:r>
      <w:r>
        <w:t xml:space="preserve"> </w:t>
      </w:r>
      <w:hyperlink r:id="rId64">
        <w:r>
          <w:rPr>
            <w:rStyle w:val="Hyperlink"/>
          </w:rPr>
          <w:t xml:space="preserve">CRM Platforms</w:t>
        </w:r>
      </w:hyperlink>
    </w:p>
    <w:p>
      <w:r>
        <w:pict>
          <v:rect style="width:0;height:1.5pt" o:hralign="center" o:hrstd="t" o:hr="t"/>
        </w:pict>
      </w:r>
    </w:p>
    <w:p>
      <w:pPr>
        <w:pStyle w:val="FirstParagraph"/>
      </w:pPr>
      <w:r>
        <w:rPr>
          <w:i/>
          <w:iCs/>
        </w:rPr>
        <w:t xml:space="preserve">Last updated: January 2026</w:t>
      </w:r>
    </w:p>
    <w:bookmarkEnd w:id="65"/>
    <w:bookmarkEnd w:id="66"/>
    <w:bookmarkEnd w:id="67"/>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8" Target="/directory/ai-machine-learning" TargetMode="External" /><Relationship Type="http://schemas.openxmlformats.org/officeDocument/2006/relationships/hyperlink" Id="rId12" Target="/directory/casino-game-aggregators" TargetMode="External" /><Relationship Type="http://schemas.openxmlformats.org/officeDocument/2006/relationships/hyperlink" Id="rId17" Target="/directory/casino-platforms" TargetMode="External" /><Relationship Type="http://schemas.openxmlformats.org/officeDocument/2006/relationships/hyperlink" Id="rId37" Target="/directory/compliance-regulatory-services" TargetMode="External" /><Relationship Type="http://schemas.openxmlformats.org/officeDocument/2006/relationships/hyperlink" Id="rId64" Target="/directory/crm-platforms" TargetMode="External" /><Relationship Type="http://schemas.openxmlformats.org/officeDocument/2006/relationships/hyperlink" Id="rId49" Target="/directory/data-analytics" TargetMode="External" /><Relationship Type="http://schemas.openxmlformats.org/officeDocument/2006/relationships/hyperlink" Id="rId11" Target="/directory/game-developers" TargetMode="External" /><Relationship Type="http://schemas.openxmlformats.org/officeDocument/2006/relationships/hyperlink" Id="rId45" Target="/directory/game-security-fair-play" TargetMode="External" /><Relationship Type="http://schemas.openxmlformats.org/officeDocument/2006/relationships/hyperlink" Id="rId20" Target="/directory/game-testing-certification" TargetMode="External" /><Relationship Type="http://schemas.openxmlformats.org/officeDocument/2006/relationships/hyperlink" Id="rId34" Target="/directory/live-casino-studios" TargetMode="External" /></Relationships>
</file>

<file path=word/_rels/footnotes.xml.rels><?xml version="1.0" encoding="UTF-8"?><Relationships xmlns="http://schemas.openxmlformats.org/package/2006/relationships"><Relationship Type="http://schemas.openxmlformats.org/officeDocument/2006/relationships/hyperlink" Id="rId58" Target="/directory/ai-machine-learning" TargetMode="External" /><Relationship Type="http://schemas.openxmlformats.org/officeDocument/2006/relationships/hyperlink" Id="rId12" Target="/directory/casino-game-aggregators" TargetMode="External" /><Relationship Type="http://schemas.openxmlformats.org/officeDocument/2006/relationships/hyperlink" Id="rId17" Target="/directory/casino-platforms" TargetMode="External" /><Relationship Type="http://schemas.openxmlformats.org/officeDocument/2006/relationships/hyperlink" Id="rId37" Target="/directory/compliance-regulatory-services" TargetMode="External" /><Relationship Type="http://schemas.openxmlformats.org/officeDocument/2006/relationships/hyperlink" Id="rId64" Target="/directory/crm-platforms" TargetMode="External" /><Relationship Type="http://schemas.openxmlformats.org/officeDocument/2006/relationships/hyperlink" Id="rId49" Target="/directory/data-analytics" TargetMode="External" /><Relationship Type="http://schemas.openxmlformats.org/officeDocument/2006/relationships/hyperlink" Id="rId11" Target="/directory/game-developers" TargetMode="External" /><Relationship Type="http://schemas.openxmlformats.org/officeDocument/2006/relationships/hyperlink" Id="rId45" Target="/directory/game-security-fair-play" TargetMode="External" /><Relationship Type="http://schemas.openxmlformats.org/officeDocument/2006/relationships/hyperlink" Id="rId20" Target="/directory/game-testing-certification" TargetMode="External" /><Relationship Type="http://schemas.openxmlformats.org/officeDocument/2006/relationships/hyperlink" Id="rId34" Target="/directory/live-casino-studio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2026-01-26T15:42:23Z</dcterms:created>
  <dcterms:modified xsi:type="dcterms:W3CDTF">2026-01-26T15:42:23Z</dcterms:modified>
</cp:coreProperties>
</file>

<file path=docProps/custom.xml><?xml version="1.0" encoding="utf-8"?>
<Properties xmlns="http://schemas.openxmlformats.org/officeDocument/2006/custom-properties" xmlns:vt="http://schemas.openxmlformats.org/officeDocument/2006/docPropsVTypes"/>
</file>