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8903654cf7d9c0d955bc6d7836b8086cae4bcb9"/>
    <w:p>
      <w:pPr>
        <w:pStyle w:val="Heading1"/>
      </w:pPr>
      <w:r>
        <w:t xml:space="preserve">KYC Services - Frequently Asked Questions</w:t>
      </w:r>
    </w:p>
    <w:bookmarkStart w:id="9" w:name="category-information"/>
    <w:p>
      <w:pPr>
        <w:pStyle w:val="Heading2"/>
      </w:pPr>
      <w:r>
        <w:t xml:space="preserve">Category Information</w:t>
      </w:r>
    </w:p>
    <w:p>
      <w:pPr>
        <w:pStyle w:val="Compact"/>
        <w:numPr>
          <w:ilvl w:val="0"/>
          <w:numId w:val="1001"/>
        </w:numPr>
      </w:pPr>
      <w:r>
        <w:rPr>
          <w:b/>
          <w:bCs/>
        </w:rPr>
        <w:t xml:space="preserve">Category:</w:t>
      </w:r>
      <w:r>
        <w:t xml:space="preserve"> </w:t>
      </w:r>
      <w:r>
        <w:t xml:space="preserve">KYC Services</w:t>
      </w:r>
    </w:p>
    <w:p>
      <w:pPr>
        <w:pStyle w:val="Compact"/>
        <w:numPr>
          <w:ilvl w:val="0"/>
          <w:numId w:val="1001"/>
        </w:numPr>
      </w:pPr>
      <w:r>
        <w:rPr>
          <w:b/>
          <w:bCs/>
        </w:rPr>
        <w:t xml:space="preserve">Slug:</w:t>
      </w:r>
      <w:r>
        <w:t xml:space="preserve"> </w:t>
      </w:r>
      <w:r>
        <w:t xml:space="preserve">kyc-services</w:t>
      </w:r>
    </w:p>
    <w:p>
      <w:pPr>
        <w:pStyle w:val="Compact"/>
        <w:numPr>
          <w:ilvl w:val="0"/>
          <w:numId w:val="1001"/>
        </w:numPr>
      </w:pPr>
      <w:r>
        <w:rPr>
          <w:b/>
          <w:bCs/>
        </w:rPr>
        <w:t xml:space="preserve">Parent:</w:t>
      </w:r>
      <w:r>
        <w:t xml:space="preserve"> </w:t>
      </w:r>
      <w:r>
        <w:t xml:space="preserve">Compliance &amp; Legal</w:t>
      </w:r>
    </w:p>
    <w:p>
      <w:pPr>
        <w:pStyle w:val="Compact"/>
        <w:numPr>
          <w:ilvl w:val="0"/>
          <w:numId w:val="1001"/>
        </w:numPr>
      </w:pPr>
      <w:r>
        <w:rPr>
          <w:b/>
          <w:bCs/>
        </w:rPr>
        <w:t xml:space="preserve">Wave:</w:t>
      </w:r>
      <w:r>
        <w:t xml:space="preserve"> </w:t>
      </w:r>
      <w:r>
        <w:t xml:space="preserve">1 (Priority)</w:t>
      </w:r>
    </w:p>
    <w:p>
      <w:pPr>
        <w:pStyle w:val="Compact"/>
        <w:numPr>
          <w:ilvl w:val="0"/>
          <w:numId w:val="1001"/>
        </w:numPr>
      </w:pPr>
      <w:r>
        <w:rPr>
          <w:b/>
          <w:bCs/>
        </w:rPr>
        <w:t xml:space="preserve">Questions:</w:t>
      </w:r>
      <w:r>
        <w:t xml:space="preserve"> </w:t>
      </w:r>
      <w:r>
        <w:t xml:space="preserve">14 (6 H2, 8 H3)</w:t>
      </w:r>
    </w:p>
    <w:p>
      <w:pPr>
        <w:pStyle w:val="Compact"/>
        <w:numPr>
          <w:ilvl w:val="0"/>
          <w:numId w:val="1001"/>
        </w:numPr>
      </w:pPr>
      <w:r>
        <w:rPr>
          <w:b/>
          <w:bCs/>
        </w:rPr>
        <w:t xml:space="preserve">Word Count:</w:t>
      </w:r>
      <w:r>
        <w:t xml:space="preserve"> </w:t>
      </w:r>
      <w:r>
        <w:t xml:space="preserve">~3,200</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KYC verification determines whether players can gamble on your platform and directly impacts conversion rates. This FAQ covers verification methods, provider costs, regulatory requirements by jurisdiction, and how to balance compliance with player experience.</w:t>
      </w:r>
    </w:p>
    <w:p>
      <w:r>
        <w:pict>
          <v:rect style="width:0;height:1.5pt" o:hralign="center" o:hrstd="t" o:hr="t"/>
        </w:pict>
      </w:r>
    </w:p>
    <w:bookmarkEnd w:id="10"/>
    <w:bookmarkStart w:id="15" w:name="what-is-kyc-in-igaming"/>
    <w:p>
      <w:pPr>
        <w:pStyle w:val="Heading2"/>
      </w:pPr>
      <w:r>
        <w:t xml:space="preserve">What is KYC in iGaming?</w:t>
      </w:r>
    </w:p>
    <w:p>
      <w:pPr>
        <w:pStyle w:val="FirstParagraph"/>
      </w:pPr>
      <w:r>
        <w:t xml:space="preserve">KYC (Know Your Customer) in iGaming refers to the identity verification process that confirms player age, identity, location, and eligibility before they can gamble. It’s a regulatory requirement in all licensed jurisdictions that protects operators from fraud, underage gambling, money laundering, and regulatory penalties.</w:t>
      </w:r>
    </w:p>
    <w:p>
      <w:pPr>
        <w:pStyle w:val="BodyText"/>
      </w:pPr>
      <w:r>
        <w:t xml:space="preserve">Modern KYC systems automate verification using document scanning, biometric facial recognition, liveness detection, and database checks. The goal is filtering out ineligible users in seconds while maintaining conversion rates for legitimate players.</w:t>
      </w:r>
    </w:p>
    <w:bookmarkStart w:id="11" w:name="what-kyc-verifies"/>
    <w:p>
      <w:pPr>
        <w:pStyle w:val="Heading4"/>
      </w:pPr>
      <w:r>
        <w:t xml:space="preserve">What KYC verifies</w:t>
      </w:r>
    </w:p>
    <w:p>
      <w:pPr>
        <w:pStyle w:val="Compact"/>
        <w:numPr>
          <w:ilvl w:val="0"/>
          <w:numId w:val="1002"/>
        </w:numPr>
      </w:pPr>
      <w:r>
        <w:rPr>
          <w:b/>
          <w:bCs/>
        </w:rPr>
        <w:t xml:space="preserve">Identity:</w:t>
      </w:r>
      <w:r>
        <w:t xml:space="preserve"> </w:t>
      </w:r>
      <w:r>
        <w:t xml:space="preserve">Government-issued ID document confirms the player is who they claim to be</w:t>
      </w:r>
    </w:p>
    <w:p>
      <w:pPr>
        <w:pStyle w:val="Compact"/>
        <w:numPr>
          <w:ilvl w:val="0"/>
          <w:numId w:val="1002"/>
        </w:numPr>
      </w:pPr>
      <w:r>
        <w:rPr>
          <w:b/>
          <w:bCs/>
        </w:rPr>
        <w:t xml:space="preserve">Age:</w:t>
      </w:r>
      <w:r>
        <w:t xml:space="preserve"> </w:t>
      </w:r>
      <w:r>
        <w:t xml:space="preserve">Verification that player meets minimum gambling age (18 or 21 depending on jurisdiction)</w:t>
      </w:r>
    </w:p>
    <w:p>
      <w:pPr>
        <w:pStyle w:val="Compact"/>
        <w:numPr>
          <w:ilvl w:val="0"/>
          <w:numId w:val="1002"/>
        </w:numPr>
      </w:pPr>
      <w:r>
        <w:rPr>
          <w:b/>
          <w:bCs/>
        </w:rPr>
        <w:t xml:space="preserve">Location:</w:t>
      </w:r>
      <w:r>
        <w:t xml:space="preserve"> </w:t>
      </w:r>
      <w:r>
        <w:t xml:space="preserve">Geolocation confirms player is in a jurisdiction where they’re permitted to gamble</w:t>
      </w:r>
    </w:p>
    <w:p>
      <w:pPr>
        <w:pStyle w:val="Compact"/>
        <w:numPr>
          <w:ilvl w:val="0"/>
          <w:numId w:val="1002"/>
        </w:numPr>
      </w:pPr>
      <w:r>
        <w:rPr>
          <w:b/>
          <w:bCs/>
        </w:rPr>
        <w:t xml:space="preserve">Source of funds:</w:t>
      </w:r>
      <w:r>
        <w:t xml:space="preserve"> </w:t>
      </w:r>
      <w:r>
        <w:t xml:space="preserve">For high-value players, verification that deposits come from legitimate sources</w:t>
      </w:r>
    </w:p>
    <w:p>
      <w:pPr>
        <w:pStyle w:val="Compact"/>
        <w:numPr>
          <w:ilvl w:val="0"/>
          <w:numId w:val="1002"/>
        </w:numPr>
      </w:pPr>
      <w:r>
        <w:rPr>
          <w:b/>
          <w:bCs/>
        </w:rPr>
        <w:t xml:space="preserve">Sanctions and PEP screening:</w:t>
      </w:r>
      <w:r>
        <w:t xml:space="preserve"> </w:t>
      </w:r>
      <w:r>
        <w:t xml:space="preserve">Checks against politically exposed persons and sanctions lists</w:t>
      </w:r>
    </w:p>
    <w:bookmarkEnd w:id="11"/>
    <w:bookmarkStart w:id="14" w:name="why-kyc-matters-for-operators"/>
    <w:p>
      <w:pPr>
        <w:pStyle w:val="Heading4"/>
      </w:pPr>
      <w:r>
        <w:t xml:space="preserve">Why KYC matters for operators</w:t>
      </w:r>
    </w:p>
    <w:p>
      <w:pPr>
        <w:pStyle w:val="FirstParagraph"/>
      </w:pPr>
      <w:r>
        <w:t xml:space="preserve">In regulated markets (UK, EU, US), operating without KYC is illegal. The UK Gambling Commission eliminated the 72-hour grace period—identity and age must now be verified before players can deposit or play. Violations result in fines, license suspension, or revocation.</w:t>
      </w:r>
    </w:p>
    <w:p>
      <w:pPr>
        <w:pStyle w:val="BodyText"/>
      </w:pPr>
      <w:r>
        <w:t xml:space="preserve">Beyond compliance, KYC protects against fraud. iGaming fraud has doubled in two years, with AI-generated fake IDs and deepfakes now bypassing traditional verification. Every unverified player is a potential fraud, money laundering, or underage gambling risk.</w:t>
      </w:r>
    </w:p>
    <w:p>
      <w:pPr>
        <w:pStyle w:val="BodyText"/>
      </w:pPr>
      <w:r>
        <w:t xml:space="preserve">Related:</w:t>
      </w:r>
      <w:r>
        <w:t xml:space="preserve"> </w:t>
      </w:r>
      <w:hyperlink r:id="rId12">
        <w:r>
          <w:rPr>
            <w:rStyle w:val="Hyperlink"/>
          </w:rPr>
          <w:t xml:space="preserve">AML Solutions</w:t>
        </w:r>
      </w:hyperlink>
      <w:r>
        <w:t xml:space="preserve"> </w:t>
      </w:r>
      <w:r>
        <w:t xml:space="preserve">|</w:t>
      </w:r>
      <w:r>
        <w:t xml:space="preserve"> </w:t>
      </w:r>
      <w:hyperlink r:id="rId13">
        <w:r>
          <w:rPr>
            <w:rStyle w:val="Hyperlink"/>
          </w:rPr>
          <w:t xml:space="preserve">Compliance &amp; Regulatory Services</w:t>
        </w:r>
      </w:hyperlink>
    </w:p>
    <w:p>
      <w:r>
        <w:pict>
          <v:rect style="width:0;height:1.5pt" o:hralign="center" o:hrstd="t" o:hr="t"/>
        </w:pict>
      </w:r>
    </w:p>
    <w:bookmarkEnd w:id="14"/>
    <w:bookmarkEnd w:id="15"/>
    <w:bookmarkStart w:id="24" w:name="how-much-does-kyc-verification-cost"/>
    <w:p>
      <w:pPr>
        <w:pStyle w:val="Heading2"/>
      </w:pPr>
      <w:r>
        <w:t xml:space="preserve">How much does KYC verification cost?</w:t>
      </w:r>
    </w:p>
    <w:p>
      <w:pPr>
        <w:pStyle w:val="FirstParagraph"/>
      </w:pPr>
      <w:r>
        <w:t xml:space="preserve">KYC verification typically costs €0.10-€1.50 per check depending on verification type, volume, and provider. Total KYC spend for a mid-size operator runs €2,000-€15,000/month, but the hidden cost is conversion loss from verification friction.</w:t>
      </w:r>
    </w:p>
    <w:bookmarkStart w:id="16" w:name="cost-breakdown-2026"/>
    <w:p>
      <w:pPr>
        <w:pStyle w:val="Heading4"/>
      </w:pPr>
      <w:r>
        <w:t xml:space="preserve">Cost breakdown (2026)</w:t>
      </w:r>
    </w:p>
    <w:p>
      <w:pPr>
        <w:pStyle w:val="Compact"/>
        <w:numPr>
          <w:ilvl w:val="0"/>
          <w:numId w:val="1003"/>
        </w:numPr>
      </w:pPr>
      <w:r>
        <w:rPr>
          <w:b/>
          <w:bCs/>
        </w:rPr>
        <w:t xml:space="preserve">Document verification:</w:t>
      </w:r>
      <w:r>
        <w:t xml:space="preserve"> </w:t>
      </w:r>
      <w:r>
        <w:t xml:space="preserve">€0.10-€0.80 per check. Automated extraction and validation of ID documents</w:t>
      </w:r>
    </w:p>
    <w:p>
      <w:pPr>
        <w:pStyle w:val="Compact"/>
        <w:numPr>
          <w:ilvl w:val="0"/>
          <w:numId w:val="1003"/>
        </w:numPr>
      </w:pPr>
      <w:r>
        <w:rPr>
          <w:b/>
          <w:bCs/>
        </w:rPr>
        <w:t xml:space="preserve">Biometric verification:</w:t>
      </w:r>
      <w:r>
        <w:t xml:space="preserve"> </w:t>
      </w:r>
      <w:r>
        <w:t xml:space="preserve">€0.30-€1.00 per check. Facial matching against ID photo</w:t>
      </w:r>
    </w:p>
    <w:p>
      <w:pPr>
        <w:pStyle w:val="Compact"/>
        <w:numPr>
          <w:ilvl w:val="0"/>
          <w:numId w:val="1003"/>
        </w:numPr>
      </w:pPr>
      <w:r>
        <w:rPr>
          <w:b/>
          <w:bCs/>
        </w:rPr>
        <w:t xml:space="preserve">Liveness detection:</w:t>
      </w:r>
      <w:r>
        <w:t xml:space="preserve"> </w:t>
      </w:r>
      <w:r>
        <w:t xml:space="preserve">€0.20-€0.50 per check. Confirms real person, not photo or deepfake</w:t>
      </w:r>
    </w:p>
    <w:p>
      <w:pPr>
        <w:pStyle w:val="Compact"/>
        <w:numPr>
          <w:ilvl w:val="0"/>
          <w:numId w:val="1003"/>
        </w:numPr>
      </w:pPr>
      <w:r>
        <w:rPr>
          <w:b/>
          <w:bCs/>
        </w:rPr>
        <w:t xml:space="preserve">Database checks (AML/PEP):</w:t>
      </w:r>
      <w:r>
        <w:t xml:space="preserve"> </w:t>
      </w:r>
      <w:r>
        <w:t xml:space="preserve">€0.05-€0.30 per check. Sanctions and watchlist screening</w:t>
      </w:r>
    </w:p>
    <w:p>
      <w:pPr>
        <w:pStyle w:val="Compact"/>
        <w:numPr>
          <w:ilvl w:val="0"/>
          <w:numId w:val="1003"/>
        </w:numPr>
      </w:pPr>
      <w:r>
        <w:rPr>
          <w:b/>
          <w:bCs/>
        </w:rPr>
        <w:t xml:space="preserve">Address verification:</w:t>
      </w:r>
      <w:r>
        <w:t xml:space="preserve"> </w:t>
      </w:r>
      <w:r>
        <w:t xml:space="preserve">€0.10-€0.40 per check. Confirms residential address</w:t>
      </w:r>
    </w:p>
    <w:p>
      <w:pPr>
        <w:pStyle w:val="Compact"/>
        <w:numPr>
          <w:ilvl w:val="0"/>
          <w:numId w:val="1003"/>
        </w:numPr>
      </w:pPr>
      <w:r>
        <w:rPr>
          <w:b/>
          <w:bCs/>
        </w:rPr>
        <w:t xml:space="preserve">Full verification bundle:</w:t>
      </w:r>
      <w:r>
        <w:t xml:space="preserve"> </w:t>
      </w:r>
      <w:r>
        <w:t xml:space="preserve">€0.50-€2.00 per check. Combined document, biometric, and database checks</w:t>
      </w:r>
    </w:p>
    <w:bookmarkEnd w:id="16"/>
    <w:bookmarkStart w:id="17" w:name="pricing-models"/>
    <w:p>
      <w:pPr>
        <w:pStyle w:val="Heading4"/>
      </w:pPr>
      <w:r>
        <w:t xml:space="preserve">Pricing models</w:t>
      </w:r>
    </w:p>
    <w:p>
      <w:pPr>
        <w:pStyle w:val="Compact"/>
        <w:numPr>
          <w:ilvl w:val="0"/>
          <w:numId w:val="1004"/>
        </w:numPr>
      </w:pPr>
      <w:r>
        <w:rPr>
          <w:b/>
          <w:bCs/>
        </w:rPr>
        <w:t xml:space="preserve">Pay-per-check:</w:t>
      </w:r>
      <w:r>
        <w:t xml:space="preserve"> </w:t>
      </w:r>
      <w:r>
        <w:t xml:space="preserve">€0.50-€2.00 per verification. Simple but unpredictable costs with volume fluctuation</w:t>
      </w:r>
    </w:p>
    <w:p>
      <w:pPr>
        <w:pStyle w:val="Compact"/>
        <w:numPr>
          <w:ilvl w:val="0"/>
          <w:numId w:val="1004"/>
        </w:numPr>
      </w:pPr>
      <w:r>
        <w:rPr>
          <w:b/>
          <w:bCs/>
        </w:rPr>
        <w:t xml:space="preserve">Subscription/bundle:</w:t>
      </w:r>
      <w:r>
        <w:t xml:space="preserve"> </w:t>
      </w:r>
      <w:r>
        <w:t xml:space="preserve">€500-€5,000/month for pre-paid verification bundles. Cost predictability but potential waste if volume estimates are wrong</w:t>
      </w:r>
    </w:p>
    <w:p>
      <w:pPr>
        <w:pStyle w:val="Compact"/>
        <w:numPr>
          <w:ilvl w:val="0"/>
          <w:numId w:val="1004"/>
        </w:numPr>
      </w:pPr>
      <w:r>
        <w:rPr>
          <w:b/>
          <w:bCs/>
        </w:rPr>
        <w:t xml:space="preserve">Tiered volume:</w:t>
      </w:r>
      <w:r>
        <w:t xml:space="preserve"> </w:t>
      </w:r>
      <w:r>
        <w:t xml:space="preserve">Lower per-check costs at higher volumes. Enterprise operators negotiate €0.10-€0.30 per check at scale</w:t>
      </w:r>
    </w:p>
    <w:bookmarkEnd w:id="17"/>
    <w:bookmarkStart w:id="19" w:name="the-cost-nobody-calculates"/>
    <w:p>
      <w:pPr>
        <w:pStyle w:val="Heading4"/>
      </w:pPr>
      <w:r>
        <w:t xml:space="preserve">The cost nobody calculates</w:t>
      </w:r>
    </w:p>
    <w:p>
      <w:pPr>
        <w:pStyle w:val="FirstParagraph"/>
      </w:pPr>
      <w:r>
        <w:t xml:space="preserve">Verification friction causes player drop-off. Industry data suggests that slow or cumbersome KYC costs 15-30% of potential registrations. A €0.50 verification that loses a €200 LTV player costs far more than it saves.</w:t>
      </w:r>
    </w:p>
    <w:p>
      <w:pPr>
        <w:pStyle w:val="BodyText"/>
      </w:pPr>
      <w:r>
        <w:t xml:space="preserve">Top providers report 25-second onboarding with 60% reduction in manual review and 70%+ cost savings versus legacy systems. The cheapest per-check provider isn’t the cheapest if conversion rates suffer.</w:t>
      </w:r>
    </w:p>
    <w:p>
      <w:pPr>
        <w:pStyle w:val="BodyText"/>
      </w:pPr>
      <w:r>
        <w:t xml:space="preserve">Related:</w:t>
      </w:r>
      <w:r>
        <w:t xml:space="preserve"> </w:t>
      </w:r>
      <w:hyperlink r:id="rId18">
        <w:r>
          <w:rPr>
            <w:rStyle w:val="Hyperlink"/>
          </w:rPr>
          <w:t xml:space="preserve">Payment Processing</w:t>
        </w:r>
      </w:hyperlink>
    </w:p>
    <w:p>
      <w:r>
        <w:pict>
          <v:rect style="width:0;height:1.5pt" o:hralign="center" o:hrstd="t" o:hr="t"/>
        </w:pict>
      </w:r>
    </w:p>
    <w:bookmarkEnd w:id="19"/>
    <w:bookmarkStart w:id="23" w:name="X7616ef9d910903665d0a3f67291193b863a3514"/>
    <w:p>
      <w:pPr>
        <w:pStyle w:val="Heading3"/>
      </w:pPr>
      <w:r>
        <w:t xml:space="preserve">What are the hidden costs of KYC services?</w:t>
      </w:r>
    </w:p>
    <w:p>
      <w:pPr>
        <w:pStyle w:val="FirstParagraph"/>
      </w:pPr>
      <w:r>
        <w:t xml:space="preserve">The advertised per-check price is typically 50-70% of actual KYC program costs. Factor in manual review, failed verifications, and integration overhead for realistic budgeting.</w:t>
      </w:r>
    </w:p>
    <w:bookmarkStart w:id="20" w:name="commonly-overlooked-costs"/>
    <w:p>
      <w:pPr>
        <w:pStyle w:val="Heading4"/>
      </w:pPr>
      <w:r>
        <w:t xml:space="preserve">Commonly overlooked costs</w:t>
      </w:r>
    </w:p>
    <w:p>
      <w:pPr>
        <w:pStyle w:val="Compact"/>
        <w:numPr>
          <w:ilvl w:val="0"/>
          <w:numId w:val="1005"/>
        </w:numPr>
      </w:pPr>
      <w:r>
        <w:rPr>
          <w:b/>
          <w:bCs/>
        </w:rPr>
        <w:t xml:space="preserve">Manual review queue:</w:t>
      </w:r>
      <w:r>
        <w:t xml:space="preserve"> </w:t>
      </w:r>
      <w:r>
        <w:t xml:space="preserve">Automated systems flag 5-15% of verifications for human review. Manual review costs €2-€10 per case depending on staff location and complexity</w:t>
      </w:r>
    </w:p>
    <w:p>
      <w:pPr>
        <w:pStyle w:val="Compact"/>
        <w:numPr>
          <w:ilvl w:val="0"/>
          <w:numId w:val="1005"/>
        </w:numPr>
      </w:pPr>
      <w:r>
        <w:rPr>
          <w:b/>
          <w:bCs/>
        </w:rPr>
        <w:t xml:space="preserve">Failed verification retries:</w:t>
      </w:r>
      <w:r>
        <w:t xml:space="preserve"> </w:t>
      </w:r>
      <w:r>
        <w:t xml:space="preserve">Players who fail initial verification often retry 2-3 times before succeeding or abandoning. Each retry incurs another charge</w:t>
      </w:r>
    </w:p>
    <w:p>
      <w:pPr>
        <w:pStyle w:val="Compact"/>
        <w:numPr>
          <w:ilvl w:val="0"/>
          <w:numId w:val="1005"/>
        </w:numPr>
      </w:pPr>
      <w:r>
        <w:rPr>
          <w:b/>
          <w:bCs/>
        </w:rPr>
        <w:t xml:space="preserve">Integration and maintenance:</w:t>
      </w:r>
      <w:r>
        <w:t xml:space="preserve"> </w:t>
      </w:r>
      <w:r>
        <w:t xml:space="preserve">API integration costs €5,000-€20,000 initially. Ongoing maintenance for document template updates and regulatory changes adds €500-€2,000/month</w:t>
      </w:r>
    </w:p>
    <w:p>
      <w:pPr>
        <w:pStyle w:val="Compact"/>
        <w:numPr>
          <w:ilvl w:val="0"/>
          <w:numId w:val="1005"/>
        </w:numPr>
      </w:pPr>
      <w:r>
        <w:rPr>
          <w:b/>
          <w:bCs/>
        </w:rPr>
        <w:t xml:space="preserve">Compliance reporting:</w:t>
      </w:r>
      <w:r>
        <w:t xml:space="preserve"> </w:t>
      </w:r>
      <w:r>
        <w:t xml:space="preserve">Many jurisdictions require audit trails and reporting. Building or licensing compliance dashboards costs €1,000-€5,000/month</w:t>
      </w:r>
    </w:p>
    <w:p>
      <w:pPr>
        <w:pStyle w:val="Compact"/>
        <w:numPr>
          <w:ilvl w:val="0"/>
          <w:numId w:val="1005"/>
        </w:numPr>
      </w:pPr>
      <w:r>
        <w:rPr>
          <w:b/>
          <w:bCs/>
        </w:rPr>
        <w:t xml:space="preserve">Regional coverage gaps:</w:t>
      </w:r>
      <w:r>
        <w:t xml:space="preserve"> </w:t>
      </w:r>
      <w:r>
        <w:t xml:space="preserve">Base pricing often covers major markets. Verifying documents from emerging markets may incur premium fees</w:t>
      </w:r>
    </w:p>
    <w:p>
      <w:pPr>
        <w:pStyle w:val="Compact"/>
        <w:numPr>
          <w:ilvl w:val="0"/>
          <w:numId w:val="1005"/>
        </w:numPr>
      </w:pPr>
      <w:r>
        <w:rPr>
          <w:b/>
          <w:bCs/>
        </w:rPr>
        <w:t xml:space="preserve">Enhanced due diligence:</w:t>
      </w:r>
      <w:r>
        <w:t xml:space="preserve"> </w:t>
      </w:r>
      <w:r>
        <w:t xml:space="preserve">High-risk players triggering EDD require additional checks at €5-€20 per case</w:t>
      </w:r>
    </w:p>
    <w:bookmarkEnd w:id="20"/>
    <w:bookmarkStart w:id="22" w:name="the-conversion-cost"/>
    <w:p>
      <w:pPr>
        <w:pStyle w:val="Heading4"/>
      </w:pPr>
      <w:r>
        <w:t xml:space="preserve">The conversion cost</w:t>
      </w:r>
    </w:p>
    <w:p>
      <w:pPr>
        <w:pStyle w:val="FirstParagraph"/>
      </w:pPr>
      <w:r>
        <w:t xml:space="preserve">Every additional verification step reduces conversion. Progressive verification (minimal friction upfront, more checks at withdrawal) can recover 10-20% of lost conversions, but requires more sophisticated orchestration.</w:t>
      </w:r>
    </w:p>
    <w:p>
      <w:pPr>
        <w:pStyle w:val="BodyText"/>
      </w:pPr>
      <w:r>
        <w:t xml:space="preserve">Related:</w:t>
      </w:r>
      <w:r>
        <w:t xml:space="preserve"> </w:t>
      </w:r>
      <w:hyperlink r:id="rId21">
        <w:r>
          <w:rPr>
            <w:rStyle w:val="Hyperlink"/>
          </w:rPr>
          <w:t xml:space="preserve">Fraud Prevention</w:t>
        </w:r>
      </w:hyperlink>
    </w:p>
    <w:p>
      <w:r>
        <w:pict>
          <v:rect style="width:0;height:1.5pt" o:hralign="center" o:hrstd="t" o:hr="t"/>
        </w:pict>
      </w:r>
    </w:p>
    <w:bookmarkEnd w:id="22"/>
    <w:bookmarkEnd w:id="23"/>
    <w:bookmarkEnd w:id="24"/>
    <w:bookmarkStart w:id="36" w:name="X415347b297072f756c7d293da1f576613efbd81"/>
    <w:p>
      <w:pPr>
        <w:pStyle w:val="Heading2"/>
      </w:pPr>
      <w:r>
        <w:t xml:space="preserve">What KYC requirements apply in different jurisdictions?</w:t>
      </w:r>
    </w:p>
    <w:p>
      <w:pPr>
        <w:pStyle w:val="FirstParagraph"/>
      </w:pPr>
      <w:r>
        <w:t xml:space="preserve">KYC requirements vary dramatically by jurisdiction. UK mandates verification before any gambling activity; Malta allows play up to €2,000 in withdrawals; some US states require verification before registration.</w:t>
      </w:r>
    </w:p>
    <w:bookmarkStart w:id="25" w:name="uk-ukgc"/>
    <w:p>
      <w:pPr>
        <w:pStyle w:val="Heading4"/>
      </w:pPr>
      <w:r>
        <w:t xml:space="preserve">UK (UKGC)</w:t>
      </w:r>
    </w:p>
    <w:p>
      <w:pPr>
        <w:pStyle w:val="Compact"/>
        <w:numPr>
          <w:ilvl w:val="0"/>
          <w:numId w:val="1006"/>
        </w:numPr>
      </w:pPr>
      <w:r>
        <w:rPr>
          <w:b/>
          <w:bCs/>
        </w:rPr>
        <w:t xml:space="preserve">Timing:</w:t>
      </w:r>
      <w:r>
        <w:t xml:space="preserve"> </w:t>
      </w:r>
      <w:r>
        <w:t xml:space="preserve">Verification required before deposit or play. No grace period</w:t>
      </w:r>
    </w:p>
    <w:p>
      <w:pPr>
        <w:pStyle w:val="Compact"/>
        <w:numPr>
          <w:ilvl w:val="0"/>
          <w:numId w:val="1006"/>
        </w:numPr>
      </w:pPr>
      <w:r>
        <w:rPr>
          <w:b/>
          <w:bCs/>
        </w:rPr>
        <w:t xml:space="preserve">What’s verified:</w:t>
      </w:r>
      <w:r>
        <w:t xml:space="preserve"> </w:t>
      </w:r>
      <w:r>
        <w:t xml:space="preserve">Identity, age, address</w:t>
      </w:r>
    </w:p>
    <w:p>
      <w:pPr>
        <w:pStyle w:val="Compact"/>
        <w:numPr>
          <w:ilvl w:val="0"/>
          <w:numId w:val="1006"/>
        </w:numPr>
      </w:pPr>
      <w:r>
        <w:rPr>
          <w:b/>
          <w:bCs/>
        </w:rPr>
        <w:t xml:space="preserve">Additional requirements:</w:t>
      </w:r>
      <w:r>
        <w:t xml:space="preserve"> </w:t>
      </w:r>
      <w:r>
        <w:t xml:space="preserve">Source of funds checks triggered by spend thresholds</w:t>
      </w:r>
    </w:p>
    <w:p>
      <w:pPr>
        <w:pStyle w:val="Compact"/>
        <w:numPr>
          <w:ilvl w:val="0"/>
          <w:numId w:val="1006"/>
        </w:numPr>
      </w:pPr>
      <w:r>
        <w:rPr>
          <w:b/>
          <w:bCs/>
        </w:rPr>
        <w:t xml:space="preserve">Coming changes:</w:t>
      </w:r>
      <w:r>
        <w:t xml:space="preserve"> </w:t>
      </w:r>
      <w:r>
        <w:t xml:space="preserve">Credit card ban for gambling effective April 2026</w:t>
      </w:r>
    </w:p>
    <w:bookmarkEnd w:id="25"/>
    <w:bookmarkStart w:id="26" w:name="malta-mga"/>
    <w:p>
      <w:pPr>
        <w:pStyle w:val="Heading4"/>
      </w:pPr>
      <w:r>
        <w:t xml:space="preserve">Malta (MGA)</w:t>
      </w:r>
    </w:p>
    <w:p>
      <w:pPr>
        <w:pStyle w:val="Compact"/>
        <w:numPr>
          <w:ilvl w:val="0"/>
          <w:numId w:val="1007"/>
        </w:numPr>
      </w:pPr>
      <w:r>
        <w:rPr>
          <w:b/>
          <w:bCs/>
        </w:rPr>
        <w:t xml:space="preserve">Timing:</w:t>
      </w:r>
      <w:r>
        <w:t xml:space="preserve"> </w:t>
      </w:r>
      <w:r>
        <w:t xml:space="preserve">Light verification at registration; full verification when withdrawals exceed €2,000 cumulative</w:t>
      </w:r>
    </w:p>
    <w:p>
      <w:pPr>
        <w:pStyle w:val="Compact"/>
        <w:numPr>
          <w:ilvl w:val="0"/>
          <w:numId w:val="1007"/>
        </w:numPr>
      </w:pPr>
      <w:r>
        <w:rPr>
          <w:b/>
          <w:bCs/>
        </w:rPr>
        <w:t xml:space="preserve">What’s verified:</w:t>
      </w:r>
      <w:r>
        <w:t xml:space="preserve"> </w:t>
      </w:r>
      <w:r>
        <w:t xml:space="preserve">Identity, age, residence</w:t>
      </w:r>
    </w:p>
    <w:p>
      <w:pPr>
        <w:pStyle w:val="Compact"/>
        <w:numPr>
          <w:ilvl w:val="0"/>
          <w:numId w:val="1007"/>
        </w:numPr>
      </w:pPr>
      <w:r>
        <w:rPr>
          <w:b/>
          <w:bCs/>
        </w:rPr>
        <w:t xml:space="preserve">Additional requirements:</w:t>
      </w:r>
      <w:r>
        <w:t xml:space="preserve"> </w:t>
      </w:r>
      <w:r>
        <w:t xml:space="preserve">Enhanced due diligence for high-risk players</w:t>
      </w:r>
    </w:p>
    <w:p>
      <w:pPr>
        <w:pStyle w:val="Compact"/>
        <w:numPr>
          <w:ilvl w:val="0"/>
          <w:numId w:val="1007"/>
        </w:numPr>
      </w:pPr>
      <w:r>
        <w:rPr>
          <w:b/>
          <w:bCs/>
        </w:rPr>
        <w:t xml:space="preserve">Note:</w:t>
      </w:r>
      <w:r>
        <w:t xml:space="preserve"> </w:t>
      </w:r>
      <w:r>
        <w:t xml:space="preserve">Individual operators may impose lower thresholds</w:t>
      </w:r>
    </w:p>
    <w:bookmarkEnd w:id="26"/>
    <w:bookmarkStart w:id="27" w:name="united-states-state-by-state"/>
    <w:p>
      <w:pPr>
        <w:pStyle w:val="Heading4"/>
      </w:pPr>
      <w:r>
        <w:t xml:space="preserve">United States (state-by-state)</w:t>
      </w:r>
    </w:p>
    <w:p>
      <w:pPr>
        <w:pStyle w:val="Compact"/>
        <w:numPr>
          <w:ilvl w:val="0"/>
          <w:numId w:val="1008"/>
        </w:numPr>
      </w:pPr>
      <w:r>
        <w:rPr>
          <w:b/>
          <w:bCs/>
        </w:rPr>
        <w:t xml:space="preserve">Timing:</w:t>
      </w:r>
      <w:r>
        <w:t xml:space="preserve"> </w:t>
      </w:r>
      <w:r>
        <w:t xml:space="preserve">Varies by state. New Jersey and most states require verification at registration</w:t>
      </w:r>
    </w:p>
    <w:p>
      <w:pPr>
        <w:pStyle w:val="Compact"/>
        <w:numPr>
          <w:ilvl w:val="0"/>
          <w:numId w:val="1008"/>
        </w:numPr>
      </w:pPr>
      <w:r>
        <w:rPr>
          <w:b/>
          <w:bCs/>
        </w:rPr>
        <w:t xml:space="preserve">What’s verified:</w:t>
      </w:r>
      <w:r>
        <w:t xml:space="preserve"> </w:t>
      </w:r>
      <w:r>
        <w:t xml:space="preserve">Identity, age, location (geolocation mandatory)</w:t>
      </w:r>
    </w:p>
    <w:p>
      <w:pPr>
        <w:pStyle w:val="Compact"/>
        <w:numPr>
          <w:ilvl w:val="0"/>
          <w:numId w:val="1008"/>
        </w:numPr>
      </w:pPr>
      <w:r>
        <w:rPr>
          <w:b/>
          <w:bCs/>
        </w:rPr>
        <w:t xml:space="preserve">Additional requirements:</w:t>
      </w:r>
      <w:r>
        <w:t xml:space="preserve"> </w:t>
      </w:r>
      <w:r>
        <w:t xml:space="preserve">Social Security Number verification common; state-specific exclusion list checks</w:t>
      </w:r>
    </w:p>
    <w:p>
      <w:pPr>
        <w:pStyle w:val="Compact"/>
        <w:numPr>
          <w:ilvl w:val="0"/>
          <w:numId w:val="1008"/>
        </w:numPr>
      </w:pPr>
      <w:r>
        <w:rPr>
          <w:b/>
          <w:bCs/>
        </w:rPr>
        <w:t xml:space="preserve">Complexity:</w:t>
      </w:r>
      <w:r>
        <w:t xml:space="preserve"> </w:t>
      </w:r>
      <w:r>
        <w:t xml:space="preserve">Each state has different requirements. Multi-state operators manage multiple compliance frameworks</w:t>
      </w:r>
    </w:p>
    <w:bookmarkEnd w:id="27"/>
    <w:bookmarkStart w:id="28" w:name="european-union-amlr"/>
    <w:p>
      <w:pPr>
        <w:pStyle w:val="Heading4"/>
      </w:pPr>
      <w:r>
        <w:t xml:space="preserve">European Union (AMLR)</w:t>
      </w:r>
    </w:p>
    <w:p>
      <w:pPr>
        <w:pStyle w:val="Compact"/>
        <w:numPr>
          <w:ilvl w:val="0"/>
          <w:numId w:val="1009"/>
        </w:numPr>
      </w:pPr>
      <w:r>
        <w:rPr>
          <w:b/>
          <w:bCs/>
        </w:rPr>
        <w:t xml:space="preserve">Timing:</w:t>
      </w:r>
      <w:r>
        <w:t xml:space="preserve"> </w:t>
      </w:r>
      <w:r>
        <w:t xml:space="preserve">New EU AML Regulation being rewritten for 2026, aligning with crypto and compliance standards</w:t>
      </w:r>
    </w:p>
    <w:p>
      <w:pPr>
        <w:pStyle w:val="Compact"/>
        <w:numPr>
          <w:ilvl w:val="0"/>
          <w:numId w:val="1009"/>
        </w:numPr>
      </w:pPr>
      <w:r>
        <w:rPr>
          <w:b/>
          <w:bCs/>
        </w:rPr>
        <w:t xml:space="preserve">What’s verified:</w:t>
      </w:r>
      <w:r>
        <w:t xml:space="preserve"> </w:t>
      </w:r>
      <w:r>
        <w:t xml:space="preserve">Identity, age, source of funds for significant transactions</w:t>
      </w:r>
    </w:p>
    <w:p>
      <w:pPr>
        <w:pStyle w:val="Compact"/>
        <w:numPr>
          <w:ilvl w:val="0"/>
          <w:numId w:val="1009"/>
        </w:numPr>
      </w:pPr>
      <w:r>
        <w:rPr>
          <w:b/>
          <w:bCs/>
        </w:rPr>
        <w:t xml:space="preserve">Additional requirements:</w:t>
      </w:r>
      <w:r>
        <w:t xml:space="preserve"> </w:t>
      </w:r>
      <w:r>
        <w:t xml:space="preserve">GDPR data protection compliance for storing verification data</w:t>
      </w:r>
    </w:p>
    <w:bookmarkEnd w:id="28"/>
    <w:bookmarkStart w:id="30" w:name="the-compliance-trap"/>
    <w:p>
      <w:pPr>
        <w:pStyle w:val="Heading4"/>
      </w:pPr>
      <w:r>
        <w:t xml:space="preserve">The compliance trap</w:t>
      </w:r>
    </w:p>
    <w:p>
      <w:pPr>
        <w:pStyle w:val="FirstParagraph"/>
      </w:pPr>
      <w:r>
        <w:t xml:space="preserve">Operating in multiple jurisdictions doesn’t mean picking the easiest requirements. You must meet the strictest requirements of each market where you operate. Most operators default to UK-level verification across all markets for operational simplicity.</w:t>
      </w:r>
    </w:p>
    <w:p>
      <w:pPr>
        <w:pStyle w:val="BodyText"/>
      </w:pPr>
      <w:r>
        <w:t xml:space="preserve">Related:</w:t>
      </w:r>
      <w:r>
        <w:t xml:space="preserve"> </w:t>
      </w:r>
      <w:hyperlink r:id="rId29">
        <w:r>
          <w:rPr>
            <w:rStyle w:val="Hyperlink"/>
          </w:rPr>
          <w:t xml:space="preserve">Licensing &amp; Regulatory Consulting</w:t>
        </w:r>
      </w:hyperlink>
    </w:p>
    <w:p>
      <w:r>
        <w:pict>
          <v:rect style="width:0;height:1.5pt" o:hralign="center" o:hrstd="t" o:hr="t"/>
        </w:pict>
      </w:r>
    </w:p>
    <w:bookmarkEnd w:id="30"/>
    <w:bookmarkStart w:id="35" w:name="X5ee8934d2b5230c96e1391266cc85cf15c69986"/>
    <w:p>
      <w:pPr>
        <w:pStyle w:val="Heading3"/>
      </w:pPr>
      <w:r>
        <w:t xml:space="preserve">When should I implement different levels of KYC?</w:t>
      </w:r>
    </w:p>
    <w:p>
      <w:pPr>
        <w:pStyle w:val="FirstParagraph"/>
      </w:pPr>
      <w:r>
        <w:t xml:space="preserve">Risk-based verification adjusts friction based on player behavior and risk signals. This approach maximizes conversion while meeting compliance requirements—but requires sophisticated orchestration.</w:t>
      </w:r>
    </w:p>
    <w:bookmarkStart w:id="31" w:name="verification-tiers"/>
    <w:p>
      <w:pPr>
        <w:pStyle w:val="Heading4"/>
      </w:pPr>
      <w:r>
        <w:t xml:space="preserve">Verification tiers</w:t>
      </w:r>
    </w:p>
    <w:p>
      <w:pPr>
        <w:pStyle w:val="FirstParagraph"/>
      </w:pPr>
      <w:r>
        <w:rPr>
          <w:b/>
          <w:bCs/>
        </w:rPr>
        <w:t xml:space="preserve">1. Light verification (registration)</w:t>
      </w:r>
      <w:r>
        <w:t xml:space="preserve"> </w:t>
      </w:r>
      <w:r>
        <w:t xml:space="preserve">- Email/phone confirmation</w:t>
      </w:r>
      <w:r>
        <w:t xml:space="preserve"> </w:t>
      </w:r>
      <w:r>
        <w:t xml:space="preserve">- Basic age declaration</w:t>
      </w:r>
      <w:r>
        <w:t xml:space="preserve"> </w:t>
      </w:r>
      <w:r>
        <w:t xml:space="preserve">- Device and IP checks</w:t>
      </w:r>
      <w:r>
        <w:t xml:space="preserve"> </w:t>
      </w:r>
      <w:r>
        <w:t xml:space="preserve">- Use case: Initial access in jurisdictions allowing delayed verification</w:t>
      </w:r>
    </w:p>
    <w:p>
      <w:pPr>
        <w:pStyle w:val="BodyText"/>
      </w:pPr>
      <w:r>
        <w:rPr>
          <w:b/>
          <w:bCs/>
        </w:rPr>
        <w:t xml:space="preserve">2. Standard verification (first deposit)</w:t>
      </w:r>
      <w:r>
        <w:t xml:space="preserve"> </w:t>
      </w:r>
      <w:r>
        <w:t xml:space="preserve">- Document verification (passport, driver’s license, national ID)</w:t>
      </w:r>
      <w:r>
        <w:t xml:space="preserve"> </w:t>
      </w:r>
      <w:r>
        <w:t xml:space="preserve">- Facial biometric matching</w:t>
      </w:r>
      <w:r>
        <w:t xml:space="preserve"> </w:t>
      </w:r>
      <w:r>
        <w:t xml:space="preserve">- Database checks (sanctions, PEP)</w:t>
      </w:r>
      <w:r>
        <w:t xml:space="preserve"> </w:t>
      </w:r>
      <w:r>
        <w:t xml:space="preserve">- Use case: Required before first deposit in most jurisdictions</w:t>
      </w:r>
    </w:p>
    <w:p>
      <w:pPr>
        <w:pStyle w:val="BodyText"/>
      </w:pPr>
      <w:r>
        <w:rPr>
          <w:b/>
          <w:bCs/>
        </w:rPr>
        <w:t xml:space="preserve">3. Enhanced due diligence (high-risk triggers)</w:t>
      </w:r>
      <w:r>
        <w:t xml:space="preserve"> </w:t>
      </w:r>
      <w:r>
        <w:t xml:space="preserve">- Source of funds documentation</w:t>
      </w:r>
      <w:r>
        <w:t xml:space="preserve"> </w:t>
      </w:r>
      <w:r>
        <w:t xml:space="preserve">- Proof of address (utility bill, bank statement)</w:t>
      </w:r>
      <w:r>
        <w:t xml:space="preserve"> </w:t>
      </w:r>
      <w:r>
        <w:t xml:space="preserve">- Additional identity documents</w:t>
      </w:r>
      <w:r>
        <w:t xml:space="preserve"> </w:t>
      </w:r>
      <w:r>
        <w:t xml:space="preserve">- Ongoing monitoring</w:t>
      </w:r>
      <w:r>
        <w:t xml:space="preserve"> </w:t>
      </w:r>
      <w:r>
        <w:t xml:space="preserve">- Use case: Players exceeding spend thresholds, high-risk indicators, regulatory flags</w:t>
      </w:r>
    </w:p>
    <w:bookmarkEnd w:id="31"/>
    <w:bookmarkStart w:id="32" w:name="Xf9722af0bd6e62409205858b28342f4dc3404e1"/>
    <w:p>
      <w:pPr>
        <w:pStyle w:val="Heading4"/>
      </w:pPr>
      <w:r>
        <w:t xml:space="preserve">Risk signals that trigger enhanced verification</w:t>
      </w:r>
    </w:p>
    <w:p>
      <w:pPr>
        <w:pStyle w:val="Compact"/>
        <w:numPr>
          <w:ilvl w:val="0"/>
          <w:numId w:val="1010"/>
        </w:numPr>
      </w:pPr>
      <w:r>
        <w:t xml:space="preserve">Deposits exceeding €2,000-€10,000 (varies by jurisdiction)</w:t>
      </w:r>
    </w:p>
    <w:p>
      <w:pPr>
        <w:pStyle w:val="Compact"/>
        <w:numPr>
          <w:ilvl w:val="0"/>
          <w:numId w:val="1010"/>
        </w:numPr>
      </w:pPr>
      <w:r>
        <w:t xml:space="preserve">Rapid deposit velocity (multiple large deposits in short period)</w:t>
      </w:r>
    </w:p>
    <w:p>
      <w:pPr>
        <w:pStyle w:val="Compact"/>
        <w:numPr>
          <w:ilvl w:val="0"/>
          <w:numId w:val="1010"/>
        </w:numPr>
      </w:pPr>
      <w:r>
        <w:t xml:space="preserve">Unusual geographic patterns (VPN detection, location mismatches)</w:t>
      </w:r>
    </w:p>
    <w:p>
      <w:pPr>
        <w:pStyle w:val="Compact"/>
        <w:numPr>
          <w:ilvl w:val="0"/>
          <w:numId w:val="1010"/>
        </w:numPr>
      </w:pPr>
      <w:r>
        <w:t xml:space="preserve">Behavioral indicators (depositing and immediately requesting withdrawal)</w:t>
      </w:r>
    </w:p>
    <w:p>
      <w:pPr>
        <w:pStyle w:val="Compact"/>
        <w:numPr>
          <w:ilvl w:val="0"/>
          <w:numId w:val="1010"/>
        </w:numPr>
      </w:pPr>
      <w:r>
        <w:t xml:space="preserve">PEP or watchlist adjacency</w:t>
      </w:r>
    </w:p>
    <w:bookmarkEnd w:id="32"/>
    <w:bookmarkStart w:id="34" w:name="the-orchestration-challenge"/>
    <w:p>
      <w:pPr>
        <w:pStyle w:val="Heading4"/>
      </w:pPr>
      <w:r>
        <w:t xml:space="preserve">The orchestration challenge</w:t>
      </w:r>
    </w:p>
    <w:p>
      <w:pPr>
        <w:pStyle w:val="FirstParagraph"/>
      </w:pPr>
      <w:r>
        <w:t xml:space="preserve">Implementing tiered verification requires a verification orchestration layer that routes players through appropriate flows based on real-time risk assessment. This is more complex than one-size-fits-all verification but significantly improves conversion.</w:t>
      </w:r>
    </w:p>
    <w:p>
      <w:pPr>
        <w:pStyle w:val="BodyText"/>
      </w:pPr>
      <w:r>
        <w:t xml:space="preserve">Related:</w:t>
      </w:r>
      <w:r>
        <w:t xml:space="preserve"> </w:t>
      </w:r>
      <w:hyperlink r:id="rId33">
        <w:r>
          <w:rPr>
            <w:rStyle w:val="Hyperlink"/>
          </w:rPr>
          <w:t xml:space="preserve">Risk Management</w:t>
        </w:r>
      </w:hyperlink>
    </w:p>
    <w:p>
      <w:r>
        <w:pict>
          <v:rect style="width:0;height:1.5pt" o:hralign="center" o:hrstd="t" o:hr="t"/>
        </w:pict>
      </w:r>
    </w:p>
    <w:bookmarkEnd w:id="34"/>
    <w:bookmarkEnd w:id="35"/>
    <w:bookmarkEnd w:id="36"/>
    <w:bookmarkStart w:id="48" w:name="Xc8eb50557b6d05cd48fbfd567075b9591d5e464"/>
    <w:p>
      <w:pPr>
        <w:pStyle w:val="Heading2"/>
      </w:pPr>
      <w:r>
        <w:t xml:space="preserve">What are the biggest challenges in iGaming KYC?</w:t>
      </w:r>
    </w:p>
    <w:p>
      <w:pPr>
        <w:pStyle w:val="FirstParagraph"/>
      </w:pPr>
      <w:r>
        <w:t xml:space="preserve">KYC in iGaming faces a fundamental tension: regulatory requirements demand thorough verification, but verification friction kills conversion. Add AI-powered fraud and global regulatory complexity, and KYC becomes operationally demanding.</w:t>
      </w:r>
    </w:p>
    <w:bookmarkStart w:id="37" w:name="core-challenges"/>
    <w:p>
      <w:pPr>
        <w:pStyle w:val="Heading4"/>
      </w:pPr>
      <w:r>
        <w:t xml:space="preserve">Core challenges</w:t>
      </w:r>
    </w:p>
    <w:p>
      <w:pPr>
        <w:pStyle w:val="FirstParagraph"/>
      </w:pPr>
      <w:r>
        <w:rPr>
          <w:b/>
          <w:bCs/>
        </w:rPr>
        <w:t xml:space="preserve">1. Conversion vs. compliance trade-off</w:t>
      </w:r>
    </w:p>
    <w:p>
      <w:pPr>
        <w:pStyle w:val="BodyText"/>
      </w:pPr>
      <w:r>
        <w:t xml:space="preserve">Every verification step reduces conversion. Industry data suggests slow or complex KYC loses 15-30% of potential players. But inadequate verification risks regulatory penalties and fraud losses. Finding the balance is the central KYC challenge.</w:t>
      </w:r>
    </w:p>
    <w:p>
      <w:pPr>
        <w:pStyle w:val="BodyText"/>
      </w:pPr>
      <w:r>
        <w:rPr>
          <w:b/>
          <w:bCs/>
        </w:rPr>
        <w:t xml:space="preserve">2. AI-generated fraud</w:t>
      </w:r>
    </w:p>
    <w:p>
      <w:pPr>
        <w:pStyle w:val="BodyText"/>
      </w:pPr>
      <w:r>
        <w:t xml:space="preserve">In 2025, deepfakes account for 1 in 20 identity verification failures globally. AI-generated fake IDs are bypassing traditional document verification. Operators must harden biometric controls and implement liveness detection to counter synthetic identity fraud.</w:t>
      </w:r>
    </w:p>
    <w:p>
      <w:pPr>
        <w:pStyle w:val="BodyText"/>
      </w:pPr>
      <w:r>
        <w:rPr>
          <w:b/>
          <w:bCs/>
        </w:rPr>
        <w:t xml:space="preserve">3. Regulatory fragmentation</w:t>
      </w:r>
    </w:p>
    <w:p>
      <w:pPr>
        <w:pStyle w:val="BodyText"/>
      </w:pPr>
      <w:r>
        <w:t xml:space="preserve">Each jurisdiction has different requirements, timelines, and document acceptability rules. Operators in multiple markets manage parallel compliance frameworks. A verification acceptable in Malta may not satisfy UK requirements.</w:t>
      </w:r>
    </w:p>
    <w:p>
      <w:pPr>
        <w:pStyle w:val="BodyText"/>
      </w:pPr>
      <w:r>
        <w:rPr>
          <w:b/>
          <w:bCs/>
        </w:rPr>
        <w:t xml:space="preserve">4. Document coverage and quality</w:t>
      </w:r>
    </w:p>
    <w:p>
      <w:pPr>
        <w:pStyle w:val="BodyText"/>
      </w:pPr>
      <w:r>
        <w:t xml:space="preserve">Not all ID documents are supported by all providers. Emerging market documents, older document formats, and non-standard IDs cause verification failures and manual review queues. Global coverage claims often have gaps.</w:t>
      </w:r>
    </w:p>
    <w:p>
      <w:pPr>
        <w:pStyle w:val="BodyText"/>
      </w:pPr>
      <w:r>
        <w:rPr>
          <w:b/>
          <w:bCs/>
        </w:rPr>
        <w:t xml:space="preserve">5. User experience friction</w:t>
      </w:r>
    </w:p>
    <w:p>
      <w:pPr>
        <w:pStyle w:val="BodyText"/>
      </w:pPr>
      <w:r>
        <w:t xml:space="preserve">Mobile players especially have low tolerance for complex verification flows. Document photography in poor lighting, facial matching failures, and retry loops frustrate users. Drop-off increases with every additional step.</w:t>
      </w:r>
    </w:p>
    <w:bookmarkEnd w:id="37"/>
    <w:bookmarkStart w:id="38" w:name="the-challenge-nobody-talks-about"/>
    <w:p>
      <w:pPr>
        <w:pStyle w:val="Heading4"/>
      </w:pPr>
      <w:r>
        <w:t xml:space="preserve">The challenge nobody talks about</w:t>
      </w:r>
    </w:p>
    <w:p>
      <w:pPr>
        <w:pStyle w:val="FirstParagraph"/>
      </w:pPr>
      <w:r>
        <w:t xml:space="preserve">Legacy KYC integrations are often deeply embedded in player management systems. Switching providers or upgrading capabilities can require significant development work. This creates vendor lock-in even when better solutions emerge.</w:t>
      </w:r>
    </w:p>
    <w:p>
      <w:pPr>
        <w:pStyle w:val="BodyText"/>
      </w:pPr>
      <w:r>
        <w:t xml:space="preserve">Related:</w:t>
      </w:r>
      <w:r>
        <w:t xml:space="preserve"> </w:t>
      </w:r>
      <w:hyperlink r:id="rId21">
        <w:r>
          <w:rPr>
            <w:rStyle w:val="Hyperlink"/>
          </w:rPr>
          <w:t xml:space="preserve">Fraud Prevention</w:t>
        </w:r>
      </w:hyperlink>
    </w:p>
    <w:p>
      <w:r>
        <w:pict>
          <v:rect style="width:0;height:1.5pt" o:hralign="center" o:hrstd="t" o:hr="t"/>
        </w:pict>
      </w:r>
    </w:p>
    <w:bookmarkEnd w:id="38"/>
    <w:bookmarkStart w:id="42" w:name="X905a07229d5089c3dae746133a2e7b33bdfd4f9"/>
    <w:p>
      <w:pPr>
        <w:pStyle w:val="Heading3"/>
      </w:pPr>
      <w:r>
        <w:t xml:space="preserve">How do I reduce KYC friction without compromising compliance?</w:t>
      </w:r>
    </w:p>
    <w:p>
      <w:pPr>
        <w:pStyle w:val="FirstParagraph"/>
      </w:pPr>
      <w:r>
        <w:t xml:space="preserve">Reducing friction while maintaining compliance requires progressive verification, smart orchestration, and modern technology. The best operators achieve 90%+ verification success rates with sub-30-second onboarding times.</w:t>
      </w:r>
    </w:p>
    <w:bookmarkStart w:id="39" w:name="proven-friction-reduction-strategies"/>
    <w:p>
      <w:pPr>
        <w:pStyle w:val="Heading4"/>
      </w:pPr>
      <w:r>
        <w:t xml:space="preserve">Proven friction reduction strategies</w:t>
      </w:r>
    </w:p>
    <w:p>
      <w:pPr>
        <w:numPr>
          <w:ilvl w:val="0"/>
          <w:numId w:val="1011"/>
        </w:numPr>
      </w:pPr>
      <w:r>
        <w:rPr>
          <w:b/>
          <w:bCs/>
        </w:rPr>
        <w:t xml:space="preserve">Progressive verification:</w:t>
      </w:r>
      <w:r>
        <w:t xml:space="preserve"> </w:t>
      </w:r>
      <w:r>
        <w:t xml:space="preserve">Collect minimum data upfront, add verification steps as player progresses. Verify name and age at registration; document verification at first deposit; source of funds at withdrawal threshold</w:t>
      </w:r>
    </w:p>
    <w:p>
      <w:pPr>
        <w:numPr>
          <w:ilvl w:val="0"/>
          <w:numId w:val="1011"/>
        </w:numPr>
      </w:pPr>
      <w:r>
        <w:rPr>
          <w:b/>
          <w:bCs/>
        </w:rPr>
        <w:t xml:space="preserve">Risk-based flows:</w:t>
      </w:r>
      <w:r>
        <w:t xml:space="preserve"> </w:t>
      </w:r>
      <w:r>
        <w:t xml:space="preserve">Low-risk players (familiar devices, clean IP, standard behavior) get streamlined verification. High-risk signals trigger additional checks. Most players shouldn’t experience maximum friction</w:t>
      </w:r>
    </w:p>
    <w:p>
      <w:pPr>
        <w:numPr>
          <w:ilvl w:val="0"/>
          <w:numId w:val="1011"/>
        </w:numPr>
      </w:pPr>
      <w:r>
        <w:rPr>
          <w:b/>
          <w:bCs/>
        </w:rPr>
        <w:t xml:space="preserve">Pre-fill and auto-capture:</w:t>
      </w:r>
      <w:r>
        <w:t xml:space="preserve"> </w:t>
      </w:r>
      <w:r>
        <w:t xml:space="preserve">Use device data to pre-populate forms. AI-powered document capture that guides camera positioning and automatically extracts data reduces errors and retries</w:t>
      </w:r>
    </w:p>
    <w:p>
      <w:pPr>
        <w:numPr>
          <w:ilvl w:val="0"/>
          <w:numId w:val="1011"/>
        </w:numPr>
      </w:pPr>
      <w:r>
        <w:rPr>
          <w:b/>
          <w:bCs/>
        </w:rPr>
        <w:t xml:space="preserve">Mobile-first design:</w:t>
      </w:r>
      <w:r>
        <w:t xml:space="preserve"> </w:t>
      </w:r>
      <w:r>
        <w:t xml:space="preserve">70%+ of iGaming traffic is mobile. Verification flows optimized for mobile (large buttons, clear instructions, good camera guidance) dramatically outperform desktop-adapted flows</w:t>
      </w:r>
    </w:p>
    <w:p>
      <w:pPr>
        <w:numPr>
          <w:ilvl w:val="0"/>
          <w:numId w:val="1011"/>
        </w:numPr>
      </w:pPr>
      <w:r>
        <w:rPr>
          <w:b/>
          <w:bCs/>
        </w:rPr>
        <w:t xml:space="preserve">Real-time feedback:</w:t>
      </w:r>
      <w:r>
        <w:t xml:space="preserve"> </w:t>
      </w:r>
      <w:r>
        <w:t xml:space="preserve">Instant validation of document quality and readability prevents submission of unverifiable documents. Immediate retry guidance reduces abandonment</w:t>
      </w:r>
    </w:p>
    <w:p>
      <w:pPr>
        <w:numPr>
          <w:ilvl w:val="0"/>
          <w:numId w:val="1011"/>
        </w:numPr>
      </w:pPr>
      <w:r>
        <w:rPr>
          <w:b/>
          <w:bCs/>
        </w:rPr>
        <w:t xml:space="preserve">Alternative verification methods:</w:t>
      </w:r>
      <w:r>
        <w:t xml:space="preserve"> </w:t>
      </w:r>
      <w:r>
        <w:t xml:space="preserve">Open Banking verification can confirm identity through bank account data without document submission. Database checks can verify identity against authoritative sources in some markets</w:t>
      </w:r>
    </w:p>
    <w:bookmarkEnd w:id="39"/>
    <w:bookmarkStart w:id="41" w:name="what-good-looks-like"/>
    <w:p>
      <w:pPr>
        <w:pStyle w:val="Heading4"/>
      </w:pPr>
      <w:r>
        <w:t xml:space="preserve">What good looks like</w:t>
      </w:r>
    </w:p>
    <w:p>
      <w:pPr>
        <w:pStyle w:val="FirstParagraph"/>
      </w:pPr>
      <w:r>
        <w:t xml:space="preserve">Leading providers report 25-second average onboarding time with 98% automation rate and 95% first-attempt success. If your verification takes longer than 60 seconds or has less than 80% first-attempt success, your provider or implementation needs improvement.</w:t>
      </w:r>
    </w:p>
    <w:p>
      <w:pPr>
        <w:pStyle w:val="BodyText"/>
      </w:pPr>
      <w:r>
        <w:t xml:space="preserve">Related:</w:t>
      </w:r>
      <w:r>
        <w:t xml:space="preserve"> </w:t>
      </w:r>
      <w:hyperlink r:id="rId40">
        <w:r>
          <w:rPr>
            <w:rStyle w:val="Hyperlink"/>
          </w:rPr>
          <w:t xml:space="preserve">Data &amp; Analytics</w:t>
        </w:r>
      </w:hyperlink>
    </w:p>
    <w:p>
      <w:r>
        <w:pict>
          <v:rect style="width:0;height:1.5pt" o:hralign="center" o:hrstd="t" o:hr="t"/>
        </w:pict>
      </w:r>
    </w:p>
    <w:bookmarkEnd w:id="41"/>
    <w:bookmarkEnd w:id="42"/>
    <w:bookmarkStart w:id="47" w:name="Xf804f68d78c830f2761c7677ccfa72388e333a7"/>
    <w:p>
      <w:pPr>
        <w:pStyle w:val="Heading3"/>
      </w:pPr>
      <w:r>
        <w:t xml:space="preserve">What is liveness detection and why does it matter?</w:t>
      </w:r>
    </w:p>
    <w:p>
      <w:pPr>
        <w:pStyle w:val="FirstParagraph"/>
      </w:pPr>
      <w:r>
        <w:t xml:space="preserve">Liveness detection confirms a real person is present during verification, not a photo, video, or deepfake. With AI-generated synthetic identities now accounting for 1 in 20 verification failures, liveness detection has become essential for fraud prevention.</w:t>
      </w:r>
    </w:p>
    <w:bookmarkStart w:id="43" w:name="how-liveness-detection-works"/>
    <w:p>
      <w:pPr>
        <w:pStyle w:val="Heading4"/>
      </w:pPr>
      <w:r>
        <w:t xml:space="preserve">How liveness detection works</w:t>
      </w:r>
    </w:p>
    <w:p>
      <w:pPr>
        <w:pStyle w:val="FirstParagraph"/>
      </w:pPr>
      <w:r>
        <w:rPr>
          <w:b/>
          <w:bCs/>
        </w:rPr>
        <w:t xml:space="preserve">Passive liveness:</w:t>
      </w:r>
      <w:r>
        <w:t xml:space="preserve"> </w:t>
      </w:r>
      <w:r>
        <w:t xml:space="preserve">Analyzes subtle characteristics of the image (skin texture, depth, reflection patterns) without user action. Faster but less robust against sophisticated attacks.</w:t>
      </w:r>
    </w:p>
    <w:p>
      <w:pPr>
        <w:pStyle w:val="BodyText"/>
      </w:pPr>
      <w:r>
        <w:rPr>
          <w:b/>
          <w:bCs/>
        </w:rPr>
        <w:t xml:space="preserve">Active liveness:</w:t>
      </w:r>
      <w:r>
        <w:t xml:space="preserve"> </w:t>
      </w:r>
      <w:r>
        <w:t xml:space="preserve">Requires user actions (turn head, blink, smile, follow on-screen prompts). More secure but adds friction.</w:t>
      </w:r>
    </w:p>
    <w:p>
      <w:pPr>
        <w:pStyle w:val="BodyText"/>
      </w:pPr>
      <w:r>
        <w:rPr>
          <w:b/>
          <w:bCs/>
        </w:rPr>
        <w:t xml:space="preserve">Hybrid approaches:</w:t>
      </w:r>
      <w:r>
        <w:t xml:space="preserve"> </w:t>
      </w:r>
      <w:r>
        <w:t xml:space="preserve">Passive liveness for most users, active challenges triggered by risk signals or passive detection uncertainty.</w:t>
      </w:r>
    </w:p>
    <w:bookmarkEnd w:id="43"/>
    <w:bookmarkStart w:id="44" w:name="why-it-matters-in-2026"/>
    <w:p>
      <w:pPr>
        <w:pStyle w:val="Heading4"/>
      </w:pPr>
      <w:r>
        <w:t xml:space="preserve">Why it matters in 2026</w:t>
      </w:r>
    </w:p>
    <w:p>
      <w:pPr>
        <w:pStyle w:val="Compact"/>
        <w:numPr>
          <w:ilvl w:val="0"/>
          <w:numId w:val="1012"/>
        </w:numPr>
      </w:pPr>
      <w:r>
        <w:t xml:space="preserve">Deepfake technology has advanced significantly. High-quality synthetic faces can fool basic facial matching</w:t>
      </w:r>
    </w:p>
    <w:p>
      <w:pPr>
        <w:pStyle w:val="Compact"/>
        <w:numPr>
          <w:ilvl w:val="0"/>
          <w:numId w:val="1012"/>
        </w:numPr>
      </w:pPr>
      <w:r>
        <w:t xml:space="preserve">AI-generated ID documents paired with matching synthetic faces create convincing synthetic identities</w:t>
      </w:r>
    </w:p>
    <w:p>
      <w:pPr>
        <w:pStyle w:val="Compact"/>
        <w:numPr>
          <w:ilvl w:val="0"/>
          <w:numId w:val="1012"/>
        </w:numPr>
      </w:pPr>
      <w:r>
        <w:t xml:space="preserve">Fraud attacks peak between 4:00-8:00 AM when oversight is lowest—automated detection is essential</w:t>
      </w:r>
    </w:p>
    <w:p>
      <w:pPr>
        <w:pStyle w:val="Compact"/>
        <w:numPr>
          <w:ilvl w:val="0"/>
          <w:numId w:val="1012"/>
        </w:numPr>
      </w:pPr>
      <w:r>
        <w:t xml:space="preserve">Regulatory expectations now include liveness as standard for biometric verification</w:t>
      </w:r>
    </w:p>
    <w:bookmarkEnd w:id="44"/>
    <w:bookmarkStart w:id="46" w:name="implementation-considerations"/>
    <w:p>
      <w:pPr>
        <w:pStyle w:val="Heading4"/>
      </w:pPr>
      <w:r>
        <w:t xml:space="preserve">Implementation considerations</w:t>
      </w:r>
    </w:p>
    <w:p>
      <w:pPr>
        <w:pStyle w:val="Compact"/>
        <w:numPr>
          <w:ilvl w:val="0"/>
          <w:numId w:val="1013"/>
        </w:numPr>
      </w:pPr>
      <w:r>
        <w:t xml:space="preserve">Liveness adds €0.20-€0.50 per verification. Worth it given fraud prevention value</w:t>
      </w:r>
    </w:p>
    <w:p>
      <w:pPr>
        <w:pStyle w:val="Compact"/>
        <w:numPr>
          <w:ilvl w:val="0"/>
          <w:numId w:val="1013"/>
        </w:numPr>
      </w:pPr>
      <w:r>
        <w:t xml:space="preserve">Active liveness has higher security but 5-10% higher abandonment than passive</w:t>
      </w:r>
    </w:p>
    <w:p>
      <w:pPr>
        <w:pStyle w:val="Compact"/>
        <w:numPr>
          <w:ilvl w:val="0"/>
          <w:numId w:val="1013"/>
        </w:numPr>
      </w:pPr>
      <w:r>
        <w:t xml:space="preserve">Mobile camera quality affects liveness accuracy. Support for older devices matters</w:t>
      </w:r>
    </w:p>
    <w:p>
      <w:pPr>
        <w:pStyle w:val="Compact"/>
        <w:numPr>
          <w:ilvl w:val="0"/>
          <w:numId w:val="1013"/>
        </w:numPr>
      </w:pPr>
      <w:r>
        <w:t xml:space="preserve">Some liveness solutions struggle with accessibility (users with limited mobility, facial differences)</w:t>
      </w:r>
    </w:p>
    <w:p>
      <w:pPr>
        <w:pStyle w:val="FirstParagraph"/>
      </w:pPr>
      <w:r>
        <w:t xml:space="preserve">Related:</w:t>
      </w:r>
      <w:r>
        <w:t xml:space="preserve"> </w:t>
      </w:r>
      <w:hyperlink r:id="rId21">
        <w:r>
          <w:rPr>
            <w:rStyle w:val="Hyperlink"/>
          </w:rPr>
          <w:t xml:space="preserve">Fraud Prevention</w:t>
        </w:r>
      </w:hyperlink>
      <w:r>
        <w:t xml:space="preserve"> </w:t>
      </w:r>
      <w:r>
        <w:t xml:space="preserve">|</w:t>
      </w:r>
      <w:r>
        <w:t xml:space="preserve"> </w:t>
      </w:r>
      <w:hyperlink r:id="rId45">
        <w:r>
          <w:rPr>
            <w:rStyle w:val="Hyperlink"/>
          </w:rPr>
          <w:t xml:space="preserve">Game Security &amp; Fair Play</w:t>
        </w:r>
      </w:hyperlink>
    </w:p>
    <w:p>
      <w:r>
        <w:pict>
          <v:rect style="width:0;height:1.5pt" o:hralign="center" o:hrstd="t" o:hr="t"/>
        </w:pict>
      </w:r>
    </w:p>
    <w:bookmarkEnd w:id="46"/>
    <w:bookmarkEnd w:id="47"/>
    <w:bookmarkEnd w:id="48"/>
    <w:bookmarkStart w:id="64" w:name="X1449928f8adf14ba1623c26c88d20c6c5c62993"/>
    <w:p>
      <w:pPr>
        <w:pStyle w:val="Heading2"/>
      </w:pPr>
      <w:r>
        <w:t xml:space="preserve">Who are the top KYC providers for iGaming?</w:t>
      </w:r>
    </w:p>
    <w:p>
      <w:pPr>
        <w:pStyle w:val="FirstParagraph"/>
      </w:pPr>
      <w:r>
        <w:t xml:space="preserve">The leading KYC providers for iGaming are Sumsub, Jumio, Onfido, Veriff, and iDenfy. Choice depends on your target markets, volume, budget, and whether you need pure verification or comprehensive compliance orchestration.</w:t>
      </w:r>
    </w:p>
    <w:bookmarkStart w:id="49" w:name="provider-overview"/>
    <w:p>
      <w:pPr>
        <w:pStyle w:val="Heading4"/>
      </w:pPr>
      <w:r>
        <w:t xml:space="preserve">Provider overview</w:t>
      </w:r>
    </w:p>
    <w:p>
      <w:pPr>
        <w:numPr>
          <w:ilvl w:val="0"/>
          <w:numId w:val="1014"/>
        </w:numPr>
      </w:pPr>
      <w:r>
        <w:rPr>
          <w:b/>
          <w:bCs/>
        </w:rPr>
        <w:t xml:space="preserve">Sumsub:</w:t>
      </w:r>
      <w:r>
        <w:t xml:space="preserve"> </w:t>
      </w:r>
      <w:r>
        <w:t xml:space="preserve">Best for regulated industries and global coverage. Strengths: 220+ countries, fast response times, end-to-end KYC/KYB/AML, strong gaming industry presence, named Leader in 2025 Gartner Magic Quadrant. Limitations: Higher pricing tier. Price range: Starting €149/month basic, €299/month compliance, custom enterprise</w:t>
      </w:r>
    </w:p>
    <w:p>
      <w:pPr>
        <w:numPr>
          <w:ilvl w:val="0"/>
          <w:numId w:val="1014"/>
        </w:numPr>
      </w:pPr>
      <w:r>
        <w:rPr>
          <w:b/>
          <w:bCs/>
        </w:rPr>
        <w:t xml:space="preserve">Veriff:</w:t>
      </w:r>
      <w:r>
        <w:t xml:space="preserve"> </w:t>
      </w:r>
      <w:r>
        <w:t xml:space="preserve">Best for user experience and mobile-first operators. Strengths: 230+ territories, 11,500+ document specimens, 98% automation rate, 95% first-attempt success, fast verification. Limitations: Premium features at higher tiers. Price range: Starting €49/month</w:t>
      </w:r>
    </w:p>
    <w:p>
      <w:pPr>
        <w:numPr>
          <w:ilvl w:val="0"/>
          <w:numId w:val="1014"/>
        </w:numPr>
      </w:pPr>
      <w:r>
        <w:rPr>
          <w:b/>
          <w:bCs/>
        </w:rPr>
        <w:t xml:space="preserve">Jumio:</w:t>
      </w:r>
      <w:r>
        <w:t xml:space="preserve"> </w:t>
      </w:r>
      <w:r>
        <w:t xml:space="preserve">Best for enterprise operators needing continuous monitoring. Strengths: AI/ML-driven, strong fraud detection, ongoing KYC monitoring, global coverage, established reputation. Limitations: Higher cost, complex setup. Price range: Enterprise pricing</w:t>
      </w:r>
    </w:p>
    <w:p>
      <w:pPr>
        <w:numPr>
          <w:ilvl w:val="0"/>
          <w:numId w:val="1014"/>
        </w:numPr>
      </w:pPr>
      <w:r>
        <w:rPr>
          <w:b/>
          <w:bCs/>
        </w:rPr>
        <w:t xml:space="preserve">Onfido:</w:t>
      </w:r>
      <w:r>
        <w:t xml:space="preserve"> </w:t>
      </w:r>
      <w:r>
        <w:t xml:space="preserve">Best for large enterprises with global compliance requirements. Strengths: Atlas AI platform, 195+ countries, no-code orchestration, strong certifications. Limitations: Slower verification (30-60 seconds), complex pricing. Price range: Enterprise pricing</w:t>
      </w:r>
    </w:p>
    <w:p>
      <w:pPr>
        <w:numPr>
          <w:ilvl w:val="0"/>
          <w:numId w:val="1014"/>
        </w:numPr>
      </w:pPr>
      <w:r>
        <w:rPr>
          <w:b/>
          <w:bCs/>
        </w:rPr>
        <w:t xml:space="preserve">iDenfy:</w:t>
      </w:r>
      <w:r>
        <w:t xml:space="preserve"> </w:t>
      </w:r>
      <w:r>
        <w:t xml:space="preserve">Best for operators wanting flexible integration options. Strengths: Magic Link feature for iGaming, API and SDK options, fraud pattern detection, competitive pricing. Limitations: Smaller market presence than tier-1 providers. Price range: Mid-tier</w:t>
      </w:r>
    </w:p>
    <w:bookmarkEnd w:id="49"/>
    <w:bookmarkStart w:id="50" w:name="how-to-evaluate"/>
    <w:p>
      <w:pPr>
        <w:pStyle w:val="Heading4"/>
      </w:pPr>
      <w:r>
        <w:t xml:space="preserve">How to evaluate</w:t>
      </w:r>
    </w:p>
    <w:p>
      <w:pPr>
        <w:pStyle w:val="Compact"/>
        <w:numPr>
          <w:ilvl w:val="0"/>
          <w:numId w:val="1015"/>
        </w:numPr>
      </w:pPr>
      <w:r>
        <w:rPr>
          <w:b/>
          <w:bCs/>
        </w:rPr>
        <w:t xml:space="preserve">Coverage:</w:t>
      </w:r>
      <w:r>
        <w:t xml:space="preserve"> </w:t>
      </w:r>
      <w:r>
        <w:t xml:space="preserve">Verify the provider supports documents from your target markets—claims of</w:t>
      </w:r>
      <w:r>
        <w:t xml:space="preserve"> </w:t>
      </w:r>
      <w:r>
        <w:t xml:space="preserve">“200+ countries”</w:t>
      </w:r>
      <w:r>
        <w:t xml:space="preserve"> </w:t>
      </w:r>
      <w:r>
        <w:t xml:space="preserve">often have gaps for specific document types</w:t>
      </w:r>
    </w:p>
    <w:p>
      <w:pPr>
        <w:pStyle w:val="Compact"/>
        <w:numPr>
          <w:ilvl w:val="0"/>
          <w:numId w:val="1015"/>
        </w:numPr>
      </w:pPr>
      <w:r>
        <w:rPr>
          <w:b/>
          <w:bCs/>
        </w:rPr>
        <w:t xml:space="preserve">Speed:</w:t>
      </w:r>
      <w:r>
        <w:t xml:space="preserve"> </w:t>
      </w:r>
      <w:r>
        <w:t xml:space="preserve">Test actual verification times with real documents from your player demographics</w:t>
      </w:r>
    </w:p>
    <w:p>
      <w:pPr>
        <w:pStyle w:val="Compact"/>
        <w:numPr>
          <w:ilvl w:val="0"/>
          <w:numId w:val="1015"/>
        </w:numPr>
      </w:pPr>
      <w:r>
        <w:rPr>
          <w:b/>
          <w:bCs/>
        </w:rPr>
        <w:t xml:space="preserve">Conversion:</w:t>
      </w:r>
      <w:r>
        <w:t xml:space="preserve"> </w:t>
      </w:r>
      <w:r>
        <w:t xml:space="preserve">Request case studies showing conversion rates, not just approval rates</w:t>
      </w:r>
    </w:p>
    <w:p>
      <w:pPr>
        <w:pStyle w:val="Compact"/>
        <w:numPr>
          <w:ilvl w:val="0"/>
          <w:numId w:val="1015"/>
        </w:numPr>
      </w:pPr>
      <w:r>
        <w:rPr>
          <w:b/>
          <w:bCs/>
        </w:rPr>
        <w:t xml:space="preserve">Integration:</w:t>
      </w:r>
      <w:r>
        <w:t xml:space="preserve"> </w:t>
      </w:r>
      <w:r>
        <w:t xml:space="preserve">Assess API quality, SDK options, and implementation support</w:t>
      </w:r>
    </w:p>
    <w:p>
      <w:pPr>
        <w:pStyle w:val="Compact"/>
        <w:numPr>
          <w:ilvl w:val="0"/>
          <w:numId w:val="1015"/>
        </w:numPr>
      </w:pPr>
      <w:r>
        <w:rPr>
          <w:b/>
          <w:bCs/>
        </w:rPr>
        <w:t xml:space="preserve">Compliance:</w:t>
      </w:r>
      <w:r>
        <w:t xml:space="preserve"> </w:t>
      </w:r>
      <w:r>
        <w:t xml:space="preserve">Confirm the provider meets certification requirements for your licensed jurisdictions</w:t>
      </w:r>
    </w:p>
    <w:p>
      <w:pPr>
        <w:pStyle w:val="FirstParagraph"/>
      </w:pPr>
      <w:r>
        <w:t xml:space="preserve">Related:</w:t>
      </w:r>
      <w:r>
        <w:t xml:space="preserve"> </w:t>
      </w:r>
      <w:hyperlink r:id="rId12">
        <w:r>
          <w:rPr>
            <w:rStyle w:val="Hyperlink"/>
          </w:rPr>
          <w:t xml:space="preserve">AML Solutions</w:t>
        </w:r>
      </w:hyperlink>
    </w:p>
    <w:p>
      <w:r>
        <w:pict>
          <v:rect style="width:0;height:1.5pt" o:hralign="center" o:hrstd="t" o:hr="t"/>
        </w:pict>
      </w:r>
    </w:p>
    <w:bookmarkEnd w:id="50"/>
    <w:bookmarkStart w:id="53" w:name="Xf6f5638d1b1ca9ffbb5805ad26590615451fd4f"/>
    <w:p>
      <w:pPr>
        <w:pStyle w:val="Heading3"/>
      </w:pPr>
      <w:r>
        <w:t xml:space="preserve">What mistakes do operators make with KYC implementation?</w:t>
      </w:r>
    </w:p>
    <w:p>
      <w:pPr>
        <w:pStyle w:val="FirstParagraph"/>
      </w:pPr>
      <w:r>
        <w:t xml:space="preserve">The most expensive mistake is treating KYC as a checkbox compliance exercise rather than a conversion optimization opportunity. Poor implementation loses more revenue to abandonment than it saves on verification costs.</w:t>
      </w:r>
    </w:p>
    <w:bookmarkStart w:id="51" w:name="common-mistakes"/>
    <w:p>
      <w:pPr>
        <w:pStyle w:val="Heading4"/>
      </w:pPr>
      <w:r>
        <w:t xml:space="preserve">Common mistakes</w:t>
      </w:r>
    </w:p>
    <w:p>
      <w:pPr>
        <w:numPr>
          <w:ilvl w:val="0"/>
          <w:numId w:val="1016"/>
        </w:numPr>
      </w:pPr>
      <w:r>
        <w:rPr>
          <w:b/>
          <w:bCs/>
        </w:rPr>
        <w:t xml:space="preserve">Choosing on price alone:</w:t>
      </w:r>
      <w:r>
        <w:t xml:space="preserve"> </w:t>
      </w:r>
      <w:r>
        <w:t xml:space="preserve">The cheapest per-check provider often has lower automation rates, slower verification, and worse conversion. A €0.30 provider with 70% automation costs more than a €0.80 provider with 95% automation when you factor in manual review costs</w:t>
      </w:r>
    </w:p>
    <w:p>
      <w:pPr>
        <w:numPr>
          <w:ilvl w:val="0"/>
          <w:numId w:val="1016"/>
        </w:numPr>
      </w:pPr>
      <w:r>
        <w:rPr>
          <w:b/>
          <w:bCs/>
        </w:rPr>
        <w:t xml:space="preserve">One-size-fits-all verification:</w:t>
      </w:r>
      <w:r>
        <w:t xml:space="preserve"> </w:t>
      </w:r>
      <w:r>
        <w:t xml:space="preserve">Applying maximum friction to all players regardless of risk profile kills conversion. A verified returning player doesn’t need the same scrutiny as a first-time registration from an unusual geography</w:t>
      </w:r>
    </w:p>
    <w:p>
      <w:pPr>
        <w:numPr>
          <w:ilvl w:val="0"/>
          <w:numId w:val="1016"/>
        </w:numPr>
      </w:pPr>
      <w:r>
        <w:rPr>
          <w:b/>
          <w:bCs/>
        </w:rPr>
        <w:t xml:space="preserve">Poor mobile experience:</w:t>
      </w:r>
      <w:r>
        <w:t xml:space="preserve"> </w:t>
      </w:r>
      <w:r>
        <w:t xml:space="preserve">Desktop-adapted verification flows fail on mobile where 70%+ of players are. Mobile requires camera guidance, large touch targets, and streamlined flows</w:t>
      </w:r>
    </w:p>
    <w:p>
      <w:pPr>
        <w:numPr>
          <w:ilvl w:val="0"/>
          <w:numId w:val="1016"/>
        </w:numPr>
      </w:pPr>
      <w:r>
        <w:rPr>
          <w:b/>
          <w:bCs/>
        </w:rPr>
        <w:t xml:space="preserve">Ignoring retry experience:</w:t>
      </w:r>
      <w:r>
        <w:t xml:space="preserve"> </w:t>
      </w:r>
      <w:r>
        <w:t xml:space="preserve">Players who fail initial verification often retry. Poor retry flows (starting over completely, unclear error messages) cause abandonment at the retry stage</w:t>
      </w:r>
    </w:p>
    <w:p>
      <w:pPr>
        <w:numPr>
          <w:ilvl w:val="0"/>
          <w:numId w:val="1016"/>
        </w:numPr>
      </w:pPr>
      <w:r>
        <w:rPr>
          <w:b/>
          <w:bCs/>
        </w:rPr>
        <w:t xml:space="preserve">Inadequate document coverage:</w:t>
      </w:r>
      <w:r>
        <w:t xml:space="preserve"> </w:t>
      </w:r>
      <w:r>
        <w:t xml:space="preserve">Not all providers support all documents. Players with valid but uncommon IDs end up in manual review queues or abandoned registrations</w:t>
      </w:r>
    </w:p>
    <w:p>
      <w:pPr>
        <w:numPr>
          <w:ilvl w:val="0"/>
          <w:numId w:val="1016"/>
        </w:numPr>
      </w:pPr>
      <w:r>
        <w:rPr>
          <w:b/>
          <w:bCs/>
        </w:rPr>
        <w:t xml:space="preserve">Missing the fraud evolution:</w:t>
      </w:r>
      <w:r>
        <w:t xml:space="preserve"> </w:t>
      </w:r>
      <w:r>
        <w:t xml:space="preserve">KYC systems tuned for 2023 fraud patterns may miss AI-generated documents and deepfakes. Regular updates and advanced liveness are now required</w:t>
      </w:r>
    </w:p>
    <w:bookmarkEnd w:id="51"/>
    <w:bookmarkStart w:id="52" w:name="the-strategic-mistake"/>
    <w:p>
      <w:pPr>
        <w:pStyle w:val="Heading4"/>
      </w:pPr>
      <w:r>
        <w:t xml:space="preserve">The strategic mistake</w:t>
      </w:r>
    </w:p>
    <w:p>
      <w:pPr>
        <w:pStyle w:val="FirstParagraph"/>
      </w:pPr>
      <w:r>
        <w:t xml:space="preserve">Many operators implement KYC once and consider it complete. KYC requires ongoing optimization: monitoring conversion rates, updating fraud detection, expanding document coverage, and improving user flows based on drop-off analysis.</w:t>
      </w:r>
    </w:p>
    <w:p>
      <w:pPr>
        <w:pStyle w:val="BodyText"/>
      </w:pPr>
      <w:r>
        <w:t xml:space="preserve">Related:</w:t>
      </w:r>
      <w:r>
        <w:t xml:space="preserve"> </w:t>
      </w:r>
      <w:hyperlink r:id="rId21">
        <w:r>
          <w:rPr>
            <w:rStyle w:val="Hyperlink"/>
          </w:rPr>
          <w:t xml:space="preserve">Fraud Prevention</w:t>
        </w:r>
      </w:hyperlink>
    </w:p>
    <w:p>
      <w:r>
        <w:pict>
          <v:rect style="width:0;height:1.5pt" o:hralign="center" o:hrstd="t" o:hr="t"/>
        </w:pict>
      </w:r>
    </w:p>
    <w:bookmarkEnd w:id="52"/>
    <w:bookmarkEnd w:id="53"/>
    <w:bookmarkStart w:id="56" w:name="X6245263671ae66fec13f7159507bfd6716fd740"/>
    <w:p>
      <w:pPr>
        <w:pStyle w:val="Heading3"/>
      </w:pPr>
      <w:r>
        <w:t xml:space="preserve">What are red flags when choosing a KYC provider?</w:t>
      </w:r>
    </w:p>
    <w:p>
      <w:pPr>
        <w:pStyle w:val="FirstParagraph"/>
      </w:pPr>
      <w:r>
        <w:t xml:space="preserve">The biggest warning signs are vague accuracy claims, limited demo access, and reluctance to share conversion metrics. These typically indicate either immature technology or performance that doesn’t match marketing claims.</w:t>
      </w:r>
    </w:p>
    <w:bookmarkStart w:id="54" w:name="red-flags-to-watch-for"/>
    <w:p>
      <w:pPr>
        <w:pStyle w:val="Heading4"/>
      </w:pPr>
      <w:r>
        <w:t xml:space="preserve">Red flags to watch for</w:t>
      </w:r>
    </w:p>
    <w:p>
      <w:pPr>
        <w:numPr>
          <w:ilvl w:val="0"/>
          <w:numId w:val="1017"/>
        </w:numPr>
      </w:pPr>
      <w:r>
        <w:rPr>
          <w:b/>
          <w:bCs/>
        </w:rPr>
        <w:t xml:space="preserve">Won’t provide verification time benchmarks:</w:t>
      </w:r>
      <w:r>
        <w:t xml:space="preserve"> </w:t>
      </w:r>
      <w:r>
        <w:t xml:space="preserve">“Fast verification”</w:t>
      </w:r>
      <w:r>
        <w:t xml:space="preserve"> </w:t>
      </w:r>
      <w:r>
        <w:t xml:space="preserve">without specific metrics (median time, 90th percentile) suggests performance varies widely or is slower than claimed</w:t>
      </w:r>
    </w:p>
    <w:p>
      <w:pPr>
        <w:numPr>
          <w:ilvl w:val="0"/>
          <w:numId w:val="1017"/>
        </w:numPr>
      </w:pPr>
      <w:r>
        <w:rPr>
          <w:b/>
          <w:bCs/>
        </w:rPr>
        <w:t xml:space="preserve">Accuracy claims without context:</w:t>
      </w:r>
      <w:r>
        <w:t xml:space="preserve"> </w:t>
      </w:r>
      <w:r>
        <w:t xml:space="preserve">“99% accuracy”</w:t>
      </w:r>
      <w:r>
        <w:t xml:space="preserve"> </w:t>
      </w:r>
      <w:r>
        <w:t xml:space="preserve">is meaningless without explaining what’s measured. Ask: accuracy for what document types, in what markets, with what user demographics?</w:t>
      </w:r>
    </w:p>
    <w:p>
      <w:pPr>
        <w:numPr>
          <w:ilvl w:val="0"/>
          <w:numId w:val="1017"/>
        </w:numPr>
      </w:pPr>
      <w:r>
        <w:rPr>
          <w:b/>
          <w:bCs/>
        </w:rPr>
        <w:t xml:space="preserve">Limited or controlled demo:</w:t>
      </w:r>
      <w:r>
        <w:t xml:space="preserve"> </w:t>
      </w:r>
      <w:r>
        <w:t xml:space="preserve">You should be able to test verification with real documents from your target markets. Providers who only demo with perfect conditions are hiding real-world performance</w:t>
      </w:r>
    </w:p>
    <w:p>
      <w:pPr>
        <w:numPr>
          <w:ilvl w:val="0"/>
          <w:numId w:val="1017"/>
        </w:numPr>
      </w:pPr>
      <w:r>
        <w:rPr>
          <w:b/>
          <w:bCs/>
        </w:rPr>
        <w:t xml:space="preserve">No conversion data:</w:t>
      </w:r>
      <w:r>
        <w:t xml:space="preserve"> </w:t>
      </w:r>
      <w:r>
        <w:t xml:space="preserve">Approval rate isn’t conversion rate. Ask for data on end-to-end conversion from verification start to completion. Reluctance to share suggests poor performance</w:t>
      </w:r>
    </w:p>
    <w:p>
      <w:pPr>
        <w:numPr>
          <w:ilvl w:val="0"/>
          <w:numId w:val="1017"/>
        </w:numPr>
      </w:pPr>
      <w:r>
        <w:rPr>
          <w:b/>
          <w:bCs/>
        </w:rPr>
        <w:t xml:space="preserve">Document coverage gaps:</w:t>
      </w:r>
      <w:r>
        <w:t xml:space="preserve"> </w:t>
      </w:r>
      <w:r>
        <w:t xml:space="preserve">“200+ countries”</w:t>
      </w:r>
      <w:r>
        <w:t xml:space="preserve"> </w:t>
      </w:r>
      <w:r>
        <w:t xml:space="preserve">may mean limited document types per country. Verify coverage for specific documents your players will present</w:t>
      </w:r>
    </w:p>
    <w:p>
      <w:pPr>
        <w:numPr>
          <w:ilvl w:val="0"/>
          <w:numId w:val="1017"/>
        </w:numPr>
      </w:pPr>
      <w:r>
        <w:rPr>
          <w:b/>
          <w:bCs/>
        </w:rPr>
        <w:t xml:space="preserve">Unclear data handling:</w:t>
      </w:r>
      <w:r>
        <w:t xml:space="preserve"> </w:t>
      </w:r>
      <w:r>
        <w:t xml:space="preserve">GDPR and data localization requirements matter. Vague answers about data storage, retention, and processing location indicate compliance risk</w:t>
      </w:r>
    </w:p>
    <w:p>
      <w:pPr>
        <w:numPr>
          <w:ilvl w:val="0"/>
          <w:numId w:val="1017"/>
        </w:numPr>
      </w:pPr>
      <w:r>
        <w:rPr>
          <w:b/>
          <w:bCs/>
        </w:rPr>
        <w:t xml:space="preserve">Long-term contracts with penalties:</w:t>
      </w:r>
      <w:r>
        <w:t xml:space="preserve"> </w:t>
      </w:r>
      <w:r>
        <w:t xml:space="preserve">KYC technology evolves rapidly. Providers confident in their product don’t require 3-year lock-ins with steep exit penalties</w:t>
      </w:r>
    </w:p>
    <w:bookmarkEnd w:id="54"/>
    <w:bookmarkStart w:id="55" w:name="due-diligence-essentials"/>
    <w:p>
      <w:pPr>
        <w:pStyle w:val="Heading4"/>
      </w:pPr>
      <w:r>
        <w:t xml:space="preserve">Due diligence essentials</w:t>
      </w:r>
    </w:p>
    <w:p>
      <w:pPr>
        <w:pStyle w:val="FirstParagraph"/>
      </w:pPr>
      <w:r>
        <w:t xml:space="preserve">Test with real documents from multiple target markets. Request conversion metrics from comparable iGaming clients. Verify integration timeline and support quality with references. Confirm compliance certifications are current.</w:t>
      </w:r>
    </w:p>
    <w:p>
      <w:pPr>
        <w:pStyle w:val="BodyText"/>
      </w:pPr>
      <w:r>
        <w:t xml:space="preserve">Related:</w:t>
      </w:r>
      <w:r>
        <w:t xml:space="preserve"> </w:t>
      </w:r>
      <w:hyperlink r:id="rId13">
        <w:r>
          <w:rPr>
            <w:rStyle w:val="Hyperlink"/>
          </w:rPr>
          <w:t xml:space="preserve">Compliance &amp; Regulatory Services</w:t>
        </w:r>
      </w:hyperlink>
    </w:p>
    <w:p>
      <w:r>
        <w:pict>
          <v:rect style="width:0;height:1.5pt" o:hralign="center" o:hrstd="t" o:hr="t"/>
        </w:pict>
      </w:r>
    </w:p>
    <w:bookmarkEnd w:id="55"/>
    <w:bookmarkEnd w:id="56"/>
    <w:bookmarkStart w:id="59" w:name="how-is-kyc-technology-changing-in-2026"/>
    <w:p>
      <w:pPr>
        <w:pStyle w:val="Heading3"/>
      </w:pPr>
      <w:r>
        <w:t xml:space="preserve">How is KYC technology changing in 2026?</w:t>
      </w:r>
    </w:p>
    <w:p>
      <w:pPr>
        <w:pStyle w:val="FirstParagraph"/>
      </w:pPr>
      <w:r>
        <w:t xml:space="preserve">KYC technology is rapidly evolving in response to AI-powered fraud, regulatory pressure, and user experience demands. The systems adequate in 2023 are increasingly insufficient for 2026 threat and compliance landscapes.</w:t>
      </w:r>
    </w:p>
    <w:bookmarkStart w:id="57" w:name="key-trends"/>
    <w:p>
      <w:pPr>
        <w:pStyle w:val="Heading4"/>
      </w:pPr>
      <w:r>
        <w:t xml:space="preserve">Key trends</w:t>
      </w:r>
    </w:p>
    <w:p>
      <w:pPr>
        <w:pStyle w:val="FirstParagraph"/>
      </w:pPr>
      <w:r>
        <w:rPr>
          <w:b/>
          <w:bCs/>
        </w:rPr>
        <w:t xml:space="preserve">1. AI vs. AI arms race</w:t>
      </w:r>
    </w:p>
    <w:p>
      <w:pPr>
        <w:pStyle w:val="BodyText"/>
      </w:pPr>
      <w:r>
        <w:t xml:space="preserve">AI-generated fake IDs and deepfakes are forcing verification providers to deploy equally sophisticated AI detection. Liveness detection, document forensics, and behavioral analysis are becoming baseline requirements rather than premium features.</w:t>
      </w:r>
    </w:p>
    <w:p>
      <w:pPr>
        <w:pStyle w:val="BodyText"/>
      </w:pPr>
      <w:r>
        <w:rPr>
          <w:b/>
          <w:bCs/>
        </w:rPr>
        <w:t xml:space="preserve">2. Instant verification becomes expected</w:t>
      </w:r>
    </w:p>
    <w:p>
      <w:pPr>
        <w:pStyle w:val="BodyText"/>
      </w:pPr>
      <w:r>
        <w:t xml:space="preserve">Leading providers now achieve 25-30 second onboarding with 95%+ first-attempt success. Players increasingly expect instant verification. Flows taking multiple minutes or requiring retry cycles cause abandonment.</w:t>
      </w:r>
    </w:p>
    <w:p>
      <w:pPr>
        <w:pStyle w:val="BodyText"/>
      </w:pPr>
      <w:r>
        <w:rPr>
          <w:b/>
          <w:bCs/>
        </w:rPr>
        <w:t xml:space="preserve">3. Orchestration layers emerge</w:t>
      </w:r>
    </w:p>
    <w:p>
      <w:pPr>
        <w:pStyle w:val="BodyText"/>
      </w:pPr>
      <w:r>
        <w:t xml:space="preserve">Rather than single-provider solutions, operators increasingly use verification orchestration platforms that route checks to optimal providers based on document type, geography, and risk signals. This adds complexity but improves coverage and cost efficiency.</w:t>
      </w:r>
    </w:p>
    <w:p>
      <w:pPr>
        <w:pStyle w:val="BodyText"/>
      </w:pPr>
      <w:r>
        <w:rPr>
          <w:b/>
          <w:bCs/>
        </w:rPr>
        <w:t xml:space="preserve">4. Regulatory harmonization (slowly)</w:t>
      </w:r>
    </w:p>
    <w:p>
      <w:pPr>
        <w:pStyle w:val="BodyText"/>
      </w:pPr>
      <w:r>
        <w:t xml:space="preserve">EU AML regulations are being rewritten for 2026, potentially creating more unified requirements across EU markets. However, jurisdiction-specific requirements will persist, maintaining compliance complexity.</w:t>
      </w:r>
    </w:p>
    <w:p>
      <w:pPr>
        <w:pStyle w:val="BodyText"/>
      </w:pPr>
      <w:r>
        <w:rPr>
          <w:b/>
          <w:bCs/>
        </w:rPr>
        <w:t xml:space="preserve">5. Alternative verification methods</w:t>
      </w:r>
    </w:p>
    <w:p>
      <w:pPr>
        <w:pStyle w:val="BodyText"/>
      </w:pPr>
      <w:r>
        <w:t xml:space="preserve">Open Banking verification, database-first approaches, and reusable identity credentials offer paths to verification without document submission in some markets. These reduce friction but have limited coverage.</w:t>
      </w:r>
    </w:p>
    <w:bookmarkEnd w:id="57"/>
    <w:bookmarkStart w:id="58" w:name="what-this-means-for-operators"/>
    <w:p>
      <w:pPr>
        <w:pStyle w:val="Heading4"/>
      </w:pPr>
      <w:r>
        <w:t xml:space="preserve">What this means for operators</w:t>
      </w:r>
    </w:p>
    <w:p>
      <w:pPr>
        <w:pStyle w:val="FirstParagraph"/>
      </w:pPr>
      <w:r>
        <w:t xml:space="preserve">Invest in modern verification technology now—legacy systems are increasingly vulnerable to fraud and conversion loss. Plan for multi-provider strategies rather than single-vendor dependency. Build verification orchestration capability to adapt to evolving requirements.</w:t>
      </w:r>
    </w:p>
    <w:p>
      <w:pPr>
        <w:pStyle w:val="BodyText"/>
      </w:pPr>
      <w:r>
        <w:t xml:space="preserve">Related:</w:t>
      </w:r>
      <w:r>
        <w:t xml:space="preserve"> </w:t>
      </w:r>
      <w:hyperlink r:id="rId21">
        <w:r>
          <w:rPr>
            <w:rStyle w:val="Hyperlink"/>
          </w:rPr>
          <w:t xml:space="preserve">Fraud Prevention</w:t>
        </w:r>
      </w:hyperlink>
      <w:r>
        <w:t xml:space="preserve"> </w:t>
      </w:r>
      <w:r>
        <w:t xml:space="preserve">|</w:t>
      </w:r>
      <w:r>
        <w:t xml:space="preserve"> </w:t>
      </w:r>
      <w:hyperlink r:id="rId40">
        <w:r>
          <w:rPr>
            <w:rStyle w:val="Hyperlink"/>
          </w:rPr>
          <w:t xml:space="preserve">Data &amp; Analytics</w:t>
        </w:r>
      </w:hyperlink>
    </w:p>
    <w:p>
      <w:r>
        <w:pict>
          <v:rect style="width:0;height:1.5pt" o:hralign="center" o:hrstd="t" o:hr="t"/>
        </w:pict>
      </w:r>
    </w:p>
    <w:bookmarkEnd w:id="58"/>
    <w:bookmarkEnd w:id="59"/>
    <w:bookmarkStart w:id="63" w:name="Xbbc1d863843441d0ffa7512a2cc9fd4930f0aaa"/>
    <w:p>
      <w:pPr>
        <w:pStyle w:val="Heading3"/>
      </w:pPr>
      <w:r>
        <w:t xml:space="preserve">How do I know if my KYC system is performing well?</w:t>
      </w:r>
    </w:p>
    <w:p>
      <w:pPr>
        <w:pStyle w:val="FirstParagraph"/>
      </w:pPr>
      <w:r>
        <w:t xml:space="preserve">Track conversion rates, verification speed, and fraud detection—not just compliance checkbox metrics. Many operators report</w:t>
      </w:r>
      <w:r>
        <w:t xml:space="preserve"> </w:t>
      </w:r>
      <w:r>
        <w:t xml:space="preserve">“successful KYC implementation”</w:t>
      </w:r>
      <w:r>
        <w:t xml:space="preserve"> </w:t>
      </w:r>
      <w:r>
        <w:t xml:space="preserve">while losing significant revenue to friction and fraud.</w:t>
      </w:r>
    </w:p>
    <w:bookmarkStart w:id="60" w:name="key-metrics-to-monitor"/>
    <w:p>
      <w:pPr>
        <w:pStyle w:val="Heading4"/>
      </w:pPr>
      <w:r>
        <w:t xml:space="preserve">Key metrics to monitor</w:t>
      </w:r>
    </w:p>
    <w:p>
      <w:pPr>
        <w:pStyle w:val="Compact"/>
        <w:numPr>
          <w:ilvl w:val="0"/>
          <w:numId w:val="1018"/>
        </w:numPr>
      </w:pPr>
      <w:r>
        <w:rPr>
          <w:b/>
          <w:bCs/>
        </w:rPr>
        <w:t xml:space="preserve">Verification conversion rate:</w:t>
      </w:r>
      <w:r>
        <w:t xml:space="preserve"> </w:t>
      </w:r>
      <w:r>
        <w:t xml:space="preserve">Percentage of users starting verification who complete successfully. Target 85-95%; warning below 75%</w:t>
      </w:r>
    </w:p>
    <w:p>
      <w:pPr>
        <w:pStyle w:val="Compact"/>
        <w:numPr>
          <w:ilvl w:val="0"/>
          <w:numId w:val="1018"/>
        </w:numPr>
      </w:pPr>
      <w:r>
        <w:rPr>
          <w:b/>
          <w:bCs/>
        </w:rPr>
        <w:t xml:space="preserve">First-attempt success rate:</w:t>
      </w:r>
      <w:r>
        <w:t xml:space="preserve"> </w:t>
      </w:r>
      <w:r>
        <w:t xml:space="preserve">Percentage completing on first try. Target 90%+; warning below 80%. Low rates indicate UX or document coverage issues</w:t>
      </w:r>
    </w:p>
    <w:p>
      <w:pPr>
        <w:pStyle w:val="Compact"/>
        <w:numPr>
          <w:ilvl w:val="0"/>
          <w:numId w:val="1018"/>
        </w:numPr>
      </w:pPr>
      <w:r>
        <w:rPr>
          <w:b/>
          <w:bCs/>
        </w:rPr>
        <w:t xml:space="preserve">Median verification time:</w:t>
      </w:r>
      <w:r>
        <w:t xml:space="preserve"> </w:t>
      </w:r>
      <w:r>
        <w:t xml:space="preserve">Time from verification start to completion. Target under 30 seconds; warning above 60 seconds</w:t>
      </w:r>
    </w:p>
    <w:p>
      <w:pPr>
        <w:pStyle w:val="Compact"/>
        <w:numPr>
          <w:ilvl w:val="0"/>
          <w:numId w:val="1018"/>
        </w:numPr>
      </w:pPr>
      <w:r>
        <w:rPr>
          <w:b/>
          <w:bCs/>
        </w:rPr>
        <w:t xml:space="preserve">Manual review rate:</w:t>
      </w:r>
      <w:r>
        <w:t xml:space="preserve"> </w:t>
      </w:r>
      <w:r>
        <w:t xml:space="preserve">Percentage flagged for human review. Target under 10%; warning above 15%. High rates indicate automation gaps</w:t>
      </w:r>
    </w:p>
    <w:p>
      <w:pPr>
        <w:pStyle w:val="Compact"/>
        <w:numPr>
          <w:ilvl w:val="0"/>
          <w:numId w:val="1018"/>
        </w:numPr>
      </w:pPr>
      <w:r>
        <w:rPr>
          <w:b/>
          <w:bCs/>
        </w:rPr>
        <w:t xml:space="preserve">Fraud detection rate:</w:t>
      </w:r>
      <w:r>
        <w:t xml:space="preserve"> </w:t>
      </w:r>
      <w:r>
        <w:t xml:space="preserve">Fraudulent verifications caught vs. passed. Compare against industry benchmarks and chargeback data</w:t>
      </w:r>
    </w:p>
    <w:bookmarkEnd w:id="60"/>
    <w:bookmarkStart w:id="61" w:name="warning-signs"/>
    <w:p>
      <w:pPr>
        <w:pStyle w:val="Heading4"/>
      </w:pPr>
      <w:r>
        <w:t xml:space="preserve">Warning signs</w:t>
      </w:r>
    </w:p>
    <w:p>
      <w:pPr>
        <w:pStyle w:val="Compact"/>
        <w:numPr>
          <w:ilvl w:val="0"/>
          <w:numId w:val="1019"/>
        </w:numPr>
      </w:pPr>
      <w:r>
        <w:t xml:space="preserve">Declining conversion rate over time (UX degradation or fraud system false positives)</w:t>
      </w:r>
    </w:p>
    <w:p>
      <w:pPr>
        <w:pStyle w:val="Compact"/>
        <w:numPr>
          <w:ilvl w:val="0"/>
          <w:numId w:val="1019"/>
        </w:numPr>
      </w:pPr>
      <w:r>
        <w:t xml:space="preserve">Increasing manual review queue (automation not keeping pace with new document types or fraud patterns)</w:t>
      </w:r>
    </w:p>
    <w:p>
      <w:pPr>
        <w:pStyle w:val="Compact"/>
        <w:numPr>
          <w:ilvl w:val="0"/>
          <w:numId w:val="1019"/>
        </w:numPr>
      </w:pPr>
      <w:r>
        <w:t xml:space="preserve">Rising fraud losses despite</w:t>
      </w:r>
      <w:r>
        <w:t xml:space="preserve"> </w:t>
      </w:r>
      <w:r>
        <w:t xml:space="preserve">“passing”</w:t>
      </w:r>
      <w:r>
        <w:t xml:space="preserve"> </w:t>
      </w:r>
      <w:r>
        <w:t xml:space="preserve">verification (detection not catching new attack vectors)</w:t>
      </w:r>
    </w:p>
    <w:p>
      <w:pPr>
        <w:pStyle w:val="Compact"/>
        <w:numPr>
          <w:ilvl w:val="0"/>
          <w:numId w:val="1019"/>
        </w:numPr>
      </w:pPr>
      <w:r>
        <w:t xml:space="preserve">Complaints about specific document types or regions (coverage gaps)</w:t>
      </w:r>
    </w:p>
    <w:p>
      <w:pPr>
        <w:pStyle w:val="Compact"/>
        <w:numPr>
          <w:ilvl w:val="0"/>
          <w:numId w:val="1019"/>
        </w:numPr>
      </w:pPr>
      <w:r>
        <w:t xml:space="preserve">Verification taking longer than 60 seconds for most users</w:t>
      </w:r>
    </w:p>
    <w:bookmarkEnd w:id="61"/>
    <w:bookmarkStart w:id="62" w:name="benchmarking"/>
    <w:p>
      <w:pPr>
        <w:pStyle w:val="Heading4"/>
      </w:pPr>
      <w:r>
        <w:t xml:space="preserve">Benchmarking</w:t>
      </w:r>
    </w:p>
    <w:p>
      <w:pPr>
        <w:pStyle w:val="Compact"/>
        <w:numPr>
          <w:ilvl w:val="0"/>
          <w:numId w:val="1020"/>
        </w:numPr>
      </w:pPr>
      <w:r>
        <w:t xml:space="preserve">Top performers achieve 95%+ conversion, sub-30-second verification, and under 5% manual review</w:t>
      </w:r>
    </w:p>
    <w:p>
      <w:pPr>
        <w:pStyle w:val="Compact"/>
        <w:numPr>
          <w:ilvl w:val="0"/>
          <w:numId w:val="1020"/>
        </w:numPr>
      </w:pPr>
      <w:r>
        <w:t xml:space="preserve">If competitors are verifying faster with better conversion, your system needs improvement</w:t>
      </w:r>
    </w:p>
    <w:p>
      <w:pPr>
        <w:pStyle w:val="Compact"/>
        <w:numPr>
          <w:ilvl w:val="0"/>
          <w:numId w:val="1020"/>
        </w:numPr>
      </w:pPr>
      <w:r>
        <w:t xml:space="preserve">Monitor industry fraud trends and ensure your detection is keeping pace</w:t>
      </w:r>
    </w:p>
    <w:p>
      <w:pPr>
        <w:pStyle w:val="FirstParagraph"/>
      </w:pPr>
      <w:r>
        <w:t xml:space="preserve">Related:</w:t>
      </w:r>
      <w:r>
        <w:t xml:space="preserve"> </w:t>
      </w:r>
      <w:hyperlink r:id="rId40">
        <w:r>
          <w:rPr>
            <w:rStyle w:val="Hyperlink"/>
          </w:rPr>
          <w:t xml:space="preserve">Data &amp; Analytics</w:t>
        </w:r>
      </w:hyperlink>
    </w:p>
    <w:p>
      <w:r>
        <w:pict>
          <v:rect style="width:0;height:1.5pt" o:hralign="center" o:hrstd="t" o:hr="t"/>
        </w:pict>
      </w:r>
    </w:p>
    <w:p>
      <w:pPr>
        <w:pStyle w:val="FirstParagraph"/>
      </w:pPr>
      <w:r>
        <w:rPr>
          <w:i/>
          <w:iCs/>
        </w:rPr>
        <w:t xml:space="preserve">Last updated: January 2026</w:t>
      </w:r>
    </w:p>
    <w:bookmarkEnd w:id="62"/>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directory/aml-solutions" TargetMode="External" /><Relationship Type="http://schemas.openxmlformats.org/officeDocument/2006/relationships/hyperlink" Id="rId13" Target="/directory/compliance-regulatory-services" TargetMode="External" /><Relationship Type="http://schemas.openxmlformats.org/officeDocument/2006/relationships/hyperlink" Id="rId40" Target="/directory/data-analytics" TargetMode="External" /><Relationship Type="http://schemas.openxmlformats.org/officeDocument/2006/relationships/hyperlink" Id="rId21" Target="/directory/fraud-prevention" TargetMode="External" /><Relationship Type="http://schemas.openxmlformats.org/officeDocument/2006/relationships/hyperlink" Id="rId45" Target="/directory/game-security-fair-play" TargetMode="External" /><Relationship Type="http://schemas.openxmlformats.org/officeDocument/2006/relationships/hyperlink" Id="rId29" Target="/directory/licensing-regulatory-consulting" TargetMode="External" /><Relationship Type="http://schemas.openxmlformats.org/officeDocument/2006/relationships/hyperlink" Id="rId18" Target="/directory/payment-processing" TargetMode="External" /><Relationship Type="http://schemas.openxmlformats.org/officeDocument/2006/relationships/hyperlink" Id="rId33" Target="/directory/risk-management" TargetMode="External" /></Relationships>
</file>

<file path=word/_rels/footnotes.xml.rels><?xml version="1.0" encoding="UTF-8"?><Relationships xmlns="http://schemas.openxmlformats.org/package/2006/relationships"><Relationship Type="http://schemas.openxmlformats.org/officeDocument/2006/relationships/hyperlink" Id="rId12" Target="/directory/aml-solutions" TargetMode="External" /><Relationship Type="http://schemas.openxmlformats.org/officeDocument/2006/relationships/hyperlink" Id="rId13" Target="/directory/compliance-regulatory-services" TargetMode="External" /><Relationship Type="http://schemas.openxmlformats.org/officeDocument/2006/relationships/hyperlink" Id="rId40" Target="/directory/data-analytics" TargetMode="External" /><Relationship Type="http://schemas.openxmlformats.org/officeDocument/2006/relationships/hyperlink" Id="rId21" Target="/directory/fraud-prevention" TargetMode="External" /><Relationship Type="http://schemas.openxmlformats.org/officeDocument/2006/relationships/hyperlink" Id="rId45" Target="/directory/game-security-fair-play" TargetMode="External" /><Relationship Type="http://schemas.openxmlformats.org/officeDocument/2006/relationships/hyperlink" Id="rId29" Target="/directory/licensing-regulatory-consulting" TargetMode="External" /><Relationship Type="http://schemas.openxmlformats.org/officeDocument/2006/relationships/hyperlink" Id="rId18" Target="/directory/payment-processing" TargetMode="External" /><Relationship Type="http://schemas.openxmlformats.org/officeDocument/2006/relationships/hyperlink" Id="rId33" Target="/directory/risk-manag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2026-01-26T15:42:23Z</dcterms:created>
  <dcterms:modified xsi:type="dcterms:W3CDTF">2026-01-26T15:42:23Z</dcterms:modified>
</cp:coreProperties>
</file>

<file path=docProps/custom.xml><?xml version="1.0" encoding="utf-8"?>
<Properties xmlns="http://schemas.openxmlformats.org/officeDocument/2006/custom-properties" xmlns:vt="http://schemas.openxmlformats.org/officeDocument/2006/docPropsVTypes"/>
</file>