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d5e8902047a369292a6d18825127912a2bf28ea"/>
    <w:p>
      <w:pPr>
        <w:pStyle w:val="Heading1"/>
      </w:pPr>
      <w:r>
        <w:t xml:space="preserve">Payment Processing - Frequently Asked Questions</w:t>
      </w:r>
    </w:p>
    <w:bookmarkStart w:id="9" w:name="category-information"/>
    <w:p>
      <w:pPr>
        <w:pStyle w:val="Heading2"/>
      </w:pPr>
      <w:r>
        <w:t xml:space="preserve">Category Information</w:t>
      </w:r>
    </w:p>
    <w:p>
      <w:pPr>
        <w:pStyle w:val="Compact"/>
        <w:numPr>
          <w:ilvl w:val="0"/>
          <w:numId w:val="1001"/>
        </w:numPr>
      </w:pPr>
      <w:r>
        <w:rPr>
          <w:b/>
          <w:bCs/>
        </w:rPr>
        <w:t xml:space="preserve">Category:</w:t>
      </w:r>
      <w:r>
        <w:t xml:space="preserve"> </w:t>
      </w:r>
      <w:r>
        <w:t xml:space="preserve">Payment Processing</w:t>
      </w:r>
    </w:p>
    <w:p>
      <w:pPr>
        <w:pStyle w:val="Compact"/>
        <w:numPr>
          <w:ilvl w:val="0"/>
          <w:numId w:val="1001"/>
        </w:numPr>
      </w:pPr>
      <w:r>
        <w:rPr>
          <w:b/>
          <w:bCs/>
        </w:rPr>
        <w:t xml:space="preserve">Slug:</w:t>
      </w:r>
      <w:r>
        <w:t xml:space="preserve"> </w:t>
      </w:r>
      <w:r>
        <w:t xml:space="preserve">payment-processing</w:t>
      </w:r>
    </w:p>
    <w:p>
      <w:pPr>
        <w:pStyle w:val="Compact"/>
        <w:numPr>
          <w:ilvl w:val="0"/>
          <w:numId w:val="1001"/>
        </w:numPr>
      </w:pPr>
      <w:r>
        <w:rPr>
          <w:b/>
          <w:bCs/>
        </w:rPr>
        <w:t xml:space="preserve">Parent:</w:t>
      </w:r>
      <w:r>
        <w:t xml:space="preserve"> </w:t>
      </w:r>
      <w:r>
        <w:t xml:space="preserve">Financial Services</w:t>
      </w:r>
    </w:p>
    <w:p>
      <w:pPr>
        <w:pStyle w:val="Compact"/>
        <w:numPr>
          <w:ilvl w:val="0"/>
          <w:numId w:val="1001"/>
        </w:numPr>
      </w:pPr>
      <w:r>
        <w:rPr>
          <w:b/>
          <w:bCs/>
        </w:rPr>
        <w:t xml:space="preserve">Wave:</w:t>
      </w:r>
      <w:r>
        <w:t xml:space="preserve"> </w:t>
      </w:r>
      <w:r>
        <w:t xml:space="preserve">1 (Priority)</w:t>
      </w:r>
    </w:p>
    <w:p>
      <w:pPr>
        <w:pStyle w:val="Compact"/>
        <w:numPr>
          <w:ilvl w:val="0"/>
          <w:numId w:val="1001"/>
        </w:numPr>
      </w:pPr>
      <w:r>
        <w:rPr>
          <w:b/>
          <w:bCs/>
        </w:rPr>
        <w:t xml:space="preserve">Questions:</w:t>
      </w:r>
      <w:r>
        <w:t xml:space="preserve"> </w:t>
      </w:r>
      <w:r>
        <w:t xml:space="preserve">14 (6 H2, 8 H3)</w:t>
      </w:r>
    </w:p>
    <w:p>
      <w:pPr>
        <w:pStyle w:val="Compact"/>
        <w:numPr>
          <w:ilvl w:val="0"/>
          <w:numId w:val="1001"/>
        </w:numPr>
      </w:pPr>
      <w:r>
        <w:rPr>
          <w:b/>
          <w:bCs/>
        </w:rPr>
        <w:t xml:space="preserve">Word Count:</w:t>
      </w:r>
      <w:r>
        <w:t xml:space="preserve"> </w:t>
      </w:r>
      <w:r>
        <w:t xml:space="preserve">~3,200</w:t>
      </w:r>
    </w:p>
    <w:p>
      <w:r>
        <w:pict>
          <v:rect style="width:0;height:1.5pt" o:hralign="center" o:hrstd="t" o:hr="t"/>
        </w:pict>
      </w:r>
    </w:p>
    <w:bookmarkEnd w:id="9"/>
    <w:bookmarkStart w:id="10" w:name="introduction"/>
    <w:p>
      <w:pPr>
        <w:pStyle w:val="Heading2"/>
      </w:pPr>
      <w:r>
        <w:t xml:space="preserve">Introduction</w:t>
      </w:r>
    </w:p>
    <w:p>
      <w:pPr>
        <w:pStyle w:val="FirstParagraph"/>
      </w:pPr>
      <w:r>
        <w:t xml:space="preserve">Payment processing is where iGaming operators face their highest friction and hidden costs. This FAQ covers true costs beyond quoted rates, payment method selection by region, chargeback management, and provider comparison.</w:t>
      </w:r>
    </w:p>
    <w:p>
      <w:r>
        <w:pict>
          <v:rect style="width:0;height:1.5pt" o:hralign="center" o:hrstd="t" o:hr="t"/>
        </w:pict>
      </w:r>
    </w:p>
    <w:bookmarkEnd w:id="10"/>
    <w:bookmarkStart w:id="13" w:name="what-is-igaming-payment-processing"/>
    <w:p>
      <w:pPr>
        <w:pStyle w:val="Heading2"/>
      </w:pPr>
      <w:r>
        <w:t xml:space="preserve">What is iGaming payment processing?</w:t>
      </w:r>
    </w:p>
    <w:p>
      <w:pPr>
        <w:pStyle w:val="FirstParagraph"/>
      </w:pPr>
      <w:r>
        <w:t xml:space="preserve">iGaming payment processing refers to the specialized financial infrastructure that enables online gambling operators to accept deposits from players and process withdrawals across multiple currencies, payment methods, and jurisdictions. It’s the technical and financial backbone that handles the €3.8+ trillion in payouts gambling operators process annually.</w:t>
      </w:r>
    </w:p>
    <w:p>
      <w:pPr>
        <w:pStyle w:val="BodyText"/>
      </w:pPr>
      <w:r>
        <w:t xml:space="preserve">Payment processing for gambling is fundamentally different from standard e-commerce. Gambling is classified as</w:t>
      </w:r>
      <w:r>
        <w:t xml:space="preserve"> </w:t>
      </w:r>
      <w:r>
        <w:t xml:space="preserve">“high-risk”</w:t>
      </w:r>
      <w:r>
        <w:t xml:space="preserve"> </w:t>
      </w:r>
      <w:r>
        <w:t xml:space="preserve">by banks and card networks due to fraud concerns, chargeback rates, and regulatory complexity. This classification means operators can’t use standard merchant accounts—they need specialized Payment Service Providers (PSPs) that understand gambling regulations and are licensed to process gaming transactions.</w:t>
      </w:r>
    </w:p>
    <w:p>
      <w:pPr>
        <w:pStyle w:val="BodyText"/>
      </w:pPr>
      <w:r>
        <w:t xml:space="preserve">Key components of iGaming payment processing include:</w:t>
      </w:r>
    </w:p>
    <w:p>
      <w:pPr>
        <w:pStyle w:val="Compact"/>
        <w:numPr>
          <w:ilvl w:val="0"/>
          <w:numId w:val="1002"/>
        </w:numPr>
      </w:pPr>
      <w:r>
        <w:t xml:space="preserve">Payment gateway connecting your platform to financial networks</w:t>
      </w:r>
    </w:p>
    <w:p>
      <w:pPr>
        <w:pStyle w:val="Compact"/>
        <w:numPr>
          <w:ilvl w:val="0"/>
          <w:numId w:val="1002"/>
        </w:numPr>
      </w:pPr>
      <w:r>
        <w:t xml:space="preserve">Multiple PSP integrations for deposit and withdrawal routing</w:t>
      </w:r>
    </w:p>
    <w:p>
      <w:pPr>
        <w:pStyle w:val="Compact"/>
        <w:numPr>
          <w:ilvl w:val="0"/>
          <w:numId w:val="1002"/>
        </w:numPr>
      </w:pPr>
      <w:r>
        <w:t xml:space="preserve">Multi-currency support with real-time exchange rate handling</w:t>
      </w:r>
    </w:p>
    <w:p>
      <w:pPr>
        <w:pStyle w:val="Compact"/>
        <w:numPr>
          <w:ilvl w:val="0"/>
          <w:numId w:val="1002"/>
        </w:numPr>
      </w:pPr>
      <w:r>
        <w:t xml:space="preserve">Fraud detection and chargeback management systems</w:t>
      </w:r>
    </w:p>
    <w:p>
      <w:pPr>
        <w:pStyle w:val="Compact"/>
        <w:numPr>
          <w:ilvl w:val="0"/>
          <w:numId w:val="1002"/>
        </w:numPr>
      </w:pPr>
      <w:r>
        <w:t xml:space="preserve">KYC/AML compliance integration for regulatory requirements</w:t>
      </w:r>
    </w:p>
    <w:p>
      <w:pPr>
        <w:pStyle w:val="Compact"/>
        <w:numPr>
          <w:ilvl w:val="0"/>
          <w:numId w:val="1002"/>
        </w:numPr>
      </w:pPr>
      <w:r>
        <w:t xml:space="preserve">Smart routing to optimize transaction success rates</w:t>
      </w:r>
    </w:p>
    <w:p>
      <w:pPr>
        <w:pStyle w:val="FirstParagraph"/>
      </w:pPr>
      <w:r>
        <w:t xml:space="preserve">Here’s what providers don’t emphasize: payment processing is the single biggest operational headache for most operators. Failed deposits lose players instantly. Slow withdrawals drive churn. Chargebacks threaten your merchant account. Getting payments right is existential—it’s not just a technical checkbox.</w:t>
      </w:r>
    </w:p>
    <w:p>
      <w:pPr>
        <w:pStyle w:val="BodyText"/>
      </w:pPr>
      <w:r>
        <w:t xml:space="preserve">Related:</w:t>
      </w:r>
      <w:r>
        <w:t xml:space="preserve"> </w:t>
      </w:r>
      <w:hyperlink r:id="rId11">
        <w:r>
          <w:rPr>
            <w:rStyle w:val="Hyperlink"/>
          </w:rPr>
          <w:t xml:space="preserve">Payment Gateways</w:t>
        </w:r>
      </w:hyperlink>
      <w:r>
        <w:t xml:space="preserve"> </w:t>
      </w:r>
      <w:r>
        <w:t xml:space="preserve">|</w:t>
      </w:r>
      <w:r>
        <w:t xml:space="preserve"> </w:t>
      </w:r>
      <w:hyperlink r:id="rId12">
        <w:r>
          <w:rPr>
            <w:rStyle w:val="Hyperlink"/>
          </w:rPr>
          <w:t xml:space="preserve">E-Wallet Solutions</w:t>
        </w:r>
      </w:hyperlink>
    </w:p>
    <w:p>
      <w:r>
        <w:pict>
          <v:rect style="width:0;height:1.5pt" o:hralign="center" o:hrstd="t" o:hr="t"/>
        </w:pict>
      </w:r>
    </w:p>
    <w:bookmarkEnd w:id="13"/>
    <w:bookmarkStart w:id="22" w:name="X29e8eba267526019429815d5f7124bb27824ce6"/>
    <w:p>
      <w:pPr>
        <w:pStyle w:val="Heading2"/>
      </w:pPr>
      <w:r>
        <w:t xml:space="preserve">How much does iGaming payment processing cost?</w:t>
      </w:r>
    </w:p>
    <w:p>
      <w:pPr>
        <w:pStyle w:val="FirstParagraph"/>
      </w:pPr>
      <w:r>
        <w:t xml:space="preserve">Payment processing fees for gambling typically run 2-5% of transaction volume for deposits, plus per-transaction fees of €0.10-€0.50, withdrawal fees, and potential chargeback costs of €15-€70 per dispute. But here’s what providers don’t highlight: total payment costs including chargebacks, rolling reserves, and hidden fees often consume 4-8% of your gross deposits.</w:t>
      </w:r>
    </w:p>
    <w:bookmarkStart w:id="14" w:name="cost-breakdown-2026"/>
    <w:p>
      <w:pPr>
        <w:pStyle w:val="Heading4"/>
      </w:pPr>
      <w:r>
        <w:t xml:space="preserve">Cost breakdown (2026)</w:t>
      </w:r>
    </w:p>
    <w:p>
      <w:pPr>
        <w:pStyle w:val="Compact"/>
        <w:numPr>
          <w:ilvl w:val="0"/>
          <w:numId w:val="1003"/>
        </w:numPr>
      </w:pPr>
      <w:r>
        <w:rPr>
          <w:b/>
          <w:bCs/>
        </w:rPr>
        <w:t xml:space="preserve">Transaction fees (deposits):</w:t>
      </w:r>
      <w:r>
        <w:t xml:space="preserve"> </w:t>
      </w:r>
      <w:r>
        <w:t xml:space="preserve">1.5-3.5%. Varies by payment method; cards higher than bank transfers</w:t>
      </w:r>
    </w:p>
    <w:p>
      <w:pPr>
        <w:pStyle w:val="Compact"/>
        <w:numPr>
          <w:ilvl w:val="0"/>
          <w:numId w:val="1003"/>
        </w:numPr>
      </w:pPr>
      <w:r>
        <w:rPr>
          <w:b/>
          <w:bCs/>
        </w:rPr>
        <w:t xml:space="preserve">Transaction fees (withdrawals):</w:t>
      </w:r>
      <w:r>
        <w:t xml:space="preserve"> </w:t>
      </w:r>
      <w:r>
        <w:t xml:space="preserve">1-2% plus flat fees. Often higher than deposits</w:t>
      </w:r>
    </w:p>
    <w:p>
      <w:pPr>
        <w:pStyle w:val="Compact"/>
        <w:numPr>
          <w:ilvl w:val="0"/>
          <w:numId w:val="1003"/>
        </w:numPr>
      </w:pPr>
      <w:r>
        <w:rPr>
          <w:b/>
          <w:bCs/>
        </w:rPr>
        <w:t xml:space="preserve">Setup fees:</w:t>
      </w:r>
      <w:r>
        <w:t xml:space="preserve"> </w:t>
      </w:r>
      <w:r>
        <w:t xml:space="preserve">€2,000-€10,000 per PSP. One-time integration cost</w:t>
      </w:r>
    </w:p>
    <w:p>
      <w:pPr>
        <w:pStyle w:val="Compact"/>
        <w:numPr>
          <w:ilvl w:val="0"/>
          <w:numId w:val="1003"/>
        </w:numPr>
      </w:pPr>
      <w:r>
        <w:rPr>
          <w:b/>
          <w:bCs/>
        </w:rPr>
        <w:t xml:space="preserve">Monthly minimums:</w:t>
      </w:r>
      <w:r>
        <w:t xml:space="preserve"> </w:t>
      </w:r>
      <w:r>
        <w:t xml:space="preserve">€500-€2,000. Charged if transaction volume is below threshold</w:t>
      </w:r>
    </w:p>
    <w:p>
      <w:pPr>
        <w:pStyle w:val="Compact"/>
        <w:numPr>
          <w:ilvl w:val="0"/>
          <w:numId w:val="1003"/>
        </w:numPr>
      </w:pPr>
      <w:r>
        <w:rPr>
          <w:b/>
          <w:bCs/>
        </w:rPr>
        <w:t xml:space="preserve">Chargeback fees:</w:t>
      </w:r>
      <w:r>
        <w:t xml:space="preserve"> </w:t>
      </w:r>
      <w:r>
        <w:t xml:space="preserve">€15-€70 per dispute. Plus potential fines for high chargeback ratios</w:t>
      </w:r>
    </w:p>
    <w:p>
      <w:pPr>
        <w:pStyle w:val="Compact"/>
        <w:numPr>
          <w:ilvl w:val="0"/>
          <w:numId w:val="1003"/>
        </w:numPr>
      </w:pPr>
      <w:r>
        <w:rPr>
          <w:b/>
          <w:bCs/>
        </w:rPr>
        <w:t xml:space="preserve">Rolling reserves:</w:t>
      </w:r>
      <w:r>
        <w:t xml:space="preserve"> </w:t>
      </w:r>
      <w:r>
        <w:t xml:space="preserve">5-10% held for 6 months. Cash flow impact, not a fee</w:t>
      </w:r>
    </w:p>
    <w:p>
      <w:pPr>
        <w:pStyle w:val="Compact"/>
        <w:numPr>
          <w:ilvl w:val="0"/>
          <w:numId w:val="1003"/>
        </w:numPr>
      </w:pPr>
      <w:r>
        <w:rPr>
          <w:b/>
          <w:bCs/>
        </w:rPr>
        <w:t xml:space="preserve">Currency conversion:</w:t>
      </w:r>
      <w:r>
        <w:t xml:space="preserve"> </w:t>
      </w:r>
      <w:r>
        <w:t xml:space="preserve">1-3% spread. On cross-border transactions</w:t>
      </w:r>
    </w:p>
    <w:bookmarkEnd w:id="14"/>
    <w:bookmarkStart w:id="15" w:name="cost-by-payment-method"/>
    <w:p>
      <w:pPr>
        <w:pStyle w:val="Heading4"/>
      </w:pPr>
      <w:r>
        <w:t xml:space="preserve">Cost by payment method</w:t>
      </w:r>
    </w:p>
    <w:p>
      <w:pPr>
        <w:pStyle w:val="Compact"/>
        <w:numPr>
          <w:ilvl w:val="0"/>
          <w:numId w:val="1004"/>
        </w:numPr>
      </w:pPr>
      <w:r>
        <w:rPr>
          <w:b/>
          <w:bCs/>
        </w:rPr>
        <w:t xml:space="preserve">Credit/Debit cards:</w:t>
      </w:r>
      <w:r>
        <w:t xml:space="preserve"> </w:t>
      </w:r>
      <w:r>
        <w:t xml:space="preserve">2.5-3.5%. Highest fees, highest risk</w:t>
      </w:r>
    </w:p>
    <w:p>
      <w:pPr>
        <w:pStyle w:val="Compact"/>
        <w:numPr>
          <w:ilvl w:val="0"/>
          <w:numId w:val="1004"/>
        </w:numPr>
      </w:pPr>
      <w:r>
        <w:rPr>
          <w:b/>
          <w:bCs/>
        </w:rPr>
        <w:t xml:space="preserve">E-wallets (Skrill, Neteller):</w:t>
      </w:r>
      <w:r>
        <w:t xml:space="preserve"> </w:t>
      </w:r>
      <w:r>
        <w:t xml:space="preserve">2-3%. Lower chargebacks, established in gambling</w:t>
      </w:r>
    </w:p>
    <w:p>
      <w:pPr>
        <w:pStyle w:val="Compact"/>
        <w:numPr>
          <w:ilvl w:val="0"/>
          <w:numId w:val="1004"/>
        </w:numPr>
      </w:pPr>
      <w:r>
        <w:rPr>
          <w:b/>
          <w:bCs/>
        </w:rPr>
        <w:t xml:space="preserve">Bank transfers (Trustly):</w:t>
      </w:r>
      <w:r>
        <w:t xml:space="preserve"> </w:t>
      </w:r>
      <w:r>
        <w:t xml:space="preserve">1.5-2%. Lower fees, no chargebacks</w:t>
      </w:r>
    </w:p>
    <w:p>
      <w:pPr>
        <w:pStyle w:val="Compact"/>
        <w:numPr>
          <w:ilvl w:val="0"/>
          <w:numId w:val="1004"/>
        </w:numPr>
      </w:pPr>
      <w:r>
        <w:rPr>
          <w:b/>
          <w:bCs/>
        </w:rPr>
        <w:t xml:space="preserve">Cryptocurrency:</w:t>
      </w:r>
      <w:r>
        <w:t xml:space="preserve"> </w:t>
      </w:r>
      <w:r>
        <w:t xml:space="preserve">0.5-1%. Lowest fees, no chargebacks, but volatility risk</w:t>
      </w:r>
    </w:p>
    <w:bookmarkEnd w:id="15"/>
    <w:bookmarkStart w:id="17" w:name="the-math-nobody-does-upfront"/>
    <w:p>
      <w:pPr>
        <w:pStyle w:val="Heading4"/>
      </w:pPr>
      <w:r>
        <w:t xml:space="preserve">The math nobody does upfront</w:t>
      </w:r>
    </w:p>
    <w:p>
      <w:pPr>
        <w:pStyle w:val="FirstParagraph"/>
      </w:pPr>
      <w:r>
        <w:t xml:space="preserve">At €1 million monthly deposits with 3% average processing fees, you’re paying €30,000/month. Add 2% chargeback rate at €50/dispute (€10,000) and rolling reserve cash flow impact, and true cost approaches 5-6% of deposits.</w:t>
      </w:r>
    </w:p>
    <w:p>
      <w:pPr>
        <w:pStyle w:val="BodyText"/>
      </w:pPr>
      <w:r>
        <w:rPr>
          <w:i/>
          <w:iCs/>
        </w:rPr>
        <w:t xml:space="preserve">Rates based on 2026 market data. Always negotiate rates based on volume projections.</w:t>
      </w:r>
    </w:p>
    <w:p>
      <w:pPr>
        <w:pStyle w:val="BodyText"/>
      </w:pPr>
      <w:r>
        <w:t xml:space="preserve">Related:</w:t>
      </w:r>
      <w:r>
        <w:t xml:space="preserve"> </w:t>
      </w:r>
      <w:hyperlink r:id="rId16">
        <w:r>
          <w:rPr>
            <w:rStyle w:val="Hyperlink"/>
          </w:rPr>
          <w:t xml:space="preserve">Cryptocurrency Payments</w:t>
        </w:r>
      </w:hyperlink>
      <w:r>
        <w:t xml:space="preserve"> </w:t>
      </w:r>
      <w:r>
        <w:t xml:space="preserve">|</w:t>
      </w:r>
      <w:r>
        <w:t xml:space="preserve"> </w:t>
      </w:r>
      <w:hyperlink r:id="rId12">
        <w:r>
          <w:rPr>
            <w:rStyle w:val="Hyperlink"/>
          </w:rPr>
          <w:t xml:space="preserve">E-Wallet Solutions</w:t>
        </w:r>
      </w:hyperlink>
    </w:p>
    <w:p>
      <w:r>
        <w:pict>
          <v:rect style="width:0;height:1.5pt" o:hralign="center" o:hrstd="t" o:hr="t"/>
        </w:pict>
      </w:r>
    </w:p>
    <w:bookmarkEnd w:id="17"/>
    <w:bookmarkStart w:id="21" w:name="X40757da41ebac2e90116ee15126054f05056dda"/>
    <w:p>
      <w:pPr>
        <w:pStyle w:val="Heading3"/>
      </w:pPr>
      <w:r>
        <w:t xml:space="preserve">What are the hidden costs of payment processing?</w:t>
      </w:r>
    </w:p>
    <w:p>
      <w:pPr>
        <w:pStyle w:val="FirstParagraph"/>
      </w:pPr>
      <w:r>
        <w:t xml:space="preserve">The quoted transaction rate is typically 50-70% of your real payment costs. Budget for 4-8% of deposits total, not the 2.5% in the sales pitch.</w:t>
      </w:r>
    </w:p>
    <w:bookmarkStart w:id="18" w:name="commonly-overlooked-costs"/>
    <w:p>
      <w:pPr>
        <w:pStyle w:val="Heading4"/>
      </w:pPr>
      <w:r>
        <w:t xml:space="preserve">Commonly overlooked costs</w:t>
      </w:r>
    </w:p>
    <w:p>
      <w:pPr>
        <w:pStyle w:val="Compact"/>
        <w:numPr>
          <w:ilvl w:val="0"/>
          <w:numId w:val="1005"/>
        </w:numPr>
      </w:pPr>
      <w:r>
        <w:rPr>
          <w:b/>
          <w:bCs/>
        </w:rPr>
        <w:t xml:space="preserve">Chargeback fees and fines:</w:t>
      </w:r>
      <w:r>
        <w:t xml:space="preserve"> </w:t>
      </w:r>
      <w:r>
        <w:t xml:space="preserve">€15-€70 per dispute. Plus €5,000-€25,000 fines if chargeback ratio exceeds 1%</w:t>
      </w:r>
    </w:p>
    <w:p>
      <w:pPr>
        <w:pStyle w:val="Compact"/>
        <w:numPr>
          <w:ilvl w:val="0"/>
          <w:numId w:val="1005"/>
        </w:numPr>
      </w:pPr>
      <w:r>
        <w:rPr>
          <w:b/>
          <w:bCs/>
        </w:rPr>
        <w:t xml:space="preserve">Rolling reserves:</w:t>
      </w:r>
      <w:r>
        <w:t xml:space="preserve"> </w:t>
      </w:r>
      <w:r>
        <w:t xml:space="preserve">5-10% of deposits held 6 months. Not a fee, but €50,000-€100,000 in tied-up cash flow</w:t>
      </w:r>
    </w:p>
    <w:p>
      <w:pPr>
        <w:pStyle w:val="Compact"/>
        <w:numPr>
          <w:ilvl w:val="0"/>
          <w:numId w:val="1005"/>
        </w:numPr>
      </w:pPr>
      <w:r>
        <w:rPr>
          <w:b/>
          <w:bCs/>
        </w:rPr>
        <w:t xml:space="preserve">Currency conversion spreads:</w:t>
      </w:r>
      <w:r>
        <w:t xml:space="preserve"> </w:t>
      </w:r>
      <w:r>
        <w:t xml:space="preserve">1-3% hidden in exchange rates. Often not disclosed clearly</w:t>
      </w:r>
    </w:p>
    <w:p>
      <w:pPr>
        <w:pStyle w:val="Compact"/>
        <w:numPr>
          <w:ilvl w:val="0"/>
          <w:numId w:val="1005"/>
        </w:numPr>
      </w:pPr>
      <w:r>
        <w:rPr>
          <w:b/>
          <w:bCs/>
        </w:rPr>
        <w:t xml:space="preserve">Failed transaction fees:</w:t>
      </w:r>
      <w:r>
        <w:t xml:space="preserve"> </w:t>
      </w:r>
      <w:r>
        <w:t xml:space="preserve">€0.10-€0.50 per attempt. Adds up with high decline rates</w:t>
      </w:r>
    </w:p>
    <w:p>
      <w:pPr>
        <w:pStyle w:val="Compact"/>
        <w:numPr>
          <w:ilvl w:val="0"/>
          <w:numId w:val="1005"/>
        </w:numPr>
      </w:pPr>
      <w:r>
        <w:rPr>
          <w:b/>
          <w:bCs/>
        </w:rPr>
        <w:t xml:space="preserve">Monthly minimums:</w:t>
      </w:r>
      <w:r>
        <w:t xml:space="preserve"> </w:t>
      </w:r>
      <w:r>
        <w:t xml:space="preserve">€500-€2,000/month per PSP. Triggered during slow periods</w:t>
      </w:r>
    </w:p>
    <w:p>
      <w:pPr>
        <w:pStyle w:val="Compact"/>
        <w:numPr>
          <w:ilvl w:val="0"/>
          <w:numId w:val="1005"/>
        </w:numPr>
      </w:pPr>
      <w:r>
        <w:rPr>
          <w:b/>
          <w:bCs/>
        </w:rPr>
        <w:t xml:space="preserve">Compliance and reporting fees:</w:t>
      </w:r>
      <w:r>
        <w:t xml:space="preserve"> </w:t>
      </w:r>
      <w:r>
        <w:t xml:space="preserve">€500-€1,500/month. For AML monitoring and regulatory reporting</w:t>
      </w:r>
    </w:p>
    <w:p>
      <w:pPr>
        <w:pStyle w:val="Compact"/>
        <w:numPr>
          <w:ilvl w:val="0"/>
          <w:numId w:val="1005"/>
        </w:numPr>
      </w:pPr>
      <w:r>
        <w:rPr>
          <w:b/>
          <w:bCs/>
        </w:rPr>
        <w:t xml:space="preserve">Early termination fees:</w:t>
      </w:r>
      <w:r>
        <w:t xml:space="preserve"> </w:t>
      </w:r>
      <w:r>
        <w:t xml:space="preserve">€5,000-€25,000. If you switch providers before contract ends</w:t>
      </w:r>
    </w:p>
    <w:bookmarkEnd w:id="18"/>
    <w:bookmarkStart w:id="20" w:name="how-to-protect-yourself"/>
    <w:p>
      <w:pPr>
        <w:pStyle w:val="Heading4"/>
      </w:pPr>
      <w:r>
        <w:t xml:space="preserve">How to protect yourself</w:t>
      </w:r>
    </w:p>
    <w:p>
      <w:pPr>
        <w:pStyle w:val="Compact"/>
        <w:numPr>
          <w:ilvl w:val="0"/>
          <w:numId w:val="1006"/>
        </w:numPr>
      </w:pPr>
      <w:r>
        <w:t xml:space="preserve">Request complete fee schedules including all scenarios (chargebacks, declines, minimums)</w:t>
      </w:r>
    </w:p>
    <w:p>
      <w:pPr>
        <w:pStyle w:val="Compact"/>
        <w:numPr>
          <w:ilvl w:val="0"/>
          <w:numId w:val="1006"/>
        </w:numPr>
      </w:pPr>
      <w:r>
        <w:t xml:space="preserve">Calculate total payment cost at multiple volume levels</w:t>
      </w:r>
    </w:p>
    <w:p>
      <w:pPr>
        <w:pStyle w:val="Compact"/>
        <w:numPr>
          <w:ilvl w:val="0"/>
          <w:numId w:val="1006"/>
        </w:numPr>
      </w:pPr>
      <w:r>
        <w:t xml:space="preserve">Negotiate rolling reserve terms—shorter hold periods as you prove track record</w:t>
      </w:r>
    </w:p>
    <w:p>
      <w:pPr>
        <w:pStyle w:val="Compact"/>
        <w:numPr>
          <w:ilvl w:val="0"/>
          <w:numId w:val="1006"/>
        </w:numPr>
      </w:pPr>
      <w:r>
        <w:t xml:space="preserve">Get currency conversion rates in writing separately from transaction fees</w:t>
      </w:r>
    </w:p>
    <w:p>
      <w:pPr>
        <w:pStyle w:val="FirstParagraph"/>
      </w:pPr>
      <w:r>
        <w:t xml:space="preserve">Related:</w:t>
      </w:r>
      <w:r>
        <w:t xml:space="preserve"> </w:t>
      </w:r>
      <w:hyperlink r:id="rId19">
        <w:r>
          <w:rPr>
            <w:rStyle w:val="Hyperlink"/>
          </w:rPr>
          <w:t xml:space="preserve">Risk Management</w:t>
        </w:r>
      </w:hyperlink>
    </w:p>
    <w:p>
      <w:r>
        <w:pict>
          <v:rect style="width:0;height:1.5pt" o:hralign="center" o:hrstd="t" o:hr="t"/>
        </w:pict>
      </w:r>
    </w:p>
    <w:bookmarkEnd w:id="20"/>
    <w:bookmarkEnd w:id="21"/>
    <w:bookmarkEnd w:id="22"/>
    <w:bookmarkStart w:id="30" w:name="X28cb58b42a42f92ef111be219beea967b099df8"/>
    <w:p>
      <w:pPr>
        <w:pStyle w:val="Heading2"/>
      </w:pPr>
      <w:r>
        <w:t xml:space="preserve">What payment methods should I offer players?</w:t>
      </w:r>
    </w:p>
    <w:p>
      <w:pPr>
        <w:pStyle w:val="FirstParagraph"/>
      </w:pPr>
      <w:r>
        <w:t xml:space="preserve">The right payment mix depends on your target markets, but most successful operators offer 8-15 methods covering cards, e-wallets, bank transfers, and increasingly cryptocurrency. Cards still command 45% of global iGaming turnover, but local payment methods are essential—card brands only represent 32% of global e-commerce, dropping to 26% by 2026.</w:t>
      </w:r>
    </w:p>
    <w:bookmarkStart w:id="23" w:name="essential-payment-methods-by-region"/>
    <w:p>
      <w:pPr>
        <w:pStyle w:val="Heading4"/>
      </w:pPr>
      <w:r>
        <w:t xml:space="preserve">Essential payment methods by region</w:t>
      </w:r>
    </w:p>
    <w:p>
      <w:pPr>
        <w:pStyle w:val="FirstParagraph"/>
      </w:pPr>
      <w:r>
        <w:rPr>
          <w:b/>
          <w:bCs/>
        </w:rPr>
        <w:t xml:space="preserve">Europe:</w:t>
      </w:r>
      <w:r>
        <w:t xml:space="preserve"> </w:t>
      </w:r>
      <w:r>
        <w:t xml:space="preserve">- Cards (Visa, Mastercard). Still dominant but declining</w:t>
      </w:r>
      <w:r>
        <w:t xml:space="preserve"> </w:t>
      </w:r>
      <w:r>
        <w:t xml:space="preserve">- Trustly. Instant bank transfers, Pay N Play capability</w:t>
      </w:r>
      <w:r>
        <w:t xml:space="preserve"> </w:t>
      </w:r>
      <w:r>
        <w:t xml:space="preserve">- Skrill/Neteller. Gambling-focused e-wallets</w:t>
      </w:r>
      <w:r>
        <w:t xml:space="preserve"> </w:t>
      </w:r>
      <w:r>
        <w:t xml:space="preserve">- Klarna. Growing in Nordics</w:t>
      </w:r>
    </w:p>
    <w:p>
      <w:pPr>
        <w:pStyle w:val="BodyText"/>
      </w:pPr>
      <w:r>
        <w:rPr>
          <w:b/>
          <w:bCs/>
        </w:rPr>
        <w:t xml:space="preserve">United Kingdom:</w:t>
      </w:r>
      <w:r>
        <w:t xml:space="preserve"> </w:t>
      </w:r>
      <w:r>
        <w:t xml:space="preserve">- Debit cards only (credit card gambling banned)</w:t>
      </w:r>
      <w:r>
        <w:t xml:space="preserve"> </w:t>
      </w:r>
      <w:r>
        <w:t xml:space="preserve">- PayPal. Strong brand trust</w:t>
      </w:r>
      <w:r>
        <w:t xml:space="preserve"> </w:t>
      </w:r>
      <w:r>
        <w:t xml:space="preserve">- Trustly. Instant withdrawals</w:t>
      </w:r>
      <w:r>
        <w:t xml:space="preserve"> </w:t>
      </w:r>
      <w:r>
        <w:t xml:space="preserve">- Apple Pay/Google Pay. Mobile convenience</w:t>
      </w:r>
    </w:p>
    <w:p>
      <w:pPr>
        <w:pStyle w:val="BodyText"/>
      </w:pPr>
      <w:r>
        <w:rPr>
          <w:b/>
          <w:bCs/>
        </w:rPr>
        <w:t xml:space="preserve">Latin America:</w:t>
      </w:r>
      <w:r>
        <w:t xml:space="preserve"> </w:t>
      </w:r>
      <w:r>
        <w:t xml:space="preserve">- PIX (Brazil). Instant bank transfers, essential for Brazil</w:t>
      </w:r>
      <w:r>
        <w:t xml:space="preserve"> </w:t>
      </w:r>
      <w:r>
        <w:t xml:space="preserve">- Boleto. Cash-based deposits</w:t>
      </w:r>
      <w:r>
        <w:t xml:space="preserve"> </w:t>
      </w:r>
      <w:r>
        <w:t xml:space="preserve">- Local cards (Elo, HiperCard)</w:t>
      </w:r>
      <w:r>
        <w:t xml:space="preserve"> </w:t>
      </w:r>
      <w:r>
        <w:t xml:space="preserve">- Mercado Pago. Regional e-wallet</w:t>
      </w:r>
    </w:p>
    <w:p>
      <w:pPr>
        <w:pStyle w:val="BodyText"/>
      </w:pPr>
      <w:r>
        <w:rPr>
          <w:b/>
          <w:bCs/>
        </w:rPr>
        <w:t xml:space="preserve">Global/Crypto-focused:</w:t>
      </w:r>
      <w:r>
        <w:t xml:space="preserve"> </w:t>
      </w:r>
      <w:r>
        <w:t xml:space="preserve">- Bitcoin, Ethereum, USDT. 17% of gambling bets now in crypto</w:t>
      </w:r>
      <w:r>
        <w:t xml:space="preserve"> </w:t>
      </w:r>
      <w:r>
        <w:t xml:space="preserve">- Litecoin, Bitcoin Cash. Lower fees than BTC</w:t>
      </w:r>
    </w:p>
    <w:bookmarkEnd w:id="23"/>
    <w:bookmarkStart w:id="25" w:name="the-reality-nobody-mentions"/>
    <w:p>
      <w:pPr>
        <w:pStyle w:val="Heading4"/>
      </w:pPr>
      <w:r>
        <w:t xml:space="preserve">The reality nobody mentions</w:t>
      </w:r>
    </w:p>
    <w:p>
      <w:pPr>
        <w:pStyle w:val="FirstParagraph"/>
      </w:pPr>
      <w:r>
        <w:t xml:space="preserve">More payment methods means more PSP integrations, more compliance work, and more operational complexity. Start with 8-10 core methods covering 90% of your target market, then add strategically. Every new method has integration and maintenance costs.</w:t>
      </w:r>
    </w:p>
    <w:p>
      <w:pPr>
        <w:pStyle w:val="BodyText"/>
      </w:pPr>
      <w:r>
        <w:t xml:space="preserve">Related:</w:t>
      </w:r>
      <w:r>
        <w:t xml:space="preserve"> </w:t>
      </w:r>
      <w:hyperlink r:id="rId24">
        <w:r>
          <w:rPr>
            <w:rStyle w:val="Hyperlink"/>
          </w:rPr>
          <w:t xml:space="preserve">Local Payment Solutions</w:t>
        </w:r>
      </w:hyperlink>
      <w:r>
        <w:t xml:space="preserve"> </w:t>
      </w:r>
      <w:r>
        <w:t xml:space="preserve">|</w:t>
      </w:r>
      <w:r>
        <w:t xml:space="preserve"> </w:t>
      </w:r>
      <w:hyperlink r:id="rId16">
        <w:r>
          <w:rPr>
            <w:rStyle w:val="Hyperlink"/>
          </w:rPr>
          <w:t xml:space="preserve">Cryptocurrency Payments</w:t>
        </w:r>
      </w:hyperlink>
    </w:p>
    <w:p>
      <w:r>
        <w:pict>
          <v:rect style="width:0;height:1.5pt" o:hralign="center" o:hrstd="t" o:hr="t"/>
        </w:pict>
      </w:r>
    </w:p>
    <w:bookmarkEnd w:id="25"/>
    <w:bookmarkStart w:id="29" w:name="how-do-i-reduce-payment-processing-fees"/>
    <w:p>
      <w:pPr>
        <w:pStyle w:val="Heading3"/>
      </w:pPr>
      <w:r>
        <w:t xml:space="preserve">How do I reduce payment processing fees?</w:t>
      </w:r>
    </w:p>
    <w:p>
      <w:pPr>
        <w:pStyle w:val="FirstParagraph"/>
      </w:pPr>
      <w:r>
        <w:t xml:space="preserve">The best operators negotiate rates 20-40% below published pricing through volume commitments, smart routing, and multi-PSP strategies. Single-provider dependency is the most expensive mistake.</w:t>
      </w:r>
    </w:p>
    <w:bookmarkStart w:id="26" w:name="fee-reduction-strategies"/>
    <w:p>
      <w:pPr>
        <w:pStyle w:val="Heading4"/>
      </w:pPr>
      <w:r>
        <w:t xml:space="preserve">Fee reduction strategies</w:t>
      </w:r>
    </w:p>
    <w:p>
      <w:pPr>
        <w:numPr>
          <w:ilvl w:val="0"/>
          <w:numId w:val="1007"/>
        </w:numPr>
      </w:pPr>
      <w:r>
        <w:rPr>
          <w:b/>
          <w:bCs/>
        </w:rPr>
        <w:t xml:space="preserve">Multi-PSP setup:</w:t>
      </w:r>
      <w:r>
        <w:t xml:space="preserve"> </w:t>
      </w:r>
      <w:r>
        <w:t xml:space="preserve">Route transactions to the provider with lowest fees for each payment type and region. A card transaction might cost 3% with PSP A but 2.5% with PSP B.</w:t>
      </w:r>
    </w:p>
    <w:p>
      <w:pPr>
        <w:numPr>
          <w:ilvl w:val="0"/>
          <w:numId w:val="1007"/>
        </w:numPr>
      </w:pPr>
      <w:r>
        <w:rPr>
          <w:b/>
          <w:bCs/>
        </w:rPr>
        <w:t xml:space="preserve">Volume commitments:</w:t>
      </w:r>
      <w:r>
        <w:t xml:space="preserve"> </w:t>
      </w:r>
      <w:r>
        <w:t xml:space="preserve">Commit to €500,000+ monthly volume for significant rate reductions. Providers will negotiate for guaranteed business.</w:t>
      </w:r>
    </w:p>
    <w:p>
      <w:pPr>
        <w:numPr>
          <w:ilvl w:val="0"/>
          <w:numId w:val="1007"/>
        </w:numPr>
      </w:pPr>
      <w:r>
        <w:rPr>
          <w:b/>
          <w:bCs/>
        </w:rPr>
        <w:t xml:space="preserve">Smart routing optimization:</w:t>
      </w:r>
      <w:r>
        <w:t xml:space="preserve"> </w:t>
      </w:r>
      <w:r>
        <w:t xml:space="preserve">Use payment orchestration to route transactions based on success rates, fees, and provider capacity. This alone can reduce costs 10-15%.</w:t>
      </w:r>
    </w:p>
    <w:p>
      <w:pPr>
        <w:numPr>
          <w:ilvl w:val="0"/>
          <w:numId w:val="1007"/>
        </w:numPr>
      </w:pPr>
      <w:r>
        <w:rPr>
          <w:b/>
          <w:bCs/>
        </w:rPr>
        <w:t xml:space="preserve">Cryptocurrency integration:</w:t>
      </w:r>
      <w:r>
        <w:t xml:space="preserve"> </w:t>
      </w:r>
      <w:r>
        <w:t xml:space="preserve">Crypto transactions cost 0.5-1% vs. 2.5-3.5% for cards. Operators report 70% cost reductions after implementing crypto for players who prefer it.</w:t>
      </w:r>
    </w:p>
    <w:p>
      <w:pPr>
        <w:numPr>
          <w:ilvl w:val="0"/>
          <w:numId w:val="1007"/>
        </w:numPr>
      </w:pPr>
      <w:r>
        <w:rPr>
          <w:b/>
          <w:bCs/>
        </w:rPr>
        <w:t xml:space="preserve">Reduce chargebacks:</w:t>
      </w:r>
      <w:r>
        <w:t xml:space="preserve"> </w:t>
      </w:r>
      <w:r>
        <w:t xml:space="preserve">Every 0.1% reduction in chargeback rate saves significantly in fees and keeps you below penalty thresholds.</w:t>
      </w:r>
    </w:p>
    <w:p>
      <w:pPr>
        <w:numPr>
          <w:ilvl w:val="0"/>
          <w:numId w:val="1007"/>
        </w:numPr>
      </w:pPr>
      <w:r>
        <w:rPr>
          <w:b/>
          <w:bCs/>
        </w:rPr>
        <w:t xml:space="preserve">Negotiate rolling reserves:</w:t>
      </w:r>
      <w:r>
        <w:t xml:space="preserve"> </w:t>
      </w:r>
      <w:r>
        <w:t xml:space="preserve">New operators accept 10% reserves; after 6-12 months of good performance, negotiate down to 5% or shorter hold periods.</w:t>
      </w:r>
    </w:p>
    <w:p>
      <w:pPr>
        <w:numPr>
          <w:ilvl w:val="0"/>
          <w:numId w:val="1007"/>
        </w:numPr>
      </w:pPr>
      <w:r>
        <w:rPr>
          <w:b/>
          <w:bCs/>
        </w:rPr>
        <w:t xml:space="preserve">Local acquiring:</w:t>
      </w:r>
      <w:r>
        <w:t xml:space="preserve"> </w:t>
      </w:r>
      <w:r>
        <w:t xml:space="preserve">Process European transactions through European acquirers, US through US acquirers. Cross-border fees add 0.5-1%.</w:t>
      </w:r>
    </w:p>
    <w:bookmarkEnd w:id="26"/>
    <w:bookmarkStart w:id="28" w:name="what-actually-moves-the-needle"/>
    <w:p>
      <w:pPr>
        <w:pStyle w:val="Heading4"/>
      </w:pPr>
      <w:r>
        <w:t xml:space="preserve">What actually moves the needle</w:t>
      </w:r>
    </w:p>
    <w:p>
      <w:pPr>
        <w:pStyle w:val="FirstParagraph"/>
      </w:pPr>
      <w:r>
        <w:t xml:space="preserve">Volume and track record. PSPs lose money onboarding small operators. Demonstrate you’re worth the investment and rates improve.</w:t>
      </w:r>
    </w:p>
    <w:p>
      <w:pPr>
        <w:pStyle w:val="BodyText"/>
      </w:pPr>
      <w:r>
        <w:t xml:space="preserve">Related:</w:t>
      </w:r>
      <w:r>
        <w:t xml:space="preserve"> </w:t>
      </w:r>
      <w:hyperlink r:id="rId27">
        <w:r>
          <w:rPr>
            <w:rStyle w:val="Hyperlink"/>
          </w:rPr>
          <w:t xml:space="preserve">Payment Consulting</w:t>
        </w:r>
      </w:hyperlink>
    </w:p>
    <w:p>
      <w:r>
        <w:pict>
          <v:rect style="width:0;height:1.5pt" o:hralign="center" o:hrstd="t" o:hr="t"/>
        </w:pict>
      </w:r>
    </w:p>
    <w:bookmarkEnd w:id="28"/>
    <w:bookmarkEnd w:id="29"/>
    <w:bookmarkEnd w:id="30"/>
    <w:bookmarkStart w:id="45" w:name="X5e32e56613bc0999fafa4f06378c4f1b4a5fe90"/>
    <w:p>
      <w:pPr>
        <w:pStyle w:val="Heading2"/>
      </w:pPr>
      <w:r>
        <w:t xml:space="preserve">What are the biggest challenges in iGaming payment processing?</w:t>
      </w:r>
    </w:p>
    <w:p>
      <w:pPr>
        <w:pStyle w:val="FirstParagraph"/>
      </w:pPr>
      <w:r>
        <w:t xml:space="preserve">The core challenges are high-risk classification (leading to limited provider options and higher fees), chargebacks and fraud (threatening merchant account stability), and regulatory complexity (with rules varying by jurisdiction and changing frequently).</w:t>
      </w:r>
    </w:p>
    <w:bookmarkStart w:id="33" w:name="genuine-challenges"/>
    <w:p>
      <w:pPr>
        <w:pStyle w:val="Heading4"/>
      </w:pPr>
      <w:r>
        <w:t xml:space="preserve">Genuine challenges</w:t>
      </w:r>
    </w:p>
    <w:p>
      <w:pPr>
        <w:pStyle w:val="FirstParagraph"/>
      </w:pPr>
      <w:r>
        <w:rPr>
          <w:b/>
          <w:bCs/>
        </w:rPr>
        <w:t xml:space="preserve">1. High-risk classification limits options</w:t>
      </w:r>
      <w:r>
        <w:t xml:space="preserve"> </w:t>
      </w:r>
      <w:r>
        <w:t xml:space="preserve">Traditional banks consider gambling</w:t>
      </w:r>
      <w:r>
        <w:t xml:space="preserve"> </w:t>
      </w:r>
      <w:r>
        <w:t xml:space="preserve">“high-risk,”</w:t>
      </w:r>
      <w:r>
        <w:t xml:space="preserve"> </w:t>
      </w:r>
      <w:r>
        <w:t xml:space="preserve">meaning declined merchant applications, longer settlement times, and more rigorous compliance checks. In 2025, payment fraud attempts increased 90% year-over-year, making banks even more cautious. Many payment processors simply refuse to serve gambling.</w:t>
      </w:r>
    </w:p>
    <w:p>
      <w:pPr>
        <w:pStyle w:val="BodyText"/>
      </w:pPr>
      <w:r>
        <w:rPr>
          <w:b/>
          <w:bCs/>
        </w:rPr>
        <w:t xml:space="preserve">2. Chargebacks threaten your ability to process payments</w:t>
      </w:r>
      <w:r>
        <w:t xml:space="preserve"> </w:t>
      </w:r>
      <w:r>
        <w:t xml:space="preserve">The gambling industry sees higher-than-average chargeback rates.</w:t>
      </w:r>
      <w:r>
        <w:t xml:space="preserve"> </w:t>
      </w:r>
      <w:r>
        <w:t xml:space="preserve">“Friendly fraud”</w:t>
      </w:r>
      <w:r>
        <w:t xml:space="preserve"> </w:t>
      </w:r>
      <w:r>
        <w:t xml:space="preserve">(where players lose bets then dispute legitimate charges) is epidemic. High chargeback ratios lead to account termination. Visa’s threshold is 0.9%; exceed it consistently and you lose card processing.</w:t>
      </w:r>
    </w:p>
    <w:p>
      <w:pPr>
        <w:pStyle w:val="BodyText"/>
      </w:pPr>
      <w:r>
        <w:rPr>
          <w:b/>
          <w:bCs/>
        </w:rPr>
        <w:t xml:space="preserve">3. Regulatory restrictions vary by market</w:t>
      </w:r>
      <w:r>
        <w:t xml:space="preserve"> </w:t>
      </w:r>
      <w:r>
        <w:t xml:space="preserve">Some countries ban credit card gambling (UK, Australia, Sweden from 2026). Germany has strict deposit limits requiring real-time enforcement. KYC requirements eliminate the 72-hour grace period in many markets. Full verification before first deposit.</w:t>
      </w:r>
    </w:p>
    <w:p>
      <w:pPr>
        <w:pStyle w:val="BodyText"/>
      </w:pPr>
      <w:r>
        <w:rPr>
          <w:b/>
          <w:bCs/>
        </w:rPr>
        <w:t xml:space="preserve">4. Decline rates frustrate players and lose revenue</w:t>
      </w:r>
      <w:r>
        <w:t xml:space="preserve"> </w:t>
      </w:r>
      <w:r>
        <w:t xml:space="preserve">Gambling transactions get flagged more frequently, leading to deposit rejections that frustrate players and reduce betting volume. Decline rates of 15-25% are common with poor PSP setups.</w:t>
      </w:r>
    </w:p>
    <w:p>
      <w:pPr>
        <w:pStyle w:val="BodyText"/>
      </w:pPr>
      <w:r>
        <w:rPr>
          <w:b/>
          <w:bCs/>
        </w:rPr>
        <w:t xml:space="preserve">5. Cross-border complexity multiplies costs</w:t>
      </w:r>
      <w:r>
        <w:t xml:space="preserve"> </w:t>
      </w:r>
      <w:r>
        <w:t xml:space="preserve">Processing payments across jurisdictions involves currency conversion, different regulatory requirements, and varying payment method preferences. Each market adds compliance and operational overhead.</w:t>
      </w:r>
    </w:p>
    <w:p>
      <w:pPr>
        <w:pStyle w:val="BodyText"/>
      </w:pPr>
      <w:r>
        <w:t xml:space="preserve">Despite these challenges, payment processing has matured significantly. Multi-PSP setups, smart routing, and cryptocurrency options give operators tools to manage most issues effectively.</w:t>
      </w:r>
    </w:p>
    <w:p>
      <w:pPr>
        <w:pStyle w:val="BodyText"/>
      </w:pPr>
      <w:r>
        <w:t xml:space="preserve">Related:</w:t>
      </w:r>
      <w:r>
        <w:t xml:space="preserve"> </w:t>
      </w:r>
      <w:hyperlink r:id="rId31">
        <w:r>
          <w:rPr>
            <w:rStyle w:val="Hyperlink"/>
          </w:rPr>
          <w:t xml:space="preserve">Fraud Prevention</w:t>
        </w:r>
      </w:hyperlink>
      <w:r>
        <w:t xml:space="preserve"> </w:t>
      </w:r>
      <w:r>
        <w:t xml:space="preserve">|</w:t>
      </w:r>
      <w:r>
        <w:t xml:space="preserve"> </w:t>
      </w:r>
      <w:hyperlink r:id="rId32">
        <w:r>
          <w:rPr>
            <w:rStyle w:val="Hyperlink"/>
          </w:rPr>
          <w:t xml:space="preserve">Compliance &amp; Regulatory Services</w:t>
        </w:r>
      </w:hyperlink>
    </w:p>
    <w:p>
      <w:r>
        <w:pict>
          <v:rect style="width:0;height:1.5pt" o:hralign="center" o:hrstd="t" o:hr="t"/>
        </w:pict>
      </w:r>
    </w:p>
    <w:bookmarkEnd w:id="33"/>
    <w:bookmarkStart w:id="38" w:name="Xa7c629eb418022b9a71228f262d4989316cacf5"/>
    <w:p>
      <w:pPr>
        <w:pStyle w:val="Heading3"/>
      </w:pPr>
      <w:r>
        <w:t xml:space="preserve">What are chargebacks and how do I prevent them?</w:t>
      </w:r>
    </w:p>
    <w:p>
      <w:pPr>
        <w:pStyle w:val="FirstParagraph"/>
      </w:pPr>
      <w:r>
        <w:t xml:space="preserve">Chargebacks occur when players dispute transactions with their bank rather than the casino, resulting in forced refunds plus fees of €15-€70 per dispute. Gambling sees 2-3x higher chargeback rates than standard e-commerce, with</w:t>
      </w:r>
      <w:r>
        <w:t xml:space="preserve"> </w:t>
      </w:r>
      <w:r>
        <w:t xml:space="preserve">“friendly fraud”</w:t>
      </w:r>
      <w:r>
        <w:t xml:space="preserve"> </w:t>
      </w:r>
      <w:r>
        <w:t xml:space="preserve">(legitimate transactions disputed dishonestly) being the primary cause.</w:t>
      </w:r>
    </w:p>
    <w:bookmarkStart w:id="34" w:name="common-chargeback-scenarios"/>
    <w:p>
      <w:pPr>
        <w:pStyle w:val="Heading4"/>
      </w:pPr>
      <w:r>
        <w:t xml:space="preserve">Common chargeback scenarios</w:t>
      </w:r>
    </w:p>
    <w:p>
      <w:pPr>
        <w:pStyle w:val="Compact"/>
        <w:numPr>
          <w:ilvl w:val="0"/>
          <w:numId w:val="1008"/>
        </w:numPr>
      </w:pPr>
      <w:r>
        <w:rPr>
          <w:b/>
          <w:bCs/>
        </w:rPr>
        <w:t xml:space="preserve">Friendly fraud:</w:t>
      </w:r>
      <w:r>
        <w:t xml:space="preserve"> </w:t>
      </w:r>
      <w:r>
        <w:t xml:space="preserve">Player loses money, regrets it, claims they didn’t authorize the charge</w:t>
      </w:r>
    </w:p>
    <w:p>
      <w:pPr>
        <w:pStyle w:val="Compact"/>
        <w:numPr>
          <w:ilvl w:val="0"/>
          <w:numId w:val="1008"/>
        </w:numPr>
      </w:pPr>
      <w:r>
        <w:rPr>
          <w:b/>
          <w:bCs/>
        </w:rPr>
        <w:t xml:space="preserve">Unrecognized descriptor:</w:t>
      </w:r>
      <w:r>
        <w:t xml:space="preserve"> </w:t>
      </w:r>
      <w:r>
        <w:t xml:space="preserve">Player doesn’t recognize the charge name on their statement</w:t>
      </w:r>
    </w:p>
    <w:p>
      <w:pPr>
        <w:pStyle w:val="Compact"/>
        <w:numPr>
          <w:ilvl w:val="0"/>
          <w:numId w:val="1008"/>
        </w:numPr>
      </w:pPr>
      <w:r>
        <w:rPr>
          <w:b/>
          <w:bCs/>
        </w:rPr>
        <w:t xml:space="preserve">Family fraud:</w:t>
      </w:r>
      <w:r>
        <w:t xml:space="preserve"> </w:t>
      </w:r>
      <w:r>
        <w:t xml:space="preserve">Player’s family member disputes charges made without knowledge</w:t>
      </w:r>
    </w:p>
    <w:p>
      <w:pPr>
        <w:pStyle w:val="Compact"/>
        <w:numPr>
          <w:ilvl w:val="0"/>
          <w:numId w:val="1008"/>
        </w:numPr>
      </w:pPr>
      <w:r>
        <w:rPr>
          <w:b/>
          <w:bCs/>
        </w:rPr>
        <w:t xml:space="preserve">Genuine fraud:</w:t>
      </w:r>
      <w:r>
        <w:t xml:space="preserve"> </w:t>
      </w:r>
      <w:r>
        <w:t xml:space="preserve">Stolen card used for deposits</w:t>
      </w:r>
    </w:p>
    <w:p>
      <w:pPr>
        <w:pStyle w:val="Compact"/>
        <w:numPr>
          <w:ilvl w:val="0"/>
          <w:numId w:val="1008"/>
        </w:numPr>
      </w:pPr>
      <w:r>
        <w:rPr>
          <w:b/>
          <w:bCs/>
        </w:rPr>
        <w:t xml:space="preserve">Bonus disputes:</w:t>
      </w:r>
      <w:r>
        <w:t xml:space="preserve"> </w:t>
      </w:r>
      <w:r>
        <w:t xml:space="preserve">Player claims bonus terms weren’t clear</w:t>
      </w:r>
    </w:p>
    <w:bookmarkEnd w:id="34"/>
    <w:bookmarkStart w:id="35" w:name="prevention-strategies"/>
    <w:p>
      <w:pPr>
        <w:pStyle w:val="Heading4"/>
      </w:pPr>
      <w:r>
        <w:t xml:space="preserve">Prevention strategies</w:t>
      </w:r>
    </w:p>
    <w:p>
      <w:pPr>
        <w:pStyle w:val="Compact"/>
        <w:numPr>
          <w:ilvl w:val="0"/>
          <w:numId w:val="1009"/>
        </w:numPr>
      </w:pPr>
      <w:r>
        <w:rPr>
          <w:b/>
          <w:bCs/>
        </w:rPr>
        <w:t xml:space="preserve">Clear billing descriptors:</w:t>
      </w:r>
      <w:r>
        <w:t xml:space="preserve"> </w:t>
      </w:r>
      <w:r>
        <w:t xml:space="preserve">Use recognizable names players will associate with your casino</w:t>
      </w:r>
    </w:p>
    <w:p>
      <w:pPr>
        <w:pStyle w:val="Compact"/>
        <w:numPr>
          <w:ilvl w:val="0"/>
          <w:numId w:val="1009"/>
        </w:numPr>
      </w:pPr>
      <w:r>
        <w:rPr>
          <w:b/>
          <w:bCs/>
        </w:rPr>
        <w:t xml:space="preserve">Strong KYC verification:</w:t>
      </w:r>
      <w:r>
        <w:t xml:space="preserve"> </w:t>
      </w:r>
      <w:r>
        <w:t xml:space="preserve">Verify identity before allowing deposits to reduce stolen card fraud</w:t>
      </w:r>
    </w:p>
    <w:p>
      <w:pPr>
        <w:pStyle w:val="Compact"/>
        <w:numPr>
          <w:ilvl w:val="0"/>
          <w:numId w:val="1009"/>
        </w:numPr>
      </w:pPr>
      <w:r>
        <w:rPr>
          <w:b/>
          <w:bCs/>
        </w:rPr>
        <w:t xml:space="preserve">Document everything:</w:t>
      </w:r>
      <w:r>
        <w:t xml:space="preserve"> </w:t>
      </w:r>
      <w:r>
        <w:t xml:space="preserve">Keep detailed records of player activity, terms acceptance, and communications</w:t>
      </w:r>
    </w:p>
    <w:p>
      <w:pPr>
        <w:pStyle w:val="Compact"/>
        <w:numPr>
          <w:ilvl w:val="0"/>
          <w:numId w:val="1009"/>
        </w:numPr>
      </w:pPr>
      <w:r>
        <w:rPr>
          <w:b/>
          <w:bCs/>
        </w:rPr>
        <w:t xml:space="preserve">Responsive support:</w:t>
      </w:r>
      <w:r>
        <w:t xml:space="preserve"> </w:t>
      </w:r>
      <w:r>
        <w:t xml:space="preserve">Resolve complaints quickly before players escalate to banks</w:t>
      </w:r>
    </w:p>
    <w:p>
      <w:pPr>
        <w:pStyle w:val="Compact"/>
        <w:numPr>
          <w:ilvl w:val="0"/>
          <w:numId w:val="1009"/>
        </w:numPr>
      </w:pPr>
      <w:r>
        <w:rPr>
          <w:b/>
          <w:bCs/>
        </w:rPr>
        <w:t xml:space="preserve">Velocity checks:</w:t>
      </w:r>
      <w:r>
        <w:t xml:space="preserve"> </w:t>
      </w:r>
      <w:r>
        <w:t xml:space="preserve">Flag unusual deposit patterns that might indicate fraud</w:t>
      </w:r>
    </w:p>
    <w:p>
      <w:pPr>
        <w:pStyle w:val="Compact"/>
        <w:numPr>
          <w:ilvl w:val="0"/>
          <w:numId w:val="1009"/>
        </w:numPr>
      </w:pPr>
      <w:r>
        <w:rPr>
          <w:b/>
          <w:bCs/>
        </w:rPr>
        <w:t xml:space="preserve">3D Secure authentication:</w:t>
      </w:r>
      <w:r>
        <w:t xml:space="preserve"> </w:t>
      </w:r>
      <w:r>
        <w:t xml:space="preserve">Shift liability to card issuers for authenticated transactions</w:t>
      </w:r>
    </w:p>
    <w:bookmarkEnd w:id="35"/>
    <w:bookmarkStart w:id="36" w:name="chargeback-ratio-management"/>
    <w:p>
      <w:pPr>
        <w:pStyle w:val="Heading4"/>
      </w:pPr>
      <w:r>
        <w:t xml:space="preserve">Chargeback ratio management</w:t>
      </w:r>
    </w:p>
    <w:p>
      <w:pPr>
        <w:pStyle w:val="Compact"/>
        <w:numPr>
          <w:ilvl w:val="0"/>
          <w:numId w:val="1010"/>
        </w:numPr>
      </w:pPr>
      <w:r>
        <w:t xml:space="preserve">Visa threshold: 0.9% and 100 monthly chargebacks</w:t>
      </w:r>
    </w:p>
    <w:p>
      <w:pPr>
        <w:pStyle w:val="Compact"/>
        <w:numPr>
          <w:ilvl w:val="0"/>
          <w:numId w:val="1010"/>
        </w:numPr>
      </w:pPr>
      <w:r>
        <w:t xml:space="preserve">Mastercard threshold: 1.0% and 100 monthly chargebacks</w:t>
      </w:r>
    </w:p>
    <w:p>
      <w:pPr>
        <w:pStyle w:val="Compact"/>
        <w:numPr>
          <w:ilvl w:val="0"/>
          <w:numId w:val="1010"/>
        </w:numPr>
      </w:pPr>
      <w:r>
        <w:t xml:space="preserve">Exceeding thresholds triggers monitoring programs, fines, and potential account termination</w:t>
      </w:r>
    </w:p>
    <w:bookmarkEnd w:id="36"/>
    <w:bookmarkStart w:id="37" w:name="the-harsh-reality"/>
    <w:p>
      <w:pPr>
        <w:pStyle w:val="Heading4"/>
      </w:pPr>
      <w:r>
        <w:t xml:space="preserve">The harsh reality</w:t>
      </w:r>
    </w:p>
    <w:p>
      <w:pPr>
        <w:pStyle w:val="FirstParagraph"/>
      </w:pPr>
      <w:r>
        <w:t xml:space="preserve">Some chargebacks are unwinnable despite strong evidence. Budget for 0.5-1% chargeback rate even with excellent prevention. Focus on keeping total ratio below penalty thresholds.</w:t>
      </w:r>
    </w:p>
    <w:p>
      <w:pPr>
        <w:pStyle w:val="BodyText"/>
      </w:pPr>
      <w:r>
        <w:t xml:space="preserve">Related:</w:t>
      </w:r>
      <w:r>
        <w:t xml:space="preserve"> </w:t>
      </w:r>
      <w:hyperlink r:id="rId31">
        <w:r>
          <w:rPr>
            <w:rStyle w:val="Hyperlink"/>
          </w:rPr>
          <w:t xml:space="preserve">Fraud Prevention</w:t>
        </w:r>
      </w:hyperlink>
    </w:p>
    <w:p>
      <w:r>
        <w:pict>
          <v:rect style="width:0;height:1.5pt" o:hralign="center" o:hrstd="t" o:hr="t"/>
        </w:pict>
      </w:r>
    </w:p>
    <w:bookmarkEnd w:id="37"/>
    <w:bookmarkEnd w:id="38"/>
    <w:bookmarkStart w:id="44" w:name="Xaf9a9f1fe3c45d542322daeca5a0b713787a338"/>
    <w:p>
      <w:pPr>
        <w:pStyle w:val="Heading3"/>
      </w:pPr>
      <w:r>
        <w:t xml:space="preserve">How long should deposits and withdrawals take?</w:t>
      </w:r>
    </w:p>
    <w:p>
      <w:pPr>
        <w:pStyle w:val="FirstParagraph"/>
      </w:pPr>
      <w:r>
        <w:t xml:space="preserve">Player expectations have shifted dramatically: instant deposits are now baseline, and withdrawals under 24 hours are increasingly standard. Operators offering 3-5 day withdrawals are losing players to faster competitors.</w:t>
      </w:r>
    </w:p>
    <w:bookmarkStart w:id="39" w:name="current-speed-benchmarks"/>
    <w:p>
      <w:pPr>
        <w:pStyle w:val="Heading4"/>
      </w:pPr>
      <w:r>
        <w:t xml:space="preserve">Current speed benchmarks</w:t>
      </w:r>
    </w:p>
    <w:p>
      <w:pPr>
        <w:pStyle w:val="FirstParagraph"/>
      </w:pPr>
      <w:r>
        <w:rPr>
          <w:b/>
          <w:bCs/>
        </w:rPr>
        <w:t xml:space="preserve">Deposits:</w:t>
      </w:r>
      <w:r>
        <w:t xml:space="preserve"> </w:t>
      </w:r>
      <w:r>
        <w:t xml:space="preserve">- E-wallets: Instant (seconds)</w:t>
      </w:r>
      <w:r>
        <w:t xml:space="preserve"> </w:t>
      </w:r>
      <w:r>
        <w:t xml:space="preserve">- Bank transfers (Trustly, PIX): Instant to 2 hours</w:t>
      </w:r>
      <w:r>
        <w:t xml:space="preserve"> </w:t>
      </w:r>
      <w:r>
        <w:t xml:space="preserve">- Cards: Instant to 30 minutes</w:t>
      </w:r>
      <w:r>
        <w:t xml:space="preserve"> </w:t>
      </w:r>
      <w:r>
        <w:t xml:space="preserve">- Cryptocurrency: 1-30 minutes (depending on network)</w:t>
      </w:r>
    </w:p>
    <w:p>
      <w:pPr>
        <w:pStyle w:val="BodyText"/>
      </w:pPr>
      <w:r>
        <w:rPr>
          <w:b/>
          <w:bCs/>
        </w:rPr>
        <w:t xml:space="preserve">Withdrawals:</w:t>
      </w:r>
      <w:r>
        <w:t xml:space="preserve"> </w:t>
      </w:r>
      <w:r>
        <w:t xml:space="preserve">- E-wallets: 0-24 hours (often instant)</w:t>
      </w:r>
      <w:r>
        <w:t xml:space="preserve"> </w:t>
      </w:r>
      <w:r>
        <w:t xml:space="preserve">- Bank transfers: 1-3 business days</w:t>
      </w:r>
      <w:r>
        <w:t xml:space="preserve"> </w:t>
      </w:r>
      <w:r>
        <w:t xml:space="preserve">- Cards: 2-5 business days (bank processing time)</w:t>
      </w:r>
      <w:r>
        <w:t xml:space="preserve"> </w:t>
      </w:r>
      <w:r>
        <w:t xml:space="preserve">- Cryptocurrency: 0-2 hours (often instant after internal approval)</w:t>
      </w:r>
    </w:p>
    <w:bookmarkEnd w:id="39"/>
    <w:bookmarkStart w:id="40" w:name="what-actually-causes-withdrawal-delays"/>
    <w:p>
      <w:pPr>
        <w:pStyle w:val="Heading4"/>
      </w:pPr>
      <w:r>
        <w:t xml:space="preserve">What actually causes withdrawal delays</w:t>
      </w:r>
    </w:p>
    <w:p>
      <w:pPr>
        <w:pStyle w:val="Compact"/>
        <w:numPr>
          <w:ilvl w:val="0"/>
          <w:numId w:val="1011"/>
        </w:numPr>
      </w:pPr>
      <w:r>
        <w:rPr>
          <w:b/>
          <w:bCs/>
        </w:rPr>
        <w:t xml:space="preserve">Manual review queues:</w:t>
      </w:r>
      <w:r>
        <w:t xml:space="preserve"> </w:t>
      </w:r>
      <w:r>
        <w:t xml:space="preserve">Risk teams reviewing large or flagged withdrawals</w:t>
      </w:r>
    </w:p>
    <w:p>
      <w:pPr>
        <w:pStyle w:val="Compact"/>
        <w:numPr>
          <w:ilvl w:val="0"/>
          <w:numId w:val="1011"/>
        </w:numPr>
      </w:pPr>
      <w:r>
        <w:rPr>
          <w:b/>
          <w:bCs/>
        </w:rPr>
        <w:t xml:space="preserve">KYC verification backlogs:</w:t>
      </w:r>
      <w:r>
        <w:t xml:space="preserve"> </w:t>
      </w:r>
      <w:r>
        <w:t xml:space="preserve">Document review for first withdrawals</w:t>
      </w:r>
    </w:p>
    <w:p>
      <w:pPr>
        <w:pStyle w:val="Compact"/>
        <w:numPr>
          <w:ilvl w:val="0"/>
          <w:numId w:val="1011"/>
        </w:numPr>
      </w:pPr>
      <w:r>
        <w:rPr>
          <w:b/>
          <w:bCs/>
        </w:rPr>
        <w:t xml:space="preserve">Bonus wagering verification:</w:t>
      </w:r>
      <w:r>
        <w:t xml:space="preserve"> </w:t>
      </w:r>
      <w:r>
        <w:t xml:space="preserve">Checking if wagering requirements are met</w:t>
      </w:r>
    </w:p>
    <w:p>
      <w:pPr>
        <w:pStyle w:val="Compact"/>
        <w:numPr>
          <w:ilvl w:val="0"/>
          <w:numId w:val="1011"/>
        </w:numPr>
      </w:pPr>
      <w:r>
        <w:rPr>
          <w:b/>
          <w:bCs/>
        </w:rPr>
        <w:t xml:space="preserve">Bank processing:</w:t>
      </w:r>
      <w:r>
        <w:t xml:space="preserve"> </w:t>
      </w:r>
      <w:r>
        <w:t xml:space="preserve">Out of your control once funds are sent</w:t>
      </w:r>
    </w:p>
    <w:p>
      <w:pPr>
        <w:pStyle w:val="Compact"/>
        <w:numPr>
          <w:ilvl w:val="0"/>
          <w:numId w:val="1011"/>
        </w:numPr>
      </w:pPr>
      <w:r>
        <w:rPr>
          <w:b/>
          <w:bCs/>
        </w:rPr>
        <w:t xml:space="preserve">Intentional delays:</w:t>
      </w:r>
      <w:r>
        <w:t xml:space="preserve"> </w:t>
      </w:r>
      <w:r>
        <w:t xml:space="preserve">Some operators deliberately slow withdrawals (don’t do this)</w:t>
      </w:r>
    </w:p>
    <w:bookmarkEnd w:id="40"/>
    <w:bookmarkStart w:id="41" w:name="speed-optimization"/>
    <w:p>
      <w:pPr>
        <w:pStyle w:val="Heading4"/>
      </w:pPr>
      <w:r>
        <w:t xml:space="preserve">Speed optimization</w:t>
      </w:r>
    </w:p>
    <w:p>
      <w:pPr>
        <w:pStyle w:val="Compact"/>
        <w:numPr>
          <w:ilvl w:val="0"/>
          <w:numId w:val="1012"/>
        </w:numPr>
      </w:pPr>
      <w:r>
        <w:t xml:space="preserve">Automate KYC verification using e-verification services</w:t>
      </w:r>
    </w:p>
    <w:p>
      <w:pPr>
        <w:pStyle w:val="Compact"/>
        <w:numPr>
          <w:ilvl w:val="0"/>
          <w:numId w:val="1012"/>
        </w:numPr>
      </w:pPr>
      <w:r>
        <w:t xml:space="preserve">Set clear withdrawal thresholds for auto-approval vs. manual review</w:t>
      </w:r>
    </w:p>
    <w:p>
      <w:pPr>
        <w:pStyle w:val="Compact"/>
        <w:numPr>
          <w:ilvl w:val="0"/>
          <w:numId w:val="1012"/>
        </w:numPr>
      </w:pPr>
      <w:r>
        <w:t xml:space="preserve">Process withdrawals continuously, not in daily batches</w:t>
      </w:r>
    </w:p>
    <w:p>
      <w:pPr>
        <w:pStyle w:val="Compact"/>
        <w:numPr>
          <w:ilvl w:val="0"/>
          <w:numId w:val="1012"/>
        </w:numPr>
      </w:pPr>
      <w:r>
        <w:t xml:space="preserve">Offer faster methods prominently (e-wallets, crypto)</w:t>
      </w:r>
    </w:p>
    <w:p>
      <w:pPr>
        <w:pStyle w:val="Compact"/>
        <w:numPr>
          <w:ilvl w:val="0"/>
          <w:numId w:val="1012"/>
        </w:numPr>
      </w:pPr>
      <w:r>
        <w:t xml:space="preserve">Communicate expected times clearly. Surprises cause complaints</w:t>
      </w:r>
    </w:p>
    <w:bookmarkEnd w:id="41"/>
    <w:bookmarkStart w:id="43" w:name="the-competitive-reality"/>
    <w:p>
      <w:pPr>
        <w:pStyle w:val="Heading4"/>
      </w:pPr>
      <w:r>
        <w:t xml:space="preserve">The competitive reality</w:t>
      </w:r>
    </w:p>
    <w:p>
      <w:pPr>
        <w:pStyle w:val="FirstParagraph"/>
      </w:pPr>
      <w:r>
        <w:t xml:space="preserve">“Instant withdrawals”</w:t>
      </w:r>
      <w:r>
        <w:t xml:space="preserve"> </w:t>
      </w:r>
      <w:r>
        <w:t xml:space="preserve">has become a marketing differentiator. Some providers now offer real-time payouts 24/7/365. If your withdrawals take 3+ days while competitors are instant, you’re at a significant disadvantage.</w:t>
      </w:r>
    </w:p>
    <w:p>
      <w:pPr>
        <w:pStyle w:val="BodyText"/>
      </w:pPr>
      <w:r>
        <w:t xml:space="preserve">Related:</w:t>
      </w:r>
      <w:r>
        <w:t xml:space="preserve"> </w:t>
      </w:r>
      <w:hyperlink r:id="rId42">
        <w:r>
          <w:rPr>
            <w:rStyle w:val="Hyperlink"/>
          </w:rPr>
          <w:t xml:space="preserve">KYC Services</w:t>
        </w:r>
      </w:hyperlink>
    </w:p>
    <w:p>
      <w:r>
        <w:pict>
          <v:rect style="width:0;height:1.5pt" o:hralign="center" o:hrstd="t" o:hr="t"/>
        </w:pict>
      </w:r>
    </w:p>
    <w:bookmarkEnd w:id="43"/>
    <w:bookmarkEnd w:id="44"/>
    <w:bookmarkEnd w:id="45"/>
    <w:bookmarkStart w:id="65" w:name="X36d1ce04aa17afae211791d4f359ee97980a8c6"/>
    <w:p>
      <w:pPr>
        <w:pStyle w:val="Heading2"/>
      </w:pPr>
      <w:r>
        <w:t xml:space="preserve">Who are the top iGaming payment providers?</w:t>
      </w:r>
    </w:p>
    <w:p>
      <w:pPr>
        <w:pStyle w:val="FirstParagraph"/>
      </w:pPr>
      <w:r>
        <w:t xml:space="preserve">The leading payment providers for iGaming include Trustly, Nuvei, Skrill/Neteller (Paysafe), Worldpay, and specialized gambling processors like Corefy and Praxis, but</w:t>
      </w:r>
      <w:r>
        <w:t xml:space="preserve"> </w:t>
      </w:r>
      <w:r>
        <w:t xml:space="preserve">“best”</w:t>
      </w:r>
      <w:r>
        <w:t xml:space="preserve"> </w:t>
      </w:r>
      <w:r>
        <w:t xml:space="preserve">depends entirely on your target markets, volume, and payment method requirements.</w:t>
      </w:r>
    </w:p>
    <w:bookmarkStart w:id="46" w:name="provider-overview"/>
    <w:p>
      <w:pPr>
        <w:pStyle w:val="Heading4"/>
      </w:pPr>
      <w:r>
        <w:t xml:space="preserve">Provider overview</w:t>
      </w:r>
    </w:p>
    <w:p>
      <w:pPr>
        <w:numPr>
          <w:ilvl w:val="0"/>
          <w:numId w:val="1013"/>
        </w:numPr>
      </w:pPr>
      <w:r>
        <w:rPr>
          <w:b/>
          <w:bCs/>
        </w:rPr>
        <w:t xml:space="preserve">Trustly:</w:t>
      </w:r>
      <w:r>
        <w:t xml:space="preserve"> </w:t>
      </w:r>
      <w:r>
        <w:t xml:space="preserve">Best for European bank transfers. Strengths: Instant bank payments, Pay N Play for frictionless registration, strong gambling focus, ~1.5% fees. Limitations: Europe-focused, limited outside EU. Best for: European operators prioritizing bank transfers.</w:t>
      </w:r>
    </w:p>
    <w:p>
      <w:pPr>
        <w:numPr>
          <w:ilvl w:val="0"/>
          <w:numId w:val="1013"/>
        </w:numPr>
      </w:pPr>
      <w:r>
        <w:rPr>
          <w:b/>
          <w:bCs/>
        </w:rPr>
        <w:t xml:space="preserve">Nuvei:</w:t>
      </w:r>
      <w:r>
        <w:t xml:space="preserve"> </w:t>
      </w:r>
      <w:r>
        <w:t xml:space="preserve">Best for global coverage and high-risk expertise. Strengths: Multi-currency, gaming-focused, fast settlement, strong card processing. Limitations: Premium pricing for smaller operators. Best for: Operators needing global reach with single integration.</w:t>
      </w:r>
    </w:p>
    <w:p>
      <w:pPr>
        <w:numPr>
          <w:ilvl w:val="0"/>
          <w:numId w:val="1013"/>
        </w:numPr>
      </w:pPr>
      <w:r>
        <w:rPr>
          <w:b/>
          <w:bCs/>
        </w:rPr>
        <w:t xml:space="preserve">Paysafe (Skrill/Neteller):</w:t>
      </w:r>
      <w:r>
        <w:t xml:space="preserve"> </w:t>
      </w:r>
      <w:r>
        <w:t xml:space="preserve">Best for gambling-native e-wallets. Strengths: Established gambling reputation, player familiarity, VIP programs. Limitations: Fees can be high, regulatory scrutiny in some markets. Best for: Operators wanting recognized gambling payment brands.</w:t>
      </w:r>
    </w:p>
    <w:p>
      <w:pPr>
        <w:numPr>
          <w:ilvl w:val="0"/>
          <w:numId w:val="1013"/>
        </w:numPr>
      </w:pPr>
      <w:r>
        <w:rPr>
          <w:b/>
          <w:bCs/>
        </w:rPr>
        <w:t xml:space="preserve">Corefy:</w:t>
      </w:r>
      <w:r>
        <w:t xml:space="preserve"> </w:t>
      </w:r>
      <w:r>
        <w:t xml:space="preserve">Best for payment orchestration. Strengths: Multi-PSP routing, smart routing optimization, unified dashboard. Limitations: Orchestration layer. Still need underlying PSPs. Best for: Operators wanting to optimize existing PSP relationships.</w:t>
      </w:r>
    </w:p>
    <w:p>
      <w:pPr>
        <w:numPr>
          <w:ilvl w:val="0"/>
          <w:numId w:val="1013"/>
        </w:numPr>
      </w:pPr>
      <w:r>
        <w:rPr>
          <w:b/>
          <w:bCs/>
        </w:rPr>
        <w:t xml:space="preserve">Praxis:</w:t>
      </w:r>
      <w:r>
        <w:t xml:space="preserve"> </w:t>
      </w:r>
      <w:r>
        <w:t xml:space="preserve">Best for emerging markets. Strengths: Strong LatAm coverage, local payment methods, gambling specialization. Limitations: Less established in Tier-1 markets. Best for: Operators targeting Latin America and emerging markets.</w:t>
      </w:r>
    </w:p>
    <w:bookmarkEnd w:id="46"/>
    <w:bookmarkStart w:id="47" w:name="what-comparisons-dont-show"/>
    <w:p>
      <w:pPr>
        <w:pStyle w:val="Heading4"/>
      </w:pPr>
      <w:r>
        <w:t xml:space="preserve">What comparisons don’t show</w:t>
      </w:r>
    </w:p>
    <w:p>
      <w:pPr>
        <w:pStyle w:val="FirstParagraph"/>
      </w:pPr>
      <w:r>
        <w:t xml:space="preserve">Settlement times, rolling reserve requirements, and actual approval rates vary significantly even within the same provider based on your specific risk profile.</w:t>
      </w:r>
    </w:p>
    <w:bookmarkEnd w:id="47"/>
    <w:bookmarkStart w:id="49" w:name="how-to-actually-choose"/>
    <w:p>
      <w:pPr>
        <w:pStyle w:val="Heading4"/>
      </w:pPr>
      <w:r>
        <w:t xml:space="preserve">How to actually choose</w:t>
      </w:r>
    </w:p>
    <w:p>
      <w:pPr>
        <w:pStyle w:val="Compact"/>
        <w:numPr>
          <w:ilvl w:val="0"/>
          <w:numId w:val="1014"/>
        </w:numPr>
      </w:pPr>
      <w:r>
        <w:t xml:space="preserve">Define your primary markets—this determines required payment methods</w:t>
      </w:r>
    </w:p>
    <w:p>
      <w:pPr>
        <w:pStyle w:val="Compact"/>
        <w:numPr>
          <w:ilvl w:val="0"/>
          <w:numId w:val="1014"/>
        </w:numPr>
      </w:pPr>
      <w:r>
        <w:t xml:space="preserve">Request actual rates based on your projected volume and player profile</w:t>
      </w:r>
    </w:p>
    <w:p>
      <w:pPr>
        <w:pStyle w:val="Compact"/>
        <w:numPr>
          <w:ilvl w:val="0"/>
          <w:numId w:val="1014"/>
        </w:numPr>
      </w:pPr>
      <w:r>
        <w:t xml:space="preserve">Ask about rolling reserve requirements and terms</w:t>
      </w:r>
    </w:p>
    <w:p>
      <w:pPr>
        <w:pStyle w:val="Compact"/>
        <w:numPr>
          <w:ilvl w:val="0"/>
          <w:numId w:val="1014"/>
        </w:numPr>
      </w:pPr>
      <w:r>
        <w:t xml:space="preserve">Test integration complexity in sandbox before committing</w:t>
      </w:r>
    </w:p>
    <w:p>
      <w:pPr>
        <w:pStyle w:val="Compact"/>
        <w:numPr>
          <w:ilvl w:val="0"/>
          <w:numId w:val="1014"/>
        </w:numPr>
      </w:pPr>
      <w:r>
        <w:t xml:space="preserve">Check references specifically from gambling operators of similar size</w:t>
      </w:r>
    </w:p>
    <w:p>
      <w:pPr>
        <w:pStyle w:val="FirstParagraph"/>
      </w:pPr>
      <w:r>
        <w:t xml:space="preserve">Related:</w:t>
      </w:r>
      <w:r>
        <w:t xml:space="preserve"> </w:t>
      </w:r>
      <w:hyperlink r:id="rId11">
        <w:r>
          <w:rPr>
            <w:rStyle w:val="Hyperlink"/>
          </w:rPr>
          <w:t xml:space="preserve">Payment Gateways</w:t>
        </w:r>
      </w:hyperlink>
      <w:r>
        <w:t xml:space="preserve"> </w:t>
      </w:r>
      <w:r>
        <w:t xml:space="preserve">|</w:t>
      </w:r>
      <w:r>
        <w:t xml:space="preserve"> </w:t>
      </w:r>
      <w:hyperlink r:id="rId48">
        <w:r>
          <w:rPr>
            <w:rStyle w:val="Hyperlink"/>
          </w:rPr>
          <w:t xml:space="preserve">Payment Services</w:t>
        </w:r>
      </w:hyperlink>
    </w:p>
    <w:p>
      <w:r>
        <w:pict>
          <v:rect style="width:0;height:1.5pt" o:hralign="center" o:hrstd="t" o:hr="t"/>
        </w:pict>
      </w:r>
    </w:p>
    <w:bookmarkEnd w:id="49"/>
    <w:bookmarkStart w:id="55" w:name="X0bef4117fb1b94b8637c43851b3900e8be237d8"/>
    <w:p>
      <w:pPr>
        <w:pStyle w:val="Heading3"/>
      </w:pPr>
      <w:r>
        <w:t xml:space="preserve">What about cryptocurrency payments for casinos?</w:t>
      </w:r>
    </w:p>
    <w:p>
      <w:pPr>
        <w:pStyle w:val="FirstParagraph"/>
      </w:pPr>
      <w:r>
        <w:t xml:space="preserve">Cryptocurrency has become mainstream in iGaming. 17% of all gambling bets in 2024 were made in crypto, and 58% of industry respondents named crypto the key driver of future growth. If you’re not offering crypto, you’re likely leaving money on the table.</w:t>
      </w:r>
    </w:p>
    <w:bookmarkStart w:id="50" w:name="crypto-specific-advantages"/>
    <w:p>
      <w:pPr>
        <w:pStyle w:val="Heading4"/>
      </w:pPr>
      <w:r>
        <w:t xml:space="preserve">Crypto-specific advantages</w:t>
      </w:r>
    </w:p>
    <w:p>
      <w:pPr>
        <w:pStyle w:val="Compact"/>
        <w:numPr>
          <w:ilvl w:val="0"/>
          <w:numId w:val="1015"/>
        </w:numPr>
      </w:pPr>
      <w:r>
        <w:rPr>
          <w:b/>
          <w:bCs/>
        </w:rPr>
        <w:t xml:space="preserve">Lower fees:</w:t>
      </w:r>
      <w:r>
        <w:t xml:space="preserve"> </w:t>
      </w:r>
      <w:r>
        <w:t xml:space="preserve">0.5-1% vs. 2.5-3.5% for cards. Operators report 70% cost reductions</w:t>
      </w:r>
    </w:p>
    <w:p>
      <w:pPr>
        <w:pStyle w:val="Compact"/>
        <w:numPr>
          <w:ilvl w:val="0"/>
          <w:numId w:val="1015"/>
        </w:numPr>
      </w:pPr>
      <w:r>
        <w:rPr>
          <w:b/>
          <w:bCs/>
        </w:rPr>
        <w:t xml:space="preserve">No chargebacks:</w:t>
      </w:r>
      <w:r>
        <w:t xml:space="preserve"> </w:t>
      </w:r>
      <w:r>
        <w:t xml:space="preserve">Blockchain transactions are irreversible</w:t>
      </w:r>
    </w:p>
    <w:p>
      <w:pPr>
        <w:pStyle w:val="Compact"/>
        <w:numPr>
          <w:ilvl w:val="0"/>
          <w:numId w:val="1015"/>
        </w:numPr>
      </w:pPr>
      <w:r>
        <w:rPr>
          <w:b/>
          <w:bCs/>
        </w:rPr>
        <w:t xml:space="preserve">Faster settlements:</w:t>
      </w:r>
      <w:r>
        <w:t xml:space="preserve"> </w:t>
      </w:r>
      <w:r>
        <w:t xml:space="preserve">Minutes vs. days for bank transfers</w:t>
      </w:r>
    </w:p>
    <w:p>
      <w:pPr>
        <w:pStyle w:val="Compact"/>
        <w:numPr>
          <w:ilvl w:val="0"/>
          <w:numId w:val="1015"/>
        </w:numPr>
      </w:pPr>
      <w:r>
        <w:rPr>
          <w:b/>
          <w:bCs/>
        </w:rPr>
        <w:t xml:space="preserve">Global accessibility:</w:t>
      </w:r>
      <w:r>
        <w:t xml:space="preserve"> </w:t>
      </w:r>
      <w:r>
        <w:t xml:space="preserve">No bank restrictions or cross-border complexity</w:t>
      </w:r>
    </w:p>
    <w:p>
      <w:pPr>
        <w:pStyle w:val="Compact"/>
        <w:numPr>
          <w:ilvl w:val="0"/>
          <w:numId w:val="1015"/>
        </w:numPr>
      </w:pPr>
      <w:r>
        <w:rPr>
          <w:b/>
          <w:bCs/>
        </w:rPr>
        <w:t xml:space="preserve">Privacy-focused players:</w:t>
      </w:r>
      <w:r>
        <w:t xml:space="preserve"> </w:t>
      </w:r>
      <w:r>
        <w:t xml:space="preserve">Attracts segment that prefers pseudonymous transactions</w:t>
      </w:r>
    </w:p>
    <w:bookmarkEnd w:id="50"/>
    <w:bookmarkStart w:id="51" w:name="reality-check"/>
    <w:p>
      <w:pPr>
        <w:pStyle w:val="Heading4"/>
      </w:pPr>
      <w:r>
        <w:t xml:space="preserve">Reality check</w:t>
      </w:r>
    </w:p>
    <w:p>
      <w:pPr>
        <w:pStyle w:val="Compact"/>
        <w:numPr>
          <w:ilvl w:val="0"/>
          <w:numId w:val="1016"/>
        </w:numPr>
      </w:pPr>
      <w:r>
        <w:t xml:space="preserve">Volatility risk if you hold crypto rather than instant-convert to fiat</w:t>
      </w:r>
    </w:p>
    <w:p>
      <w:pPr>
        <w:pStyle w:val="Compact"/>
        <w:numPr>
          <w:ilvl w:val="0"/>
          <w:numId w:val="1016"/>
        </w:numPr>
      </w:pPr>
      <w:r>
        <w:t xml:space="preserve">Regulatory requirements increasing. Many jurisdictions now require crypto KYC</w:t>
      </w:r>
    </w:p>
    <w:p>
      <w:pPr>
        <w:pStyle w:val="Compact"/>
        <w:numPr>
          <w:ilvl w:val="0"/>
          <w:numId w:val="1016"/>
        </w:numPr>
      </w:pPr>
      <w:r>
        <w:t xml:space="preserve">Player support complexity for crypto-unfamiliar customers</w:t>
      </w:r>
    </w:p>
    <w:p>
      <w:pPr>
        <w:pStyle w:val="Compact"/>
        <w:numPr>
          <w:ilvl w:val="0"/>
          <w:numId w:val="1016"/>
        </w:numPr>
      </w:pPr>
      <w:r>
        <w:t xml:space="preserve">Limited mainstream adoption. Most players still prefer fiat</w:t>
      </w:r>
    </w:p>
    <w:p>
      <w:pPr>
        <w:pStyle w:val="Compact"/>
        <w:numPr>
          <w:ilvl w:val="0"/>
          <w:numId w:val="1016"/>
        </w:numPr>
      </w:pPr>
      <w:r>
        <w:t xml:space="preserve">Stablecoin preference growing (USDT, USDC) to avoid volatility</w:t>
      </w:r>
    </w:p>
    <w:bookmarkEnd w:id="51"/>
    <w:bookmarkStart w:id="52" w:name="implementation-approaches"/>
    <w:p>
      <w:pPr>
        <w:pStyle w:val="Heading4"/>
      </w:pPr>
      <w:r>
        <w:t xml:space="preserve">Implementation approaches</w:t>
      </w:r>
    </w:p>
    <w:p>
      <w:pPr>
        <w:pStyle w:val="Compact"/>
        <w:numPr>
          <w:ilvl w:val="0"/>
          <w:numId w:val="1017"/>
        </w:numPr>
      </w:pPr>
      <w:r>
        <w:rPr>
          <w:b/>
          <w:bCs/>
        </w:rPr>
        <w:t xml:space="preserve">Crypto-first platform:</w:t>
      </w:r>
      <w:r>
        <w:t xml:space="preserve"> </w:t>
      </w:r>
      <w:r>
        <w:t xml:space="preserve">Accept primarily crypto, minimal fiat (Curacao license)</w:t>
      </w:r>
    </w:p>
    <w:p>
      <w:pPr>
        <w:pStyle w:val="Compact"/>
        <w:numPr>
          <w:ilvl w:val="0"/>
          <w:numId w:val="1017"/>
        </w:numPr>
      </w:pPr>
      <w:r>
        <w:rPr>
          <w:b/>
          <w:bCs/>
        </w:rPr>
        <w:t xml:space="preserve">Hybrid approach:</w:t>
      </w:r>
      <w:r>
        <w:t xml:space="preserve"> </w:t>
      </w:r>
      <w:r>
        <w:t xml:space="preserve">Accept both crypto and fiat, instant-convert crypto to reduce volatility (most common)</w:t>
      </w:r>
    </w:p>
    <w:p>
      <w:pPr>
        <w:pStyle w:val="Compact"/>
        <w:numPr>
          <w:ilvl w:val="0"/>
          <w:numId w:val="1017"/>
        </w:numPr>
      </w:pPr>
      <w:r>
        <w:rPr>
          <w:b/>
          <w:bCs/>
        </w:rPr>
        <w:t xml:space="preserve">Crypto as bonus option:</w:t>
      </w:r>
      <w:r>
        <w:t xml:space="preserve"> </w:t>
      </w:r>
      <w:r>
        <w:t xml:space="preserve">Primary fiat with crypto for players who prefer it</w:t>
      </w:r>
    </w:p>
    <w:bookmarkEnd w:id="52"/>
    <w:bookmarkStart w:id="53" w:name="key-providers"/>
    <w:p>
      <w:pPr>
        <w:pStyle w:val="Heading4"/>
      </w:pPr>
      <w:r>
        <w:t xml:space="preserve">Key providers</w:t>
      </w:r>
    </w:p>
    <w:p>
      <w:pPr>
        <w:pStyle w:val="FirstParagraph"/>
      </w:pPr>
      <w:r>
        <w:t xml:space="preserve">CryptoProcessing (SOFTSWISS), Coinspaid, NOWPayments, BitPay. Most gambling platform providers now have crypto payment partners pre-integrated.</w:t>
      </w:r>
    </w:p>
    <w:bookmarkEnd w:id="53"/>
    <w:bookmarkStart w:id="54" w:name="the-trend"/>
    <w:p>
      <w:pPr>
        <w:pStyle w:val="Heading4"/>
      </w:pPr>
      <w:r>
        <w:t xml:space="preserve">The trend</w:t>
      </w:r>
    </w:p>
    <w:p>
      <w:pPr>
        <w:pStyle w:val="FirstParagraph"/>
      </w:pPr>
      <w:r>
        <w:t xml:space="preserve">Pure crypto casinos are niche. The winning strategy is offering crypto alongside fiat, letting players choose their preference while you maintain stable euro/dollar operations.</w:t>
      </w:r>
    </w:p>
    <w:p>
      <w:pPr>
        <w:pStyle w:val="BodyText"/>
      </w:pPr>
      <w:r>
        <w:t xml:space="preserve">Related:</w:t>
      </w:r>
      <w:r>
        <w:t xml:space="preserve"> </w:t>
      </w:r>
      <w:hyperlink r:id="rId16">
        <w:r>
          <w:rPr>
            <w:rStyle w:val="Hyperlink"/>
          </w:rPr>
          <w:t xml:space="preserve">Cryptocurrency Payments</w:t>
        </w:r>
      </w:hyperlink>
    </w:p>
    <w:p>
      <w:r>
        <w:pict>
          <v:rect style="width:0;height:1.5pt" o:hralign="center" o:hrstd="t" o:hr="t"/>
        </w:pict>
      </w:r>
    </w:p>
    <w:bookmarkEnd w:id="54"/>
    <w:bookmarkEnd w:id="55"/>
    <w:bookmarkStart w:id="58" w:name="X2029bff5d51216a62f8aed5e39ab5c06b714779"/>
    <w:p>
      <w:pPr>
        <w:pStyle w:val="Heading3"/>
      </w:pPr>
      <w:r>
        <w:t xml:space="preserve">How is iGaming payment processing changing in 2026?</w:t>
      </w:r>
    </w:p>
    <w:p>
      <w:pPr>
        <w:pStyle w:val="FirstParagraph"/>
      </w:pPr>
      <w:r>
        <w:t xml:space="preserve">The payment landscape is transforming rapidly: instant payments becoming standard, cryptocurrency going mainstream, regulatory restrictions tightening, and payment orchestration emerging as essential infrastructure.</w:t>
      </w:r>
    </w:p>
    <w:bookmarkStart w:id="56" w:name="key-trends"/>
    <w:p>
      <w:pPr>
        <w:pStyle w:val="Heading4"/>
      </w:pPr>
      <w:r>
        <w:t xml:space="preserve">Key trends</w:t>
      </w:r>
    </w:p>
    <w:p>
      <w:pPr>
        <w:numPr>
          <w:ilvl w:val="0"/>
          <w:numId w:val="1018"/>
        </w:numPr>
      </w:pPr>
      <w:r>
        <w:rPr>
          <w:b/>
          <w:bCs/>
        </w:rPr>
        <w:t xml:space="preserve">Instant payments as baseline:</w:t>
      </w:r>
      <w:r>
        <w:t xml:space="preserve"> </w:t>
      </w:r>
      <w:r>
        <w:t xml:space="preserve">Real-time deposits and sub-24-hour withdrawals are now expected. Pay-by-bank options (Trustly, PIX, UPI) growing as they offer instant confirmation without card network fees.</w:t>
      </w:r>
    </w:p>
    <w:p>
      <w:pPr>
        <w:numPr>
          <w:ilvl w:val="0"/>
          <w:numId w:val="1018"/>
        </w:numPr>
      </w:pPr>
      <w:r>
        <w:rPr>
          <w:b/>
          <w:bCs/>
        </w:rPr>
        <w:t xml:space="preserve">Credit card bans spreading:</w:t>
      </w:r>
      <w:r>
        <w:t xml:space="preserve"> </w:t>
      </w:r>
      <w:r>
        <w:t xml:space="preserve">UK already banned credit cards for gambling. Sweden implements credit card ban April 2026. More jurisdictions likely to follow, forcing operators toward bank transfers and e-wallets.</w:t>
      </w:r>
    </w:p>
    <w:p>
      <w:pPr>
        <w:numPr>
          <w:ilvl w:val="0"/>
          <w:numId w:val="1018"/>
        </w:numPr>
      </w:pPr>
      <w:r>
        <w:rPr>
          <w:b/>
          <w:bCs/>
        </w:rPr>
        <w:t xml:space="preserve">Cryptocurrency normalization:</w:t>
      </w:r>
      <w:r>
        <w:t xml:space="preserve"> </w:t>
      </w:r>
      <w:r>
        <w:t xml:space="preserve">17% of gambling bets in crypto (2024), predicted to grow. Stablecoins now account for 30% of on-chain transactions. Crypto is no longer</w:t>
      </w:r>
      <w:r>
        <w:t xml:space="preserve"> </w:t>
      </w:r>
      <w:r>
        <w:t xml:space="preserve">“alternative.”</w:t>
      </w:r>
      <w:r>
        <w:t xml:space="preserve"> </w:t>
      </w:r>
      <w:r>
        <w:t xml:space="preserve">It’s mainstream for significant player segments.</w:t>
      </w:r>
    </w:p>
    <w:p>
      <w:pPr>
        <w:numPr>
          <w:ilvl w:val="0"/>
          <w:numId w:val="1018"/>
        </w:numPr>
      </w:pPr>
      <w:r>
        <w:rPr>
          <w:b/>
          <w:bCs/>
        </w:rPr>
        <w:t xml:space="preserve">Payment orchestration essential:</w:t>
      </w:r>
      <w:r>
        <w:t xml:space="preserve"> </w:t>
      </w:r>
      <w:r>
        <w:t xml:space="preserve">Multi-PSP setups with smart routing are now standard for serious operators. Single-provider dependency is recognized as both a cost and risk issue.</w:t>
      </w:r>
    </w:p>
    <w:p>
      <w:pPr>
        <w:numPr>
          <w:ilvl w:val="0"/>
          <w:numId w:val="1018"/>
        </w:numPr>
      </w:pPr>
      <w:r>
        <w:rPr>
          <w:b/>
          <w:bCs/>
        </w:rPr>
        <w:t xml:space="preserve">KYC before first deposit:</w:t>
      </w:r>
      <w:r>
        <w:t xml:space="preserve"> </w:t>
      </w:r>
      <w:r>
        <w:t xml:space="preserve">Grace periods eliminated in major markets. Full identity verification required before deposit in UK, Germany, and expanding. Operators need seamless e-verification to avoid conversion drop-off.</w:t>
      </w:r>
    </w:p>
    <w:p>
      <w:pPr>
        <w:numPr>
          <w:ilvl w:val="0"/>
          <w:numId w:val="1018"/>
        </w:numPr>
      </w:pPr>
      <w:r>
        <w:rPr>
          <w:b/>
          <w:bCs/>
        </w:rPr>
        <w:t xml:space="preserve">Fraud sophistication increasing:</w:t>
      </w:r>
      <w:r>
        <w:t xml:space="preserve"> </w:t>
      </w:r>
      <w:r>
        <w:t xml:space="preserve">Payment fraud attempts up 90% in 2025. Chargeback disputes in digital goods up 78% YoY. AI-powered fraud detection becoming necessity, not luxury.</w:t>
      </w:r>
    </w:p>
    <w:bookmarkEnd w:id="56"/>
    <w:bookmarkStart w:id="57" w:name="what-this-means-for-operators"/>
    <w:p>
      <w:pPr>
        <w:pStyle w:val="Heading4"/>
      </w:pPr>
      <w:r>
        <w:t xml:space="preserve">What this means for operators</w:t>
      </w:r>
    </w:p>
    <w:p>
      <w:pPr>
        <w:pStyle w:val="Compact"/>
        <w:numPr>
          <w:ilvl w:val="0"/>
          <w:numId w:val="1019"/>
        </w:numPr>
      </w:pPr>
      <w:r>
        <w:t xml:space="preserve">Budget for multiple PSP integrations from launch</w:t>
      </w:r>
    </w:p>
    <w:p>
      <w:pPr>
        <w:pStyle w:val="Compact"/>
        <w:numPr>
          <w:ilvl w:val="0"/>
          <w:numId w:val="1019"/>
        </w:numPr>
      </w:pPr>
      <w:r>
        <w:t xml:space="preserve">Plan crypto implementation as core feature, not afterthought</w:t>
      </w:r>
    </w:p>
    <w:p>
      <w:pPr>
        <w:pStyle w:val="Compact"/>
        <w:numPr>
          <w:ilvl w:val="0"/>
          <w:numId w:val="1019"/>
        </w:numPr>
      </w:pPr>
      <w:r>
        <w:t xml:space="preserve">Invest in KYC automation to maintain conversion rates</w:t>
      </w:r>
    </w:p>
    <w:p>
      <w:pPr>
        <w:pStyle w:val="Compact"/>
        <w:numPr>
          <w:ilvl w:val="0"/>
          <w:numId w:val="1019"/>
        </w:numPr>
      </w:pPr>
      <w:r>
        <w:t xml:space="preserve">Monitor regulatory changes. Payment rules shifting rapidly</w:t>
      </w:r>
    </w:p>
    <w:p>
      <w:pPr>
        <w:pStyle w:val="Compact"/>
        <w:numPr>
          <w:ilvl w:val="0"/>
          <w:numId w:val="1019"/>
        </w:numPr>
      </w:pPr>
      <w:r>
        <w:t xml:space="preserve">Test withdrawal speed against competitors regularly</w:t>
      </w:r>
    </w:p>
    <w:p>
      <w:pPr>
        <w:pStyle w:val="FirstParagraph"/>
      </w:pPr>
      <w:r>
        <w:t xml:space="preserve">Related:</w:t>
      </w:r>
      <w:r>
        <w:t xml:space="preserve"> </w:t>
      </w:r>
      <w:hyperlink r:id="rId42">
        <w:r>
          <w:rPr>
            <w:rStyle w:val="Hyperlink"/>
          </w:rPr>
          <w:t xml:space="preserve">KYC Services</w:t>
        </w:r>
      </w:hyperlink>
      <w:r>
        <w:t xml:space="preserve"> </w:t>
      </w:r>
      <w:r>
        <w:t xml:space="preserve">|</w:t>
      </w:r>
      <w:r>
        <w:t xml:space="preserve"> </w:t>
      </w:r>
      <w:hyperlink r:id="rId31">
        <w:r>
          <w:rPr>
            <w:rStyle w:val="Hyperlink"/>
          </w:rPr>
          <w:t xml:space="preserve">Fraud Prevention</w:t>
        </w:r>
      </w:hyperlink>
    </w:p>
    <w:p>
      <w:r>
        <w:pict>
          <v:rect style="width:0;height:1.5pt" o:hralign="center" o:hrstd="t" o:hr="t"/>
        </w:pict>
      </w:r>
    </w:p>
    <w:bookmarkEnd w:id="57"/>
    <w:bookmarkEnd w:id="58"/>
    <w:bookmarkStart w:id="64" w:name="Xc0e4b83eb7bf1c9d6d1aea57716df05822c6802"/>
    <w:p>
      <w:pPr>
        <w:pStyle w:val="Heading3"/>
      </w:pPr>
      <w:r>
        <w:t xml:space="preserve">How do I know if my payment setup is performing well?</w:t>
      </w:r>
    </w:p>
    <w:p>
      <w:pPr>
        <w:pStyle w:val="FirstParagraph"/>
      </w:pPr>
      <w:r>
        <w:t xml:space="preserve">Track authorization rates, chargeback ratios, and processing costs, not just transaction volume. Most operators focus on deposits while the metrics that actually impact profitability deteriorate unnoticed.</w:t>
      </w:r>
    </w:p>
    <w:bookmarkStart w:id="59" w:name="key-metrics-to-monitor"/>
    <w:p>
      <w:pPr>
        <w:pStyle w:val="Heading4"/>
      </w:pPr>
      <w:r>
        <w:t xml:space="preserve">Key metrics to monitor</w:t>
      </w:r>
    </w:p>
    <w:p>
      <w:pPr>
        <w:pStyle w:val="Compact"/>
        <w:numPr>
          <w:ilvl w:val="0"/>
          <w:numId w:val="1020"/>
        </w:numPr>
      </w:pPr>
      <w:r>
        <w:rPr>
          <w:b/>
          <w:bCs/>
        </w:rPr>
        <w:t xml:space="preserve">Authorization rate:</w:t>
      </w:r>
      <w:r>
        <w:t xml:space="preserve"> </w:t>
      </w:r>
      <w:r>
        <w:t xml:space="preserve">Target 85-95%, warning sign below 80%, check daily. Low rates mean lost deposits and frustrated players.</w:t>
      </w:r>
    </w:p>
    <w:p>
      <w:pPr>
        <w:pStyle w:val="Compact"/>
        <w:numPr>
          <w:ilvl w:val="0"/>
          <w:numId w:val="1020"/>
        </w:numPr>
      </w:pPr>
      <w:r>
        <w:rPr>
          <w:b/>
          <w:bCs/>
        </w:rPr>
        <w:t xml:space="preserve">Chargeback ratio:</w:t>
      </w:r>
      <w:r>
        <w:t xml:space="preserve"> </w:t>
      </w:r>
      <w:r>
        <w:t xml:space="preserve">Target below 0.5%, warning sign above 0.8%, check weekly. Above 0.9% triggers Visa monitoring.</w:t>
      </w:r>
    </w:p>
    <w:p>
      <w:pPr>
        <w:pStyle w:val="Compact"/>
        <w:numPr>
          <w:ilvl w:val="0"/>
          <w:numId w:val="1020"/>
        </w:numPr>
      </w:pPr>
      <w:r>
        <w:rPr>
          <w:b/>
          <w:bCs/>
        </w:rPr>
        <w:t xml:space="preserve">Cost per transaction:</w:t>
      </w:r>
      <w:r>
        <w:t xml:space="preserve"> </w:t>
      </w:r>
      <w:r>
        <w:t xml:space="preserve">Track actual cost including all fees, chargebacks, and currency conversion. Benchmark against industry (3-5%).</w:t>
      </w:r>
    </w:p>
    <w:p>
      <w:pPr>
        <w:pStyle w:val="Compact"/>
        <w:numPr>
          <w:ilvl w:val="0"/>
          <w:numId w:val="1020"/>
        </w:numPr>
      </w:pPr>
      <w:r>
        <w:rPr>
          <w:b/>
          <w:bCs/>
        </w:rPr>
        <w:t xml:space="preserve">Settlement timing:</w:t>
      </w:r>
      <w:r>
        <w:t xml:space="preserve"> </w:t>
      </w:r>
      <w:r>
        <w:t xml:space="preserve">Monitor actual days-to-settlement vs. contractual terms.</w:t>
      </w:r>
    </w:p>
    <w:p>
      <w:pPr>
        <w:pStyle w:val="Compact"/>
        <w:numPr>
          <w:ilvl w:val="0"/>
          <w:numId w:val="1020"/>
        </w:numPr>
      </w:pPr>
      <w:r>
        <w:rPr>
          <w:b/>
          <w:bCs/>
        </w:rPr>
        <w:t xml:space="preserve">Method mix:</w:t>
      </w:r>
      <w:r>
        <w:t xml:space="preserve"> </w:t>
      </w:r>
      <w:r>
        <w:t xml:space="preserve">Track which payment methods players use and optimize offerings accordingly.</w:t>
      </w:r>
    </w:p>
    <w:bookmarkEnd w:id="59"/>
    <w:bookmarkStart w:id="60" w:name="warning-signs"/>
    <w:p>
      <w:pPr>
        <w:pStyle w:val="Heading4"/>
      </w:pPr>
      <w:r>
        <w:t xml:space="preserve">Warning signs</w:t>
      </w:r>
    </w:p>
    <w:p>
      <w:pPr>
        <w:pStyle w:val="Compact"/>
        <w:numPr>
          <w:ilvl w:val="0"/>
          <w:numId w:val="1021"/>
        </w:numPr>
      </w:pPr>
      <w:r>
        <w:t xml:space="preserve">Authorization rate declining over 3+ weeks</w:t>
      </w:r>
    </w:p>
    <w:p>
      <w:pPr>
        <w:pStyle w:val="Compact"/>
        <w:numPr>
          <w:ilvl w:val="0"/>
          <w:numId w:val="1021"/>
        </w:numPr>
      </w:pPr>
      <w:r>
        <w:t xml:space="preserve">Chargeback ratio trending upward</w:t>
      </w:r>
    </w:p>
    <w:p>
      <w:pPr>
        <w:pStyle w:val="Compact"/>
        <w:numPr>
          <w:ilvl w:val="0"/>
          <w:numId w:val="1021"/>
        </w:numPr>
      </w:pPr>
      <w:r>
        <w:t xml:space="preserve">Increasing player complaints about deposit failures</w:t>
      </w:r>
    </w:p>
    <w:p>
      <w:pPr>
        <w:pStyle w:val="Compact"/>
        <w:numPr>
          <w:ilvl w:val="0"/>
          <w:numId w:val="1021"/>
        </w:numPr>
      </w:pPr>
      <w:r>
        <w:t xml:space="preserve">Settlement delays beyond contractual terms</w:t>
      </w:r>
    </w:p>
    <w:p>
      <w:pPr>
        <w:pStyle w:val="Compact"/>
        <w:numPr>
          <w:ilvl w:val="0"/>
          <w:numId w:val="1021"/>
        </w:numPr>
      </w:pPr>
      <w:r>
        <w:t xml:space="preserve">Single payment method dominating (concentration risk)</w:t>
      </w:r>
    </w:p>
    <w:bookmarkEnd w:id="60"/>
    <w:bookmarkStart w:id="61" w:name="optimization-benchmarks"/>
    <w:p>
      <w:pPr>
        <w:pStyle w:val="Heading4"/>
      </w:pPr>
      <w:r>
        <w:t xml:space="preserve">Optimization benchmarks</w:t>
      </w:r>
    </w:p>
    <w:p>
      <w:pPr>
        <w:pStyle w:val="Compact"/>
        <w:numPr>
          <w:ilvl w:val="0"/>
          <w:numId w:val="1022"/>
        </w:numPr>
      </w:pPr>
      <w:r>
        <w:t xml:space="preserve">Top operators achieve 90%+ authorization rates</w:t>
      </w:r>
    </w:p>
    <w:p>
      <w:pPr>
        <w:pStyle w:val="Compact"/>
        <w:numPr>
          <w:ilvl w:val="0"/>
          <w:numId w:val="1022"/>
        </w:numPr>
      </w:pPr>
      <w:r>
        <w:t xml:space="preserve">Industry-leading chargeback rates are 0.3-0.5%</w:t>
      </w:r>
    </w:p>
    <w:p>
      <w:pPr>
        <w:pStyle w:val="Compact"/>
        <w:numPr>
          <w:ilvl w:val="0"/>
          <w:numId w:val="1022"/>
        </w:numPr>
      </w:pPr>
      <w:r>
        <w:t xml:space="preserve">Multi-PSP setups reduce costs 15-25% vs. single provider</w:t>
      </w:r>
    </w:p>
    <w:p>
      <w:pPr>
        <w:pStyle w:val="Compact"/>
        <w:numPr>
          <w:ilvl w:val="0"/>
          <w:numId w:val="1022"/>
        </w:numPr>
      </w:pPr>
      <w:r>
        <w:t xml:space="preserve">Crypto-accepting operators see 20-30% of deposits through crypto</w:t>
      </w:r>
    </w:p>
    <w:bookmarkEnd w:id="61"/>
    <w:bookmarkStart w:id="63" w:name="when-to-worry"/>
    <w:p>
      <w:pPr>
        <w:pStyle w:val="Heading4"/>
      </w:pPr>
      <w:r>
        <w:t xml:space="preserve">When to worry</w:t>
      </w:r>
    </w:p>
    <w:p>
      <w:pPr>
        <w:pStyle w:val="FirstParagraph"/>
      </w:pPr>
      <w:r>
        <w:t xml:space="preserve">If you’re above 1% chargeback ratio, below 80% authorization rate, or paying more than 5% effective processing cost, your payment setup needs immediate attention.</w:t>
      </w:r>
    </w:p>
    <w:p>
      <w:pPr>
        <w:pStyle w:val="BodyText"/>
      </w:pPr>
      <w:r>
        <w:t xml:space="preserve">Related:</w:t>
      </w:r>
      <w:r>
        <w:t xml:space="preserve"> </w:t>
      </w:r>
      <w:hyperlink r:id="rId62">
        <w:r>
          <w:rPr>
            <w:rStyle w:val="Hyperlink"/>
          </w:rPr>
          <w:t xml:space="preserve">Data &amp; Analytics</w:t>
        </w:r>
      </w:hyperlink>
    </w:p>
    <w:p>
      <w:r>
        <w:pict>
          <v:rect style="width:0;height:1.5pt" o:hralign="center" o:hrstd="t" o:hr="t"/>
        </w:pict>
      </w:r>
    </w:p>
    <w:p>
      <w:pPr>
        <w:pStyle w:val="FirstParagraph"/>
      </w:pPr>
      <w:r>
        <w:rPr>
          <w:i/>
          <w:iCs/>
        </w:rPr>
        <w:t xml:space="preserve">Last updated: January 2026</w:t>
      </w:r>
    </w:p>
    <w:bookmarkEnd w:id="63"/>
    <w:bookmarkEnd w:id="64"/>
    <w:bookmarkEnd w:id="65"/>
    <w:bookmarkEnd w:id="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directory/compliance-regulatory-services" TargetMode="External" /><Relationship Type="http://schemas.openxmlformats.org/officeDocument/2006/relationships/hyperlink" Id="rId16" Target="/directory/cryptocurrency-payments" TargetMode="External" /><Relationship Type="http://schemas.openxmlformats.org/officeDocument/2006/relationships/hyperlink" Id="rId62" Target="/directory/data-analytics" TargetMode="External" /><Relationship Type="http://schemas.openxmlformats.org/officeDocument/2006/relationships/hyperlink" Id="rId12" Target="/directory/e-wallet-solutions" TargetMode="External" /><Relationship Type="http://schemas.openxmlformats.org/officeDocument/2006/relationships/hyperlink" Id="rId31" Target="/directory/fraud-prevention" TargetMode="External" /><Relationship Type="http://schemas.openxmlformats.org/officeDocument/2006/relationships/hyperlink" Id="rId42" Target="/directory/kyc-services" TargetMode="External" /><Relationship Type="http://schemas.openxmlformats.org/officeDocument/2006/relationships/hyperlink" Id="rId24" Target="/directory/local-payment-solutions" TargetMode="External" /><Relationship Type="http://schemas.openxmlformats.org/officeDocument/2006/relationships/hyperlink" Id="rId27" Target="/directory/payment-consulting" TargetMode="External" /><Relationship Type="http://schemas.openxmlformats.org/officeDocument/2006/relationships/hyperlink" Id="rId11" Target="/directory/payment-gateways" TargetMode="External" /><Relationship Type="http://schemas.openxmlformats.org/officeDocument/2006/relationships/hyperlink" Id="rId48" Target="/directory/payment-services" TargetMode="External" /><Relationship Type="http://schemas.openxmlformats.org/officeDocument/2006/relationships/hyperlink" Id="rId19" Target="/directory/risk-management" TargetMode="External" /></Relationships>
</file>

<file path=word/_rels/footnotes.xml.rels><?xml version="1.0" encoding="UTF-8"?><Relationships xmlns="http://schemas.openxmlformats.org/package/2006/relationships"><Relationship Type="http://schemas.openxmlformats.org/officeDocument/2006/relationships/hyperlink" Id="rId32" Target="/directory/compliance-regulatory-services" TargetMode="External" /><Relationship Type="http://schemas.openxmlformats.org/officeDocument/2006/relationships/hyperlink" Id="rId16" Target="/directory/cryptocurrency-payments" TargetMode="External" /><Relationship Type="http://schemas.openxmlformats.org/officeDocument/2006/relationships/hyperlink" Id="rId62" Target="/directory/data-analytics" TargetMode="External" /><Relationship Type="http://schemas.openxmlformats.org/officeDocument/2006/relationships/hyperlink" Id="rId12" Target="/directory/e-wallet-solutions" TargetMode="External" /><Relationship Type="http://schemas.openxmlformats.org/officeDocument/2006/relationships/hyperlink" Id="rId31" Target="/directory/fraud-prevention" TargetMode="External" /><Relationship Type="http://schemas.openxmlformats.org/officeDocument/2006/relationships/hyperlink" Id="rId42" Target="/directory/kyc-services" TargetMode="External" /><Relationship Type="http://schemas.openxmlformats.org/officeDocument/2006/relationships/hyperlink" Id="rId24" Target="/directory/local-payment-solutions" TargetMode="External" /><Relationship Type="http://schemas.openxmlformats.org/officeDocument/2006/relationships/hyperlink" Id="rId27" Target="/directory/payment-consulting" TargetMode="External" /><Relationship Type="http://schemas.openxmlformats.org/officeDocument/2006/relationships/hyperlink" Id="rId11" Target="/directory/payment-gateways" TargetMode="External" /><Relationship Type="http://schemas.openxmlformats.org/officeDocument/2006/relationships/hyperlink" Id="rId48" Target="/directory/payment-services" TargetMode="External" /><Relationship Type="http://schemas.openxmlformats.org/officeDocument/2006/relationships/hyperlink" Id="rId19" Target="/directory/risk-manage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2026-01-26T14:46:19Z</dcterms:created>
  <dcterms:modified xsi:type="dcterms:W3CDTF">2026-01-26T14:46:19Z</dcterms:modified>
</cp:coreProperties>
</file>

<file path=docProps/custom.xml><?xml version="1.0" encoding="utf-8"?>
<Properties xmlns="http://schemas.openxmlformats.org/officeDocument/2006/custom-properties" xmlns:vt="http://schemas.openxmlformats.org/officeDocument/2006/docPropsVTypes"/>
</file>