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y9q3ip2fgro" w:id="0"/>
      <w:bookmarkEnd w:id="0"/>
      <w:r w:rsidDel="00000000" w:rsidR="00000000" w:rsidRPr="00000000">
        <w:rPr>
          <w:b w:val="1"/>
          <w:bCs w:val="1"/>
          <w:color w:val="1f1f1f"/>
          <w:sz w:val="34"/>
          <w:szCs w:val="34"/>
          <w:rtl w:val="0"/>
        </w:rPr>
        <w:t xml:space="preserve">6. Caso Práctico I: Transferencia de datos a un país no comunitario</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Contexto:</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Una empresa española, con el objetivo de optimizar costes, quiere que parte de la atención al cliente no presencial se realice desde Bogotá. La empresa tiene centros tanto en Bogotá como en Madrid.</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Cuestiones a resolver:</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 relación al RGPD (Reglamento General de Protección de Datos), ¿qué implicaciones tendría ubicar los datos en los siguientes escenarios?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200" w:lineRule="auto"/>
        <w:ind w:left="720" w:hanging="360"/>
      </w:pPr>
      <w:r w:rsidDel="00000000" w:rsidR="00000000" w:rsidRPr="00000000">
        <w:rPr>
          <w:b w:val="1"/>
          <w:bCs w:val="1"/>
          <w:color w:val="1f1f1f"/>
          <w:rtl w:val="0"/>
        </w:rPr>
        <w:t xml:space="preserve">Escenario A:</w:t>
      </w:r>
      <w:r w:rsidDel="00000000" w:rsidR="00000000" w:rsidRPr="00000000">
        <w:rPr>
          <w:color w:val="1f1f1f"/>
          <w:rtl w:val="0"/>
        </w:rPr>
        <w:t xml:space="preserve"> Ubicación de datos en Madrid.</w:t>
      </w:r>
    </w:p>
    <w:p w:rsidR="00000000" w:rsidDel="00000000" w:rsidP="00000000" w:rsidRDefault="00000000" w:rsidRPr="00000000" w14:paraId="00000007">
      <w:pPr>
        <w:numPr>
          <w:ilvl w:val="1"/>
          <w:numId w:val="1"/>
        </w:numPr>
        <w:pBdr>
          <w:top w:color="auto" w:space="0" w:sz="0" w:val="none"/>
          <w:bottom w:color="auto" w:space="0" w:sz="0" w:val="none"/>
          <w:right w:color="auto" w:space="0" w:sz="0" w:val="none"/>
          <w:between w:color="auto" w:space="0" w:sz="0" w:val="none"/>
        </w:pBdr>
        <w:spacing w:after="200" w:before="0" w:lineRule="auto"/>
        <w:ind w:left="1440" w:hanging="360"/>
        <w:rPr>
          <w:color w:val="0000ff"/>
        </w:rPr>
      </w:pPr>
      <w:r w:rsidDel="00000000" w:rsidR="00000000" w:rsidRPr="00000000">
        <w:rPr>
          <w:color w:val="0000ff"/>
          <w:rtl w:val="0"/>
        </w:rPr>
        <w:t xml:space="preserve">Marco Legal: Al estar en Madrid (España), los datos permanecen dentro del Espacio Económico Europeo (EEE). Se aplica el RGPD de forma directa y estándar.</w:t>
      </w:r>
    </w:p>
    <w:p w:rsidR="00000000" w:rsidDel="00000000" w:rsidP="00000000" w:rsidRDefault="00000000" w:rsidRPr="00000000" w14:paraId="00000008">
      <w:pPr>
        <w:numPr>
          <w:ilvl w:val="1"/>
          <w:numId w:val="1"/>
        </w:numPr>
        <w:pBdr>
          <w:top w:color="auto" w:space="0" w:sz="0" w:val="none"/>
          <w:bottom w:color="auto" w:space="0" w:sz="0" w:val="none"/>
          <w:right w:color="auto" w:space="0" w:sz="0" w:val="none"/>
          <w:between w:color="auto" w:space="0" w:sz="0" w:val="none"/>
        </w:pBdr>
        <w:spacing w:after="200" w:before="0" w:lineRule="auto"/>
        <w:ind w:left="1440" w:hanging="360"/>
        <w:rPr>
          <w:color w:val="0000ff"/>
        </w:rPr>
      </w:pPr>
      <w:r w:rsidDel="00000000" w:rsidR="00000000" w:rsidRPr="00000000">
        <w:rPr>
          <w:color w:val="0000ff"/>
          <w:rtl w:val="0"/>
        </w:rPr>
        <w:t xml:space="preserve">Implicaciones: La empresa debe cumplir con los principios de licitud, transparencia, limitación de la finalidad y seguridad habituales. No se considera una transferencia internacional de datos, simplificando la burocracia legal. El nivel de protección se considera automáticamente "adecuado" por defecto bajo la normativa europea.</w:t>
      </w:r>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200" w:before="0" w:lineRule="auto"/>
        <w:ind w:left="720" w:hanging="360"/>
      </w:pPr>
      <w:r w:rsidDel="00000000" w:rsidR="00000000" w:rsidRPr="00000000">
        <w:rPr>
          <w:b w:val="1"/>
          <w:bCs w:val="1"/>
          <w:color w:val="1f1f1f"/>
          <w:rtl w:val="0"/>
        </w:rPr>
        <w:t xml:space="preserve">Escenario B:</w:t>
      </w:r>
      <w:r w:rsidDel="00000000" w:rsidR="00000000" w:rsidRPr="00000000">
        <w:rPr>
          <w:color w:val="1f1f1f"/>
          <w:rtl w:val="0"/>
        </w:rPr>
        <w:t xml:space="preserve"> Ubicación de datos en Bogotá.</w:t>
      </w:r>
    </w:p>
    <w:p w:rsidR="00000000" w:rsidDel="00000000" w:rsidP="00000000" w:rsidRDefault="00000000" w:rsidRPr="00000000" w14:paraId="0000000A">
      <w:pPr>
        <w:numPr>
          <w:ilvl w:val="1"/>
          <w:numId w:val="1"/>
        </w:numPr>
        <w:pBdr>
          <w:top w:color="auto" w:space="0" w:sz="0" w:val="none"/>
          <w:bottom w:color="auto" w:space="0" w:sz="0" w:val="none"/>
          <w:right w:color="auto" w:space="0" w:sz="0" w:val="none"/>
          <w:between w:color="auto" w:space="0" w:sz="0" w:val="none"/>
        </w:pBdr>
        <w:spacing w:after="200" w:before="0" w:lineRule="auto"/>
        <w:ind w:left="1440" w:hanging="360"/>
        <w:rPr/>
      </w:pPr>
      <w:r w:rsidDel="00000000" w:rsidR="00000000" w:rsidRPr="00000000">
        <w:rPr>
          <w:color w:val="0000ff"/>
          <w:rtl w:val="0"/>
        </w:rPr>
        <w:t xml:space="preserve">Marco Legal: Colombia es un país fuera del EEE (tercer país). A efectos del RGPD, esto constituye una Transferencia Internacional de Datos.</w:t>
      </w:r>
    </w:p>
    <w:p w:rsidR="00000000" w:rsidDel="00000000" w:rsidP="00000000" w:rsidRDefault="00000000" w:rsidRPr="00000000" w14:paraId="0000000B">
      <w:pPr>
        <w:numPr>
          <w:ilvl w:val="1"/>
          <w:numId w:val="1"/>
        </w:numPr>
        <w:pBdr>
          <w:top w:color="auto" w:space="0" w:sz="0" w:val="none"/>
          <w:bottom w:color="auto" w:space="0" w:sz="0" w:val="none"/>
          <w:right w:color="auto" w:space="0" w:sz="0" w:val="none"/>
          <w:between w:color="auto" w:space="0" w:sz="0" w:val="none"/>
        </w:pBdr>
        <w:spacing w:after="200" w:before="0" w:lineRule="auto"/>
        <w:ind w:left="1440" w:hanging="360"/>
        <w:rPr>
          <w:color w:val="0000ff"/>
        </w:rPr>
      </w:pPr>
      <w:r w:rsidDel="00000000" w:rsidR="00000000" w:rsidRPr="00000000">
        <w:rPr>
          <w:color w:val="0000ff"/>
          <w:rtl w:val="0"/>
        </w:rPr>
        <w:t xml:space="preserve">Implicaciones:</w:t>
      </w:r>
    </w:p>
    <w:p w:rsidR="00000000" w:rsidDel="00000000" w:rsidP="00000000" w:rsidRDefault="00000000" w:rsidRPr="00000000" w14:paraId="0000000C">
      <w:pPr>
        <w:numPr>
          <w:ilvl w:val="2"/>
          <w:numId w:val="1"/>
        </w:numPr>
        <w:pBdr>
          <w:top w:color="auto" w:space="0" w:sz="0" w:val="none"/>
          <w:bottom w:color="auto" w:space="0" w:sz="0" w:val="none"/>
          <w:right w:color="auto" w:space="0" w:sz="0" w:val="none"/>
          <w:between w:color="auto" w:space="0" w:sz="0" w:val="none"/>
        </w:pBdr>
        <w:spacing w:after="200" w:before="0" w:lineRule="auto"/>
        <w:ind w:left="2160" w:hanging="360"/>
        <w:rPr>
          <w:color w:val="0000ff"/>
        </w:rPr>
      </w:pPr>
      <w:r w:rsidDel="00000000" w:rsidR="00000000" w:rsidRPr="00000000">
        <w:rPr>
          <w:color w:val="0000ff"/>
          <w:rtl w:val="0"/>
        </w:rPr>
        <w:t xml:space="preserve">Garantías Adecuadas: Dado que la Comisión Europea no ha emitido una "Decisión de Adecuación" completa para Colombia (a diferencia de países como Japón o Suiza), la empresa española no puede enviar los datos libremente.</w:t>
      </w:r>
    </w:p>
    <w:p w:rsidR="00000000" w:rsidDel="00000000" w:rsidP="00000000" w:rsidRDefault="00000000" w:rsidRPr="00000000" w14:paraId="0000000D">
      <w:pPr>
        <w:numPr>
          <w:ilvl w:val="2"/>
          <w:numId w:val="1"/>
        </w:numPr>
        <w:pBdr>
          <w:top w:color="auto" w:space="0" w:sz="0" w:val="none"/>
          <w:bottom w:color="auto" w:space="0" w:sz="0" w:val="none"/>
          <w:right w:color="auto" w:space="0" w:sz="0" w:val="none"/>
          <w:between w:color="auto" w:space="0" w:sz="0" w:val="none"/>
        </w:pBdr>
        <w:spacing w:after="200" w:before="0" w:lineRule="auto"/>
        <w:ind w:left="2160" w:hanging="360"/>
        <w:rPr>
          <w:color w:val="0000ff"/>
        </w:rPr>
      </w:pPr>
      <w:r w:rsidDel="00000000" w:rsidR="00000000" w:rsidRPr="00000000">
        <w:rPr>
          <w:color w:val="0000ff"/>
          <w:rtl w:val="0"/>
        </w:rPr>
        <w:t xml:space="preserve">Mecanismos de Legalización: La empresa deberá firmar Cláusulas Contractuales Tipo (SCC) aprobadas por la Comisión Europea con la sede de Bogotá para garantizar que los datos viajen con garantías equivalentes a las europeas. Alternativamente, si pertenecen al mismo grupo empresarial, podrían aprobarse Normas Corporativas Vinculantes (BCR).</w:t>
      </w:r>
    </w:p>
    <w:p w:rsidR="00000000" w:rsidDel="00000000" w:rsidP="00000000" w:rsidRDefault="00000000" w:rsidRPr="00000000" w14:paraId="0000000E">
      <w:pPr>
        <w:numPr>
          <w:ilvl w:val="2"/>
          <w:numId w:val="1"/>
        </w:numPr>
        <w:pBdr>
          <w:top w:color="auto" w:space="0" w:sz="0" w:val="none"/>
          <w:bottom w:color="auto" w:space="0" w:sz="0" w:val="none"/>
          <w:right w:color="auto" w:space="0" w:sz="0" w:val="none"/>
          <w:between w:color="auto" w:space="0" w:sz="0" w:val="none"/>
        </w:pBdr>
        <w:spacing w:after="200" w:lineRule="auto"/>
        <w:ind w:left="2160" w:hanging="360"/>
        <w:rPr>
          <w:color w:val="0000ff"/>
        </w:rPr>
      </w:pPr>
      <w:r w:rsidDel="00000000" w:rsidR="00000000" w:rsidRPr="00000000">
        <w:rPr>
          <w:color w:val="0000ff"/>
          <w:rtl w:val="0"/>
        </w:rPr>
        <w:t xml:space="preserve">Seguridad Reforzada: Se exige un análisis de riesgos más estricto para asegurar que el gobierno local no pueda acceder a los datos de forma indiscriminada.</w:t>
      </w:r>
    </w:p>
    <w:p w:rsidR="00000000" w:rsidDel="00000000" w:rsidP="00000000" w:rsidRDefault="00000000" w:rsidRPr="00000000" w14:paraId="0000000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3zmih6ewlnct" w:id="1"/>
      <w:bookmarkEnd w:id="1"/>
      <w:r w:rsidDel="00000000" w:rsidR="00000000" w:rsidRPr="00000000">
        <w:rPr>
          <w:b w:val="1"/>
          <w:bCs w:val="1"/>
          <w:color w:val="1f1f1f"/>
          <w:sz w:val="34"/>
          <w:szCs w:val="34"/>
          <w:rtl w:val="0"/>
        </w:rPr>
        <w:t xml:space="preserve">7. Caso Práctico II: Aprendizaje federado y transmisión de datos personales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Referencia:</w:t>
      </w:r>
      <w:r w:rsidDel="00000000" w:rsidR="00000000" w:rsidRPr="00000000">
        <w:rPr>
          <w:color w:val="1f1f1f"/>
          <w:rtl w:val="0"/>
        </w:rPr>
        <w:t xml:space="preserve"> Guía "Aprendizaje federado".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Cuestiones a resolver:</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200" w:lineRule="auto"/>
        <w:ind w:left="720" w:hanging="360"/>
      </w:pPr>
      <w:r w:rsidDel="00000000" w:rsidR="00000000" w:rsidRPr="00000000">
        <w:rPr>
          <w:b w:val="1"/>
          <w:bCs w:val="1"/>
          <w:color w:val="1f1f1f"/>
          <w:rtl w:val="0"/>
        </w:rPr>
        <w:t xml:space="preserve">¿En  qué consiste y cuál es su propósito?:</w:t>
      </w:r>
      <w:r w:rsidDel="00000000" w:rsidR="00000000" w:rsidRPr="00000000">
        <w:rPr>
          <w:rtl w:val="0"/>
        </w:rPr>
      </w:r>
    </w:p>
    <w:p w:rsidR="00000000" w:rsidDel="00000000" w:rsidP="00000000" w:rsidRDefault="00000000" w:rsidRPr="00000000" w14:paraId="00000014">
      <w:pPr>
        <w:numPr>
          <w:ilvl w:val="1"/>
          <w:numId w:val="2"/>
        </w:numPr>
        <w:pBdr>
          <w:top w:color="auto" w:space="0" w:sz="0" w:val="none"/>
          <w:bottom w:color="auto" w:space="0" w:sz="0" w:val="none"/>
          <w:right w:color="auto" w:space="0" w:sz="0" w:val="none"/>
          <w:between w:color="auto" w:space="0" w:sz="0" w:val="none"/>
        </w:pBdr>
        <w:spacing w:after="200" w:before="0" w:lineRule="auto"/>
        <w:ind w:left="1440" w:hanging="360"/>
      </w:pPr>
      <w:r w:rsidDel="00000000" w:rsidR="00000000" w:rsidRPr="00000000">
        <w:rPr>
          <w:color w:val="0000ff"/>
          <w:rtl w:val="0"/>
        </w:rPr>
        <w:t xml:space="preserve">Concepto: Es una técnica de Inteligencia Artificial distribuida donde el modelo se entrena directamente en los dispositivos de los usuarios (móviles, servidores locales) sin necesidad de enviar los datos "en crudo" a un servidor central. Solo se comparten los parámetros aprendidos (pesos o gradientes).</w:t>
      </w:r>
    </w:p>
    <w:p w:rsidR="00000000" w:rsidDel="00000000" w:rsidP="00000000" w:rsidRDefault="00000000" w:rsidRPr="00000000" w14:paraId="00000015">
      <w:pPr>
        <w:numPr>
          <w:ilvl w:val="1"/>
          <w:numId w:val="2"/>
        </w:numPr>
        <w:pBdr>
          <w:top w:color="auto" w:space="0" w:sz="0" w:val="none"/>
          <w:bottom w:color="auto" w:space="0" w:sz="0" w:val="none"/>
          <w:right w:color="auto" w:space="0" w:sz="0" w:val="none"/>
          <w:between w:color="auto" w:space="0" w:sz="0" w:val="none"/>
        </w:pBdr>
        <w:spacing w:after="200" w:before="0" w:lineRule="auto"/>
        <w:ind w:left="1440" w:hanging="360"/>
        <w:rPr>
          <w:color w:val="0000ff"/>
          <w:u w:val="none"/>
        </w:rPr>
      </w:pPr>
      <w:r w:rsidDel="00000000" w:rsidR="00000000" w:rsidRPr="00000000">
        <w:rPr>
          <w:color w:val="0000ff"/>
          <w:rtl w:val="0"/>
        </w:rPr>
        <w:t xml:space="preserve">Propósito: El objetivo principal es la privacidad de los datos (los datos sensibles nunca salen del dispositivo del usuario) y la eficiencia (reduciendo el ancho de banda necesario para transmitir grandes volúmenes de datos).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200" w:before="0" w:lineRule="auto"/>
        <w:ind w:left="720" w:hanging="360"/>
      </w:pPr>
      <w:r w:rsidDel="00000000" w:rsidR="00000000" w:rsidRPr="00000000">
        <w:rPr>
          <w:b w:val="1"/>
          <w:bCs w:val="1"/>
          <w:color w:val="1f1f1f"/>
          <w:rtl w:val="0"/>
        </w:rPr>
        <w:t xml:space="preserve">Diferencias entre el aprendizaje federado con servidor central y sin servidor central</w:t>
      </w:r>
      <w:r w:rsidDel="00000000" w:rsidR="00000000" w:rsidRPr="00000000">
        <w:rPr>
          <w:b w:val="1"/>
          <w:bCs w:val="1"/>
          <w:color w:val="1f1f1f"/>
          <w:rtl w:val="0"/>
        </w:rPr>
        <w:t xml:space="preserve">:</w:t>
      </w:r>
    </w:p>
    <w:p w:rsidR="00000000" w:rsidDel="00000000" w:rsidP="00000000" w:rsidRDefault="00000000" w:rsidRPr="00000000" w14:paraId="00000017">
      <w:pPr>
        <w:keepNext w:val="0"/>
        <w:keepLines w:val="0"/>
        <w:pageBreakBefore w:val="0"/>
        <w:widowControl w:val="1"/>
        <w:numPr>
          <w:ilvl w:val="1"/>
          <w:numId w:val="2"/>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rPr>
          <w:color w:val="0000ff"/>
        </w:rPr>
      </w:pPr>
      <w:r w:rsidDel="00000000" w:rsidR="00000000" w:rsidRPr="00000000">
        <w:rPr>
          <w:color w:val="0000ff"/>
          <w:rtl w:val="0"/>
        </w:rPr>
        <w:t xml:space="preserve">Con Servidor Central (Centralized FL): Existe un orquestador central que envía el modelo global a los nodos, recibe las actualizaciones de estos y realiza la agregación (promedio) para actualizar el modelo global. Es el enfoque estándar (ej. Google Gboard).</w:t>
      </w:r>
    </w:p>
    <w:p w:rsidR="00000000" w:rsidDel="00000000" w:rsidP="00000000" w:rsidRDefault="00000000" w:rsidRPr="00000000" w14:paraId="00000018">
      <w:pPr>
        <w:keepNext w:val="0"/>
        <w:keepLines w:val="0"/>
        <w:pageBreakBefore w:val="0"/>
        <w:widowControl w:val="1"/>
        <w:numPr>
          <w:ilvl w:val="1"/>
          <w:numId w:val="2"/>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rPr>
          <w:color w:val="0000ff"/>
        </w:rPr>
      </w:pPr>
      <w:r w:rsidDel="00000000" w:rsidR="00000000" w:rsidRPr="00000000">
        <w:rPr>
          <w:color w:val="0000ff"/>
          <w:rtl w:val="0"/>
        </w:rPr>
        <w:t xml:space="preserve">Sin Servidor Central (Decentralized/Peer-to-Peer FL): No hay un orquestador único. Los dispositivos se comunican entre sí (redes mesh) para intercambiar parámetros y consensuar el modelo global. Es más robusto ante fallos del servidor pero más complejo de coordinar.</w:t>
      </w:r>
      <w:r w:rsidDel="00000000" w:rsidR="00000000" w:rsidRPr="00000000">
        <w:rPr>
          <w:rtl w:val="0"/>
        </w:rPr>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200" w:before="0" w:lineRule="auto"/>
        <w:ind w:left="720" w:hanging="360"/>
      </w:pPr>
      <w:r w:rsidDel="00000000" w:rsidR="00000000" w:rsidRPr="00000000">
        <w:rPr>
          <w:b w:val="1"/>
          <w:bCs w:val="1"/>
          <w:color w:val="1f1f1f"/>
          <w:rtl w:val="0"/>
        </w:rPr>
        <w:t xml:space="preserve">Diferencias entre los modelos horizontales y verticales</w:t>
      </w:r>
      <w:r w:rsidDel="00000000" w:rsidR="00000000" w:rsidRPr="00000000">
        <w:rPr>
          <w:b w:val="1"/>
          <w:bCs w:val="1"/>
          <w:color w:val="1f1f1f"/>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2"/>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rPr>
          <w:color w:val="0000ff"/>
        </w:rPr>
      </w:pPr>
      <w:r w:rsidDel="00000000" w:rsidR="00000000" w:rsidRPr="00000000">
        <w:rPr>
          <w:color w:val="0000ff"/>
          <w:rtl w:val="0"/>
        </w:rPr>
        <w:t xml:space="preserve">Horizontal (HFL): Los participantes tienen conjuntos de datos con las mismas características (columnas) pero diferentes usuarios (filas). Ejemplo: Dos hospitales regionales distintos que entrenan un modelo de detección de cáncer con el mismo tipo de radiografías pero pacientes diferentes.</w:t>
      </w:r>
    </w:p>
    <w:p w:rsidR="00000000" w:rsidDel="00000000" w:rsidP="00000000" w:rsidRDefault="00000000" w:rsidRPr="00000000" w14:paraId="0000001B">
      <w:pPr>
        <w:keepNext w:val="0"/>
        <w:keepLines w:val="0"/>
        <w:pageBreakBefore w:val="0"/>
        <w:widowControl w:val="1"/>
        <w:numPr>
          <w:ilvl w:val="1"/>
          <w:numId w:val="2"/>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rPr>
          <w:color w:val="0000ff"/>
        </w:rPr>
      </w:pPr>
      <w:r w:rsidDel="00000000" w:rsidR="00000000" w:rsidRPr="00000000">
        <w:rPr>
          <w:color w:val="0000ff"/>
          <w:rtl w:val="0"/>
        </w:rPr>
        <w:t xml:space="preserve">Vertical (VFL): Los participantes tienen los mismos usuarios pero diferentes características. Ejemplo: Un banco y una tienda online entrenan un modelo sobre los mismos clientes; el banco tiene datos financieros y la tienda datos de compras.</w:t>
      </w:r>
      <w:r w:rsidDel="00000000" w:rsidR="00000000" w:rsidRPr="00000000">
        <w:rPr>
          <w:rtl w:val="0"/>
        </w:rPr>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200" w:before="0" w:lineRule="auto"/>
        <w:ind w:left="720" w:hanging="360"/>
      </w:pPr>
      <w:r w:rsidDel="00000000" w:rsidR="00000000" w:rsidRPr="00000000">
        <w:rPr>
          <w:b w:val="1"/>
          <w:bCs w:val="1"/>
          <w:color w:val="1f1f1f"/>
          <w:rtl w:val="0"/>
        </w:rPr>
        <w:t xml:space="preserve">Diferencias entre dispositivos transversales (cross-device) vs. silos transversales (cross-silo)</w:t>
      </w:r>
      <w:r w:rsidDel="00000000" w:rsidR="00000000" w:rsidRPr="00000000">
        <w:rPr>
          <w:b w:val="1"/>
          <w:bCs w:val="1"/>
          <w:color w:val="1f1f1f"/>
          <w:rtl w:val="0"/>
        </w:rPr>
        <w:t xml:space="preserv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1"/>
          <w:numId w:val="2"/>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rPr>
          <w:color w:val="0000ff"/>
        </w:rPr>
      </w:pPr>
      <w:r w:rsidDel="00000000" w:rsidR="00000000" w:rsidRPr="00000000">
        <w:rPr>
          <w:color w:val="0000ff"/>
          <w:rtl w:val="0"/>
        </w:rPr>
        <w:t xml:space="preserve">Dispositivos transversales (Cross-device): Millones de dispositivos pequeños (móviles, IoT). La red es inestable, los dispositivos tienen poca batería y pueden desconectarse en cualquier momento. Ejemplo: Autocompletado de teclado en Android.</w:t>
      </w:r>
    </w:p>
    <w:p w:rsidR="00000000" w:rsidDel="00000000" w:rsidP="00000000" w:rsidRDefault="00000000" w:rsidRPr="00000000" w14:paraId="0000001E">
      <w:pPr>
        <w:keepNext w:val="0"/>
        <w:keepLines w:val="0"/>
        <w:pageBreakBefore w:val="0"/>
        <w:widowControl w:val="1"/>
        <w:numPr>
          <w:ilvl w:val="1"/>
          <w:numId w:val="2"/>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rPr>
          <w:color w:val="0000ff"/>
        </w:rPr>
      </w:pPr>
      <w:r w:rsidDel="00000000" w:rsidR="00000000" w:rsidRPr="00000000">
        <w:rPr>
          <w:color w:val="0000ff"/>
          <w:rtl w:val="0"/>
        </w:rPr>
        <w:t xml:space="preserve">Silos transversales (Cross-silo): Pocas entidades grandes (hospitales, bancos) con gran capacidad de cómputo. La conexión es estable y los participantes son conocidos y confiables. Ejemplo: Consorcio de investigación médica entre 5 hospitales.</w:t>
      </w:r>
      <w:r w:rsidDel="00000000" w:rsidR="00000000" w:rsidRPr="00000000">
        <w:rPr>
          <w:rtl w:val="0"/>
        </w:rPr>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200" w:before="0" w:lineRule="auto"/>
        <w:ind w:left="720" w:hanging="360"/>
      </w:pPr>
      <w:r w:rsidDel="00000000" w:rsidR="00000000" w:rsidRPr="00000000">
        <w:rPr>
          <w:b w:val="1"/>
          <w:bCs w:val="1"/>
          <w:color w:val="1f1f1f"/>
          <w:rtl w:val="0"/>
        </w:rPr>
        <w:t xml:space="preserve">Menciona casos de uso relevantes</w:t>
      </w:r>
      <w:r w:rsidDel="00000000" w:rsidR="00000000" w:rsidRPr="00000000">
        <w:rPr>
          <w:b w:val="1"/>
          <w:bCs w:val="1"/>
          <w:color w:val="1f1f1f"/>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2"/>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rPr>
          <w:color w:val="0000ff"/>
        </w:rPr>
      </w:pPr>
      <w:r w:rsidDel="00000000" w:rsidR="00000000" w:rsidRPr="00000000">
        <w:rPr>
          <w:color w:val="0000ff"/>
          <w:rtl w:val="0"/>
        </w:rPr>
        <w:t xml:space="preserve">Predicción de texto en teclados móviles (sin leer lo que escribes).</w:t>
      </w:r>
    </w:p>
    <w:p w:rsidR="00000000" w:rsidDel="00000000" w:rsidP="00000000" w:rsidRDefault="00000000" w:rsidRPr="00000000" w14:paraId="00000021">
      <w:pPr>
        <w:keepNext w:val="0"/>
        <w:keepLines w:val="0"/>
        <w:pageBreakBefore w:val="0"/>
        <w:widowControl w:val="1"/>
        <w:numPr>
          <w:ilvl w:val="1"/>
          <w:numId w:val="2"/>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rPr>
          <w:color w:val="0000ff"/>
        </w:rPr>
      </w:pPr>
      <w:r w:rsidDel="00000000" w:rsidR="00000000" w:rsidRPr="00000000">
        <w:rPr>
          <w:color w:val="0000ff"/>
          <w:rtl w:val="0"/>
        </w:rPr>
        <w:t xml:space="preserve">Diagnóstico médico colaborativo entre hospitales (sin compartir historiales de pacientes).</w:t>
      </w:r>
    </w:p>
    <w:p w:rsidR="00000000" w:rsidDel="00000000" w:rsidP="00000000" w:rsidRDefault="00000000" w:rsidRPr="00000000" w14:paraId="00000022">
      <w:pPr>
        <w:keepNext w:val="0"/>
        <w:keepLines w:val="0"/>
        <w:pageBreakBefore w:val="0"/>
        <w:widowControl w:val="1"/>
        <w:numPr>
          <w:ilvl w:val="1"/>
          <w:numId w:val="2"/>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rPr>
          <w:color w:val="0000ff"/>
        </w:rPr>
      </w:pPr>
      <w:r w:rsidDel="00000000" w:rsidR="00000000" w:rsidRPr="00000000">
        <w:rPr>
          <w:color w:val="0000ff"/>
          <w:rtl w:val="0"/>
        </w:rPr>
        <w:t xml:space="preserve">Detección de fraude bancario entre diferentes entidades financieras.</w:t>
      </w:r>
      <w:r w:rsidDel="00000000" w:rsidR="00000000" w:rsidRPr="00000000">
        <w:rPr>
          <w:rtl w:val="0"/>
        </w:rPr>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200" w:before="0" w:lineRule="auto"/>
        <w:ind w:left="720" w:hanging="360"/>
      </w:pPr>
      <w:r w:rsidDel="00000000" w:rsidR="00000000" w:rsidRPr="00000000">
        <w:rPr>
          <w:b w:val="1"/>
          <w:bCs w:val="1"/>
          <w:color w:val="1f1f1f"/>
          <w:rtl w:val="0"/>
        </w:rPr>
        <w:t xml:space="preserve">Reflexión, ¿Se puede extraer información relacionada con un individuo del modelo resultante?:</w:t>
      </w:r>
      <w:r w:rsidDel="00000000" w:rsidR="00000000" w:rsidRPr="00000000">
        <w:rPr>
          <w:rtl w:val="0"/>
        </w:rPr>
      </w:r>
    </w:p>
    <w:p w:rsidR="00000000" w:rsidDel="00000000" w:rsidP="00000000" w:rsidRDefault="00000000" w:rsidRPr="00000000" w14:paraId="00000024">
      <w:pPr>
        <w:numPr>
          <w:ilvl w:val="1"/>
          <w:numId w:val="2"/>
        </w:numPr>
        <w:pBdr>
          <w:top w:color="auto" w:space="0" w:sz="0" w:val="none"/>
          <w:bottom w:color="auto" w:space="0" w:sz="0" w:val="none"/>
          <w:right w:color="auto" w:space="0" w:sz="0" w:val="none"/>
          <w:between w:color="auto" w:space="0" w:sz="0" w:val="none"/>
        </w:pBdr>
        <w:spacing w:after="200" w:lineRule="auto"/>
        <w:ind w:left="1440" w:hanging="360"/>
      </w:pPr>
      <w:r w:rsidDel="00000000" w:rsidR="00000000" w:rsidRPr="00000000">
        <w:rPr>
          <w:color w:val="0000ff"/>
          <w:rtl w:val="0"/>
        </w:rPr>
        <w:t xml:space="preserve">Sí, es posible. Aunque es mucho más privado que el aprendizaje centralizado, no es infalible. Existen ataques de "Inferencia de Pertenencia" (saber si un dato se usó para entrenar) o "Inversión del Modelo" (reconstruir datos originales a partir de los gradientes enviados). Por eso, el aprendizaje federado suele combinarse con técnicas de Privacidad Diferencial (añadir ruido matemático) para mitigar este riesgo.</w:t>
      </w:r>
      <w:r w:rsidDel="00000000" w:rsidR="00000000" w:rsidRPr="00000000">
        <w:rPr>
          <w:rtl w:val="0"/>
        </w:rPr>
      </w:r>
    </w:p>
    <w:p w:rsidR="00000000" w:rsidDel="00000000" w:rsidP="00000000" w:rsidRDefault="00000000" w:rsidRPr="00000000" w14:paraId="000000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5awx8hc1bss" w:id="2"/>
      <w:bookmarkEnd w:id="2"/>
      <w:r w:rsidDel="00000000" w:rsidR="00000000" w:rsidRPr="00000000">
        <w:rPr>
          <w:b w:val="1"/>
          <w:bCs w:val="1"/>
          <w:color w:val="1f1f1f"/>
          <w:sz w:val="34"/>
          <w:szCs w:val="34"/>
          <w:rtl w:val="0"/>
        </w:rPr>
        <w:t xml:space="preserve">8. Caso Práctico III: Espacio Europeo de Datos de Salud (EEDS)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Referencia:</w:t>
      </w:r>
      <w:r w:rsidDel="00000000" w:rsidR="00000000" w:rsidRPr="00000000">
        <w:rPr>
          <w:color w:val="1f1f1f"/>
          <w:rtl w:val="0"/>
        </w:rPr>
        <w:t xml:space="preserve"> Enlace sobre "¿Qué es el Reglamento sobre el EEDS?".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Cuestiones a resolver:</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after="200" w:lineRule="auto"/>
        <w:ind w:left="720" w:hanging="360"/>
      </w:pPr>
      <w:r w:rsidDel="00000000" w:rsidR="00000000" w:rsidRPr="00000000">
        <w:rPr>
          <w:b w:val="1"/>
          <w:bCs w:val="1"/>
          <w:color w:val="1f1f1f"/>
          <w:rtl w:val="0"/>
        </w:rPr>
        <w:t xml:space="preserve">¿Cuál es el principal objetivo del EEDS?:</w:t>
      </w:r>
      <w:r w:rsidDel="00000000" w:rsidR="00000000" w:rsidRPr="00000000">
        <w:rPr>
          <w:rtl w:val="0"/>
        </w:rPr>
      </w:r>
    </w:p>
    <w:p w:rsidR="00000000" w:rsidDel="00000000" w:rsidP="00000000" w:rsidRDefault="00000000" w:rsidRPr="00000000" w14:paraId="0000002A">
      <w:pPr>
        <w:numPr>
          <w:ilvl w:val="1"/>
          <w:numId w:val="3"/>
        </w:numPr>
        <w:pBdr>
          <w:top w:color="auto" w:space="0" w:sz="0" w:val="none"/>
          <w:bottom w:color="auto" w:space="0" w:sz="0" w:val="none"/>
          <w:right w:color="auto" w:space="0" w:sz="0" w:val="none"/>
          <w:between w:color="auto" w:space="0" w:sz="0" w:val="none"/>
        </w:pBdr>
        <w:spacing w:after="200" w:before="0" w:lineRule="auto"/>
        <w:ind w:left="1440" w:hanging="360"/>
      </w:pPr>
      <w:r w:rsidDel="00000000" w:rsidR="00000000" w:rsidRPr="00000000">
        <w:rPr>
          <w:color w:val="0000ff"/>
          <w:rtl w:val="0"/>
        </w:rPr>
        <w:t xml:space="preserve">Empoderar a las personas para que tengan control total sobre sus propios datos sanitarios (acceso, portabilidad) y, simultáneamente, crear un marco seguro para que investigadores e innovadores puedan aprovechar esos datos para mejorar la medicina y las políticas públicas.</w:t>
      </w:r>
      <w:r w:rsidDel="00000000" w:rsidR="00000000" w:rsidRPr="00000000">
        <w:rPr>
          <w:rtl w:val="0"/>
        </w:rPr>
      </w:r>
    </w:p>
    <w:p w:rsidR="00000000" w:rsidDel="00000000" w:rsidP="00000000" w:rsidRDefault="00000000" w:rsidRPr="00000000" w14:paraId="0000002B">
      <w:pPr>
        <w:numPr>
          <w:ilvl w:val="0"/>
          <w:numId w:val="3"/>
        </w:numPr>
        <w:pBdr>
          <w:top w:color="auto" w:space="0" w:sz="0" w:val="none"/>
          <w:bottom w:color="auto" w:space="0" w:sz="0" w:val="none"/>
          <w:right w:color="auto" w:space="0" w:sz="0" w:val="none"/>
          <w:between w:color="auto" w:space="0" w:sz="0" w:val="none"/>
        </w:pBdr>
        <w:spacing w:after="200" w:before="0" w:lineRule="auto"/>
        <w:ind w:left="720" w:hanging="360"/>
      </w:pPr>
      <w:r w:rsidDel="00000000" w:rsidR="00000000" w:rsidRPr="00000000">
        <w:rPr>
          <w:b w:val="1"/>
          <w:bCs w:val="1"/>
          <w:color w:val="1f1f1f"/>
          <w:rtl w:val="0"/>
        </w:rPr>
        <w:t xml:space="preserve">En qué consiste el Uso Primario de Datos y el Uso Secundario de Datos</w:t>
      </w:r>
      <w:r w:rsidDel="00000000" w:rsidR="00000000" w:rsidRPr="00000000">
        <w:rPr>
          <w:b w:val="1"/>
          <w:bCs w:val="1"/>
          <w:color w:val="1f1f1f"/>
          <w:rtl w:val="0"/>
        </w:rPr>
        <w:t xml:space="preserv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3"/>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pPr>
      <w:r w:rsidDel="00000000" w:rsidR="00000000" w:rsidRPr="00000000">
        <w:rPr>
          <w:b w:val="1"/>
          <w:bCs w:val="1"/>
          <w:color w:val="0000ff"/>
          <w:rtl w:val="0"/>
        </w:rPr>
        <w:t xml:space="preserve">Uso Primario: </w:t>
      </w:r>
      <w:r w:rsidDel="00000000" w:rsidR="00000000" w:rsidRPr="00000000">
        <w:rPr>
          <w:color w:val="0000ff"/>
          <w:rtl w:val="0"/>
        </w:rPr>
        <w:t xml:space="preserve">Es el uso de los datos para la atención sanitaria directa del paciente. Permite que un médico en cualquier lugar de la UE pueda ver el historial de un paciente (recetas, alergias, informes) para tratarle adecuadamente, independientemente de dónde se generaron los datos.</w:t>
      </w:r>
    </w:p>
    <w:p w:rsidR="00000000" w:rsidDel="00000000" w:rsidP="00000000" w:rsidRDefault="00000000" w:rsidRPr="00000000" w14:paraId="0000002D">
      <w:pPr>
        <w:keepNext w:val="0"/>
        <w:keepLines w:val="0"/>
        <w:pageBreakBefore w:val="0"/>
        <w:widowControl w:val="1"/>
        <w:numPr>
          <w:ilvl w:val="1"/>
          <w:numId w:val="3"/>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pPr>
      <w:r w:rsidDel="00000000" w:rsidR="00000000" w:rsidRPr="00000000">
        <w:rPr>
          <w:b w:val="1"/>
          <w:bCs w:val="1"/>
          <w:color w:val="0000ff"/>
          <w:rtl w:val="0"/>
        </w:rPr>
        <w:t xml:space="preserve">Uso Secundario: </w:t>
      </w:r>
      <w:r w:rsidDel="00000000" w:rsidR="00000000" w:rsidRPr="00000000">
        <w:rPr>
          <w:color w:val="0000ff"/>
          <w:rtl w:val="0"/>
        </w:rPr>
        <w:t xml:space="preserve">Es el uso de los datos agregados y anonimizados/seudonimizados para fines distintos a la atención directa, como investigación científica, desarrollo de nuevos medicamentos, entrenamiento de IA, o elaboración de políticas sanitarias (estadísticas).</w:t>
      </w:r>
      <w:r w:rsidDel="00000000" w:rsidR="00000000" w:rsidRPr="00000000">
        <w:rPr>
          <w:rtl w:val="0"/>
        </w:rPr>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200" w:before="0" w:lineRule="auto"/>
        <w:ind w:left="720" w:hanging="360"/>
      </w:pPr>
      <w:r w:rsidDel="00000000" w:rsidR="00000000" w:rsidRPr="00000000">
        <w:rPr>
          <w:b w:val="1"/>
          <w:bCs w:val="1"/>
          <w:color w:val="1f1f1f"/>
          <w:rtl w:val="0"/>
        </w:rPr>
        <w:t xml:space="preserve">¿Estaremos obligados a ceder nuestros datos tanto en el uso primario como en el secundario?</w:t>
      </w:r>
      <w:r w:rsidDel="00000000" w:rsidR="00000000" w:rsidRPr="00000000">
        <w:rPr>
          <w:b w:val="1"/>
          <w:bCs w:val="1"/>
          <w:color w:val="1f1f1f"/>
          <w:rtl w:val="0"/>
        </w:rPr>
        <w:t xml:space="preserv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3"/>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pPr>
      <w:r w:rsidDel="00000000" w:rsidR="00000000" w:rsidRPr="00000000">
        <w:rPr>
          <w:b w:val="1"/>
          <w:bCs w:val="1"/>
          <w:color w:val="0000ff"/>
          <w:rtl w:val="0"/>
        </w:rPr>
        <w:t xml:space="preserve">Uso Primario: </w:t>
      </w:r>
      <w:r w:rsidDel="00000000" w:rsidR="00000000" w:rsidRPr="00000000">
        <w:rPr>
          <w:color w:val="0000ff"/>
          <w:rtl w:val="0"/>
        </w:rPr>
        <w:t xml:space="preserve">Sí, en el sentido de que los prestadores de salud están obligados a poner los datos a disposición del sistema para garantizar la continuidad asistencial del paciente.</w:t>
      </w:r>
    </w:p>
    <w:p w:rsidR="00000000" w:rsidDel="00000000" w:rsidP="00000000" w:rsidRDefault="00000000" w:rsidRPr="00000000" w14:paraId="00000030">
      <w:pPr>
        <w:keepNext w:val="0"/>
        <w:keepLines w:val="0"/>
        <w:pageBreakBefore w:val="0"/>
        <w:widowControl w:val="1"/>
        <w:numPr>
          <w:ilvl w:val="1"/>
          <w:numId w:val="3"/>
        </w:numPr>
        <w:pBdr>
          <w:top w:color="auto" w:space="0" w:sz="0" w:val="none"/>
          <w:left w:space="0" w:sz="0" w:val="nil"/>
          <w:bottom w:color="auto" w:space="0" w:sz="0" w:val="none"/>
          <w:right w:color="auto" w:space="0" w:sz="0" w:val="none"/>
          <w:between w:color="auto" w:space="0" w:sz="0" w:val="none"/>
        </w:pBdr>
        <w:shd w:fill="auto" w:val="clear"/>
        <w:spacing w:after="200" w:before="0" w:line="276" w:lineRule="auto"/>
        <w:ind w:left="1440" w:right="0" w:hanging="360"/>
        <w:jc w:val="left"/>
      </w:pPr>
      <w:r w:rsidDel="00000000" w:rsidR="00000000" w:rsidRPr="00000000">
        <w:rPr>
          <w:b w:val="1"/>
          <w:bCs w:val="1"/>
          <w:color w:val="0000ff"/>
          <w:rtl w:val="0"/>
        </w:rPr>
        <w:t xml:space="preserve">Uso Secundario:</w:t>
      </w:r>
      <w:r w:rsidDel="00000000" w:rsidR="00000000" w:rsidRPr="00000000">
        <w:rPr>
          <w:color w:val="0000ff"/>
          <w:rtl w:val="0"/>
        </w:rPr>
        <w:t xml:space="preserve"> El reglamento establece que los datos se pondrán a disposición de organismos de acceso con fines de interés público. Generalmente no requiere el consentimiento explícito de cada paciente para cada estudio (ya que haría inviable la investigación a gran escala), pero se hace bajo estrictas garantías de privacidad (sin revelar identidad). Nota: Existen debates actuales sobre el derecho de oposición (opt-out) del ciudadano para el uso secundario.</w:t>
      </w:r>
      <w:r w:rsidDel="00000000" w:rsidR="00000000" w:rsidRPr="00000000">
        <w:rPr>
          <w:rtl w:val="0"/>
        </w:rPr>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200" w:before="0" w:lineRule="auto"/>
        <w:ind w:left="720" w:hanging="360"/>
      </w:pPr>
      <w:r w:rsidDel="00000000" w:rsidR="00000000" w:rsidRPr="00000000">
        <w:rPr>
          <w:b w:val="1"/>
          <w:bCs w:val="1"/>
          <w:color w:val="1f1f1f"/>
          <w:rtl w:val="0"/>
        </w:rPr>
        <w:t xml:space="preserve">Define el ámbito de aplicación del reglamento</w:t>
      </w:r>
      <w:r w:rsidDel="00000000" w:rsidR="00000000" w:rsidRPr="00000000">
        <w:rPr>
          <w:b w:val="1"/>
          <w:bCs w:val="1"/>
          <w:color w:val="1f1f1f"/>
          <w:rtl w:val="0"/>
        </w:rPr>
        <w:t xml:space="preserve">:</w:t>
      </w:r>
      <w:r w:rsidDel="00000000" w:rsidR="00000000" w:rsidRPr="00000000">
        <w:rPr>
          <w:rtl w:val="0"/>
        </w:rPr>
      </w:r>
    </w:p>
    <w:p w:rsidR="00000000" w:rsidDel="00000000" w:rsidP="00000000" w:rsidRDefault="00000000" w:rsidRPr="00000000" w14:paraId="00000032">
      <w:pPr>
        <w:numPr>
          <w:ilvl w:val="1"/>
          <w:numId w:val="3"/>
        </w:numPr>
        <w:pBdr>
          <w:top w:color="auto" w:space="0" w:sz="0" w:val="none"/>
          <w:bottom w:color="auto" w:space="0" w:sz="0" w:val="none"/>
          <w:right w:color="auto" w:space="0" w:sz="0" w:val="none"/>
          <w:between w:color="auto" w:space="0" w:sz="0" w:val="none"/>
        </w:pBdr>
        <w:spacing w:after="200" w:lineRule="auto"/>
        <w:ind w:left="1440" w:hanging="360"/>
      </w:pPr>
      <w:r w:rsidDel="00000000" w:rsidR="00000000" w:rsidRPr="00000000">
        <w:rPr>
          <w:color w:val="0000ff"/>
          <w:rtl w:val="0"/>
        </w:rPr>
        <w:t xml:space="preserve">Aplica a toda la Unión Europea. Abarca a los prestadores de asistencia sanitaria, los fabricantes de sistemas de historiales médicos electrónicos (HME), las aplicaciones de bienestar y los organismos públicos encargados de la gestión de datos de salud. Cubre tanto los datos electrónicos personales de salud como los datos genéticos y socioeconómicos relacionados con la salud.</w:t>
      </w:r>
      <w:r w:rsidDel="00000000" w:rsidR="00000000" w:rsidRPr="00000000">
        <w:rPr>
          <w:rtl w:val="0"/>
        </w:rPr>
      </w:r>
    </w:p>
    <w:p w:rsidR="00000000" w:rsidDel="00000000" w:rsidP="00000000" w:rsidRDefault="00000000" w:rsidRPr="00000000" w14:paraId="0000003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