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6"/>
          <w:szCs w:val="36"/>
        </w:rPr>
      </w:pPr>
      <w:bookmarkStart w:colFirst="0" w:colLast="0" w:name="_c8x79qdkghgn" w:id="0"/>
      <w:bookmarkEnd w:id="0"/>
      <w:r w:rsidDel="00000000" w:rsidR="00000000" w:rsidRPr="00000000">
        <w:rPr>
          <w:sz w:val="36"/>
          <w:szCs w:val="36"/>
          <w:rtl w:val="0"/>
        </w:rPr>
        <w:t xml:space="preserve">Proyecciones de caracteres consumidos:  50 M, 80 M, 400 M y 1.200 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 Millones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Voces Neuronales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Voces Estándar (Sistema Experto)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80 Millones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Voces Neuronales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Voces Estándar (Sistema Experto)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400 Millones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Voces Neuronales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Voces Estándar (Sistema Experto)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1200 Millones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Voces Neuronales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Voces Estándar (Sistema Experto)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center"/>
        <w:rPr>
          <w:color w:val="1f1f1f"/>
          <w:sz w:val="34"/>
          <w:szCs w:val="34"/>
        </w:rPr>
      </w:pPr>
      <w:bookmarkStart w:colFirst="0" w:colLast="0" w:name="_n5ozxxaefias" w:id="1"/>
      <w:bookmarkEnd w:id="1"/>
      <w:r w:rsidDel="00000000" w:rsidR="00000000" w:rsidRPr="00000000">
        <w:rPr>
          <w:b w:val="1"/>
          <w:bCs w:val="1"/>
          <w:color w:val="1f1f1f"/>
          <w:rtl w:val="0"/>
        </w:rPr>
        <w:t xml:space="preserve">Propuesta de Selección de Proveedor TTS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6hwx7ce1ajn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Comparativa de Tecnologías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análisis se divide en dos vertientes tecnológicas principales para la generación de voz: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Voces Neuronales (Neural TTS):</w:t>
      </w:r>
      <w:r w:rsidDel="00000000" w:rsidR="00000000" w:rsidRPr="00000000">
        <w:rPr>
          <w:color w:val="1f1f1f"/>
          <w:rtl w:val="0"/>
        </w:rPr>
        <w:t xml:space="preserve"> Utilizan redes neuronales para generar un habla de alta calidad que suena más natural y similar a la humana.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Voces Estándar (Sistema Experto):</w:t>
      </w:r>
      <w:r w:rsidDel="00000000" w:rsidR="00000000" w:rsidRPr="00000000">
        <w:rPr>
          <w:color w:val="1f1f1f"/>
          <w:rtl w:val="0"/>
        </w:rPr>
        <w:t xml:space="preserve"> Tecnología basada en sistemas expertos tradicionales, con un coste significativamente menor pero una prosodia menos natural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jw8mxds0x18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Estructura de Costes Unitarios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Basado en los cálculos del laboratorio, el coste por carácter se define de la siguiente manera: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Coste Unitario Neural:</w:t>
      </w:r>
      <w:r w:rsidDel="00000000" w:rsidR="00000000" w:rsidRPr="00000000">
        <w:rPr>
          <w:color w:val="1f1f1f"/>
          <w:rtl w:val="0"/>
        </w:rPr>
        <w:t xml:space="preserve"> $0.000016$ USD por carácter.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Coste Unitario Estándar:</w:t>
      </w:r>
      <w:r w:rsidDel="00000000" w:rsidR="00000000" w:rsidRPr="00000000">
        <w:rPr>
          <w:color w:val="1f1f1f"/>
          <w:rtl w:val="0"/>
        </w:rPr>
        <w:t xml:space="preserve"> $0.000004$ USD por carácter.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0" w:firstLine="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isn6dwhwndd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Proyecciones de Gasto Mensual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color w:val="1f1f1f"/>
          <w:rtl w:val="0"/>
        </w:rPr>
        <w:t xml:space="preserve">A continuación, se detallan los costes mensuales proyectados según el volumen de caracteres consumidos (incluyendo espacios en blanco):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kyot728o6xq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Escenarios de Bajo Volumen (50 M - 80 M)</w:t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3180"/>
        <w:gridCol w:w="2910"/>
        <w:tblGridChange w:id="0">
          <w:tblGrid>
            <w:gridCol w:w="2415"/>
            <w:gridCol w:w="3180"/>
            <w:gridCol w:w="29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Volumen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Coste Voces Neuronales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Coste Voces Estándar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 Millones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$800.00$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$200.00$ USD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80 Millones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$1,280.00$ USD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$320.00$ 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4mviun04z8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mbiwkx3s86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rzcvqmstrb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3ku31s7h80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vqo1madh0p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hc1b7cbvejf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Escenarios de Alto Volumen (400 M - 1.200 M)</w:t>
      </w:r>
    </w:p>
    <w:tbl>
      <w:tblPr>
        <w:tblStyle w:val="Table2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3180"/>
        <w:gridCol w:w="2910"/>
        <w:tblGridChange w:id="0">
          <w:tblGrid>
            <w:gridCol w:w="2415"/>
            <w:gridCol w:w="3180"/>
            <w:gridCol w:w="29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Volumen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Coste Voces Neuronales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Coste Voces Estándar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400 Millones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$6,400.00$ USD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$1,600.00$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1.200 Millones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$19,200.00$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$4,800.00$ 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