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Content>
        <w:p w14:paraId="135B5E45" w14:textId="43735942" w:rsidR="008F570F" w:rsidRDefault="00000000">
          <w:r>
            <w:rPr>
              <w:noProof/>
            </w:rPr>
            <w:pict w14:anchorId="3BC7F41B">
              <v:group id="Group 193" o:spid="_x0000_s2057"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f07f09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f07f09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000000">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CDE1C7" w14:textId="47BE80FA" w:rsidR="008F570F" w:rsidRPr="008F570F" w:rsidRDefault="008F570F">
                            <w:pPr>
                              <w:pStyle w:val="NoSpacing"/>
                              <w:jc w:val="center"/>
                              <w:rPr>
                                <w:rFonts w:asciiTheme="majorHAnsi" w:eastAsiaTheme="majorEastAsia" w:hAnsiTheme="majorHAnsi" w:cstheme="majorBidi"/>
                                <w:b/>
                                <w:bCs/>
                                <w:caps/>
                                <w:color w:val="F07F09"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7777777" w:rsidR="00403EA1" w:rsidRPr="00BB1FD3" w:rsidRDefault="00403EA1" w:rsidP="00257317">
            <w:pPr>
              <w:spacing w:before="0" w:after="0"/>
            </w:pP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7777777" w:rsidR="00403EA1" w:rsidRPr="00BB1FD3" w:rsidRDefault="00403EA1" w:rsidP="00257317">
            <w:pPr>
              <w:pStyle w:val="NoSpacing"/>
            </w:pP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eastAsia="Times New Roman" w:cs="Arial"/>
          <w:caps w:val="0"/>
          <w:color w:val="000000"/>
          <w:spacing w:val="0"/>
          <w:sz w:val="20"/>
          <w:szCs w:val="20"/>
          <w:lang w:eastAsia="en-AU"/>
        </w:rPr>
        <w:id w:val="-1566095549"/>
        <w:docPartObj>
          <w:docPartGallery w:val="Table of Contents"/>
          <w:docPartUnique/>
        </w:docPartObj>
      </w:sdtPr>
      <w:sdtEndPr>
        <w:rPr>
          <w:rFonts w:eastAsiaTheme="minorEastAsia" w:cstheme="minorBidi"/>
          <w:b/>
          <w:bCs/>
          <w:noProof/>
          <w:color w:val="auto"/>
          <w:lang w:eastAsia="en-US"/>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000000">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000000">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000000">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eastAsia="zh-CN"/>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lastRenderedPageBreak/>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2F17A3C6">
            <wp:simplePos x="0" y="0"/>
            <wp:positionH relativeFrom="column">
              <wp:posOffset>3568700</wp:posOffset>
            </wp:positionH>
            <wp:positionV relativeFrom="paragraph">
              <wp:posOffset>5715</wp:posOffset>
            </wp:positionV>
            <wp:extent cx="2381250" cy="113919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https://en.wikipedia.org/wiki/Machine_(patent)</w:t>
        </w:r>
      </w:hyperlink>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6D3E4EAA" w14:textId="4F6C6F56" w:rsidR="00D933B2" w:rsidRDefault="00AA32CE" w:rsidP="006505CF">
      <w:pPr>
        <w:spacing w:after="0"/>
        <w:rPr>
          <w:bCs/>
          <w:color w:val="0E233D"/>
          <w:sz w:val="22"/>
        </w:rPr>
      </w:pPr>
      <w:r w:rsidRPr="00E44ED5">
        <w:rPr>
          <w:bCs/>
          <w:color w:val="0E233D"/>
          <w:sz w:val="22"/>
          <w:szCs w:val="22"/>
          <w:highlight w:val="yellow"/>
        </w:rPr>
        <w:t>Comment: machine and composition of matter are patented.  Process could be thought is part of patented. So the best answer is d.</w:t>
      </w: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hint="eastAsia"/>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lastRenderedPageBreak/>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2482D75B" w14:textId="176FE8A0" w:rsidR="000720D9" w:rsidRPr="006505CF" w:rsidRDefault="000720D9" w:rsidP="000720D9">
      <w:pPr>
        <w:pStyle w:val="ListParagraph"/>
        <w:numPr>
          <w:ilvl w:val="1"/>
          <w:numId w:val="32"/>
        </w:numPr>
        <w:spacing w:after="0"/>
        <w:rPr>
          <w:bCs/>
          <w:color w:val="0E233D"/>
          <w:sz w:val="22"/>
        </w:rPr>
      </w:pPr>
      <w:r w:rsidRPr="006505CF">
        <w:rPr>
          <w:bCs/>
          <w:color w:val="0E233D"/>
          <w:sz w:val="22"/>
          <w:highlight w:val="yellow"/>
        </w:rPr>
        <w:t>The claimant's designer must have created the design for the claimant's product in the form of a drawing or a model that is an artistic work.</w:t>
      </w:r>
    </w:p>
    <w:p w14:paraId="4A8C7355" w14:textId="6D1BCB14" w:rsidR="00AB4DA4" w:rsidRDefault="00B4180A">
      <w:pPr>
        <w:spacing w:before="0"/>
        <w:rPr>
          <w:rFonts w:ascii="Calibri" w:eastAsia="SimSun" w:hAnsi="Calibri" w:cs="Times New Roman"/>
          <w:bCs/>
          <w:color w:val="0E233D"/>
          <w:sz w:val="22"/>
          <w:szCs w:val="22"/>
        </w:rPr>
      </w:pPr>
      <w:r>
        <w:rPr>
          <w:bCs/>
          <w:color w:val="0E233D"/>
          <w:sz w:val="22"/>
        </w:rPr>
        <w:t xml:space="preserve">Refer: </w:t>
      </w:r>
      <w:hyperlink r:id="rId22" w:tgtFrame="_new" w:history="1">
        <w:r>
          <w:rPr>
            <w:rStyle w:val="Hyperlink"/>
            <w:rFonts w:ascii="Segoe UI" w:hAnsi="Segoe UI" w:cs="Segoe UI"/>
            <w:bdr w:val="single" w:sz="2" w:space="0" w:color="D9D9E3" w:frame="1"/>
            <w:shd w:val="clear" w:color="auto" w:fill="F7F7F8"/>
          </w:rPr>
          <w:t>https://www.copyright.gov/title17/</w:t>
        </w:r>
      </w:hyperlink>
      <w:r w:rsidR="00AB4DA4">
        <w:rPr>
          <w:bCs/>
          <w:color w:val="0E233D"/>
          <w:sz w:val="22"/>
        </w:rPr>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58439FF5" w:rsidR="000720D9" w:rsidRPr="001F0E05" w:rsidRDefault="00B4180A" w:rsidP="000720D9">
      <w:pPr>
        <w:spacing w:after="0"/>
        <w:rPr>
          <w:bCs/>
          <w:color w:val="0E233D"/>
          <w:sz w:val="22"/>
          <w:szCs w:val="22"/>
        </w:rPr>
      </w:pPr>
      <w:r>
        <w:rPr>
          <w:bCs/>
          <w:color w:val="0E233D"/>
          <w:sz w:val="22"/>
          <w:szCs w:val="22"/>
        </w:rPr>
        <w:t xml:space="preserve">Refer: </w:t>
      </w:r>
      <w:hyperlink r:id="rId23" w:tgtFrame="_new" w:history="1">
        <w:r>
          <w:rPr>
            <w:rStyle w:val="Hyperlink"/>
            <w:rFonts w:ascii="Segoe UI" w:hAnsi="Segoe UI" w:cs="Segoe UI"/>
            <w:bdr w:val="single" w:sz="2" w:space="0" w:color="D9D9E3" w:frame="1"/>
            <w:shd w:val="clear" w:color="auto" w:fill="F7F7F8"/>
          </w:rPr>
          <w:t>https://www.copyright.gov/title17/</w:t>
        </w:r>
      </w:hyperlink>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1E259021" w:rsidR="000720D9" w:rsidRPr="001F0E05" w:rsidRDefault="00B4180A" w:rsidP="000720D9">
      <w:pPr>
        <w:spacing w:after="0"/>
        <w:rPr>
          <w:bCs/>
          <w:color w:val="0E233D"/>
          <w:sz w:val="22"/>
          <w:szCs w:val="22"/>
        </w:rPr>
      </w:pPr>
      <w:r>
        <w:rPr>
          <w:bCs/>
          <w:color w:val="0E233D"/>
          <w:sz w:val="22"/>
          <w:szCs w:val="22"/>
        </w:rPr>
        <w:t xml:space="preserve">Refer: </w:t>
      </w:r>
      <w:hyperlink r:id="rId24" w:tgtFrame="_new" w:history="1">
        <w:r>
          <w:rPr>
            <w:rStyle w:val="Hyperlink"/>
            <w:rFonts w:ascii="Segoe UI" w:hAnsi="Segoe UI" w:cs="Segoe UI"/>
            <w:bdr w:val="single" w:sz="2" w:space="0" w:color="D9D9E3" w:frame="1"/>
            <w:shd w:val="clear" w:color="auto" w:fill="F7F7F8"/>
          </w:rPr>
          <w:t>https://www.plagiarism.org/article/what-is-plagiarism</w:t>
        </w:r>
      </w:hyperlink>
      <w:r>
        <w:rPr>
          <w:rFonts w:ascii="Segoe UI" w:hAnsi="Segoe UI" w:cs="Segoe UI"/>
          <w:color w:val="374151"/>
          <w:shd w:val="clear" w:color="auto" w:fill="F7F7F8"/>
        </w:rPr>
        <w:t>)</w:t>
      </w: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0EB85C7C" w:rsidR="000720D9" w:rsidRPr="001F0E05" w:rsidRDefault="00B4180A" w:rsidP="000720D9">
      <w:pPr>
        <w:spacing w:after="0"/>
        <w:rPr>
          <w:bCs/>
          <w:color w:val="0E233D"/>
          <w:sz w:val="22"/>
          <w:szCs w:val="22"/>
        </w:rPr>
      </w:pPr>
      <w:r>
        <w:rPr>
          <w:bCs/>
          <w:color w:val="0E233D"/>
          <w:sz w:val="22"/>
          <w:szCs w:val="22"/>
        </w:rPr>
        <w:t xml:space="preserve">Refer: </w:t>
      </w:r>
      <w:hyperlink r:id="rId25" w:tgtFrame="_new" w:history="1">
        <w:r>
          <w:rPr>
            <w:rStyle w:val="Hyperlink"/>
            <w:rFonts w:ascii="Segoe UI" w:hAnsi="Segoe UI" w:cs="Segoe UI"/>
            <w:bdr w:val="single" w:sz="2" w:space="0" w:color="D9D9E3" w:frame="1"/>
            <w:shd w:val="clear" w:color="auto" w:fill="F7F7F8"/>
          </w:rPr>
          <w:t>https://www.copyright.gov/title17/</w:t>
        </w:r>
      </w:hyperlink>
      <w:r>
        <w:rPr>
          <w:rFonts w:ascii="Segoe UI" w:hAnsi="Segoe UI" w:cs="Segoe UI"/>
          <w:color w:val="374151"/>
          <w:shd w:val="clear" w:color="auto" w:fill="F7F7F8"/>
        </w:rPr>
        <w:t>)</w:t>
      </w: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6017849F" w:rsidR="000720D9" w:rsidRPr="001F0E05" w:rsidRDefault="00B4180A" w:rsidP="000720D9">
      <w:pPr>
        <w:spacing w:after="0"/>
        <w:rPr>
          <w:bCs/>
          <w:color w:val="0E233D"/>
          <w:sz w:val="22"/>
        </w:rPr>
      </w:pPr>
      <w:r>
        <w:rPr>
          <w:bCs/>
          <w:color w:val="0E233D"/>
          <w:sz w:val="22"/>
        </w:rPr>
        <w:t xml:space="preserve">Refer: </w:t>
      </w:r>
      <w:hyperlink r:id="rId26" w:tgtFrame="_new" w:history="1">
        <w:r>
          <w:rPr>
            <w:rStyle w:val="Hyperlink"/>
            <w:rFonts w:ascii="Segoe UI" w:hAnsi="Segoe UI" w:cs="Segoe UI"/>
            <w:bdr w:val="single" w:sz="2" w:space="0" w:color="D9D9E3" w:frame="1"/>
            <w:shd w:val="clear" w:color="auto" w:fill="F7F7F8"/>
          </w:rPr>
          <w:t>https://www.copyright.gov/title17/</w:t>
        </w:r>
      </w:hyperlink>
      <w:r>
        <w:rPr>
          <w:rFonts w:ascii="Segoe UI" w:hAnsi="Segoe UI" w:cs="Segoe UI"/>
          <w:color w:val="374151"/>
          <w:shd w:val="clear" w:color="auto" w:fill="F7F7F8"/>
        </w:rPr>
        <w:t>)</w:t>
      </w: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2A9A88" w:rsidR="000720D9" w:rsidRPr="001F0E05" w:rsidRDefault="00B4180A" w:rsidP="000720D9">
      <w:pPr>
        <w:spacing w:after="0"/>
        <w:rPr>
          <w:bCs/>
          <w:color w:val="0E233D"/>
          <w:sz w:val="22"/>
        </w:rPr>
      </w:pPr>
      <w:r>
        <w:rPr>
          <w:bCs/>
          <w:color w:val="0E233D"/>
          <w:sz w:val="22"/>
        </w:rPr>
        <w:t xml:space="preserve">Refer: </w:t>
      </w:r>
      <w:hyperlink r:id="rId27" w:tgtFrame="_new" w:history="1">
        <w:r>
          <w:rPr>
            <w:rStyle w:val="Hyperlink"/>
            <w:rFonts w:ascii="Segoe UI" w:hAnsi="Segoe UI" w:cs="Segoe UI"/>
            <w:bdr w:val="single" w:sz="2" w:space="0" w:color="D9D9E3" w:frame="1"/>
            <w:shd w:val="clear" w:color="auto" w:fill="F7F7F8"/>
          </w:rPr>
          <w:t>https://www.copyright.gov/title17/</w:t>
        </w:r>
      </w:hyperlink>
      <w:r>
        <w:rPr>
          <w:rFonts w:ascii="Segoe UI" w:hAnsi="Segoe UI" w:cs="Segoe UI"/>
          <w:color w:val="374151"/>
          <w:shd w:val="clear" w:color="auto" w:fill="F7F7F8"/>
        </w:rPr>
        <w:t>)</w:t>
      </w: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4C7CD623" w:rsidR="000720D9" w:rsidRPr="001F0E05" w:rsidRDefault="00B4180A" w:rsidP="000720D9">
      <w:pPr>
        <w:spacing w:after="0"/>
        <w:rPr>
          <w:bCs/>
          <w:color w:val="0E233D"/>
          <w:sz w:val="22"/>
        </w:rPr>
      </w:pPr>
      <w:r>
        <w:rPr>
          <w:bCs/>
          <w:color w:val="0E233D"/>
          <w:sz w:val="22"/>
        </w:rPr>
        <w:lastRenderedPageBreak/>
        <w:t xml:space="preserve">Refer: </w:t>
      </w:r>
      <w:hyperlink r:id="rId28" w:tgtFrame="_new" w:history="1">
        <w:r>
          <w:rPr>
            <w:rStyle w:val="Hyperlink"/>
            <w:rFonts w:ascii="Segoe UI" w:hAnsi="Segoe UI" w:cs="Segoe UI"/>
            <w:bdr w:val="single" w:sz="2" w:space="0" w:color="D9D9E3" w:frame="1"/>
            <w:shd w:val="clear" w:color="auto" w:fill="F7F7F8"/>
          </w:rPr>
          <w:t>https://www.copyright.gov/title17/</w:t>
        </w:r>
      </w:hyperlink>
      <w:r>
        <w:rPr>
          <w:rFonts w:ascii="Segoe UI" w:hAnsi="Segoe UI" w:cs="Segoe UI"/>
          <w:color w:val="374151"/>
          <w:shd w:val="clear" w:color="auto" w:fill="F7F7F8"/>
        </w:rPr>
        <w:t>)</w:t>
      </w:r>
    </w:p>
    <w:p w14:paraId="5D848899"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59CA4DB5" w:rsidR="000720D9" w:rsidRDefault="00B4180A" w:rsidP="000720D9">
      <w:pPr>
        <w:spacing w:after="0"/>
        <w:rPr>
          <w:rFonts w:ascii="Segoe UI" w:hAnsi="Segoe UI" w:cs="Segoe UI"/>
          <w:color w:val="374151"/>
          <w:shd w:val="clear" w:color="auto" w:fill="F7F7F8"/>
        </w:rPr>
      </w:pPr>
      <w:r>
        <w:rPr>
          <w:bCs/>
          <w:color w:val="0E233D"/>
          <w:sz w:val="22"/>
        </w:rPr>
        <w:t xml:space="preserve">Refer: </w:t>
      </w:r>
      <w:r>
        <w:rPr>
          <w:rFonts w:ascii="Segoe UI" w:hAnsi="Segoe UI" w:cs="Segoe UI"/>
          <w:color w:val="374151"/>
          <w:shd w:val="clear" w:color="auto" w:fill="F7F7F8"/>
        </w:rPr>
        <w:t>It is a hypothetical scenario and requires interpretation based on copyright law principles.</w:t>
      </w:r>
      <w:r>
        <w:rPr>
          <w:rFonts w:ascii="Segoe UI" w:hAnsi="Segoe UI" w:cs="Segoe UI"/>
          <w:color w:val="374151"/>
          <w:shd w:val="clear" w:color="auto" w:fill="F7F7F8"/>
        </w:rPr>
        <w:t xml:space="preserve"> (</w:t>
      </w:r>
      <w:hyperlink r:id="rId29" w:history="1">
        <w:r w:rsidRPr="00A6077E">
          <w:rPr>
            <w:rStyle w:val="Hyperlink"/>
            <w:rFonts w:ascii="Segoe UI" w:hAnsi="Segoe UI" w:cs="Segoe UI"/>
            <w:shd w:val="clear" w:color="auto" w:fill="F7F7F8"/>
          </w:rPr>
          <w:t>https://www.artslaw.com.au/information-sheet/copyright/</w:t>
        </w:r>
      </w:hyperlink>
      <w:r>
        <w:rPr>
          <w:rFonts w:ascii="Segoe UI" w:hAnsi="Segoe UI" w:cs="Segoe UI"/>
          <w:color w:val="374151"/>
          <w:shd w:val="clear" w:color="auto" w:fill="F7F7F8"/>
        </w:rPr>
        <w:t xml:space="preserve">) </w:t>
      </w:r>
    </w:p>
    <w:p w14:paraId="33CEA92A" w14:textId="77777777" w:rsidR="00B4180A" w:rsidRPr="001F0E05" w:rsidRDefault="00B4180A"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lastRenderedPageBreak/>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451446DA" w14:textId="77777777" w:rsidR="00B4180A" w:rsidRPr="00B4180A" w:rsidRDefault="00B4180A" w:rsidP="00B4180A">
      <w:pPr>
        <w:pStyle w:val="ListParagraph"/>
        <w:spacing w:after="0"/>
        <w:ind w:left="360"/>
        <w:rPr>
          <w:rFonts w:ascii="Segoe UI" w:hAnsi="Segoe UI" w:cs="Segoe UI"/>
          <w:color w:val="374151"/>
          <w:shd w:val="clear" w:color="auto" w:fill="F7F7F8"/>
        </w:rPr>
      </w:pPr>
      <w:r w:rsidRPr="00B4180A">
        <w:rPr>
          <w:bCs/>
          <w:color w:val="0E233D"/>
          <w:sz w:val="22"/>
        </w:rPr>
        <w:t xml:space="preserve">Refer: </w:t>
      </w:r>
      <w:r w:rsidRPr="00B4180A">
        <w:rPr>
          <w:rFonts w:ascii="Segoe UI" w:hAnsi="Segoe UI" w:cs="Segoe UI"/>
          <w:color w:val="374151"/>
          <w:shd w:val="clear" w:color="auto" w:fill="F7F7F8"/>
        </w:rPr>
        <w:t>It is a hypothetical scenario and requires interpretation based on copyright law principles. (</w:t>
      </w:r>
      <w:hyperlink r:id="rId30" w:history="1">
        <w:r w:rsidRPr="00B4180A">
          <w:rPr>
            <w:rStyle w:val="Hyperlink"/>
            <w:rFonts w:ascii="Segoe UI" w:hAnsi="Segoe UI" w:cs="Segoe UI"/>
            <w:shd w:val="clear" w:color="auto" w:fill="F7F7F8"/>
          </w:rPr>
          <w:t>https://www.artslaw.com.au/information-sheet/copyright/</w:t>
        </w:r>
      </w:hyperlink>
      <w:r w:rsidRPr="00B4180A">
        <w:rPr>
          <w:rFonts w:ascii="Segoe UI" w:hAnsi="Segoe UI" w:cs="Segoe UI"/>
          <w:color w:val="374151"/>
          <w:shd w:val="clear" w:color="auto" w:fill="F7F7F8"/>
        </w:rPr>
        <w:t xml:space="preserve">) </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458119CF" w14:textId="77777777" w:rsidR="00B4180A" w:rsidRDefault="00B4180A" w:rsidP="00B4180A">
      <w:pPr>
        <w:spacing w:after="0"/>
        <w:rPr>
          <w:rFonts w:ascii="Segoe UI" w:hAnsi="Segoe UI" w:cs="Segoe UI"/>
          <w:color w:val="374151"/>
          <w:shd w:val="clear" w:color="auto" w:fill="F7F7F8"/>
        </w:rPr>
      </w:pPr>
      <w:r>
        <w:rPr>
          <w:bCs/>
          <w:color w:val="0E233D"/>
          <w:sz w:val="22"/>
        </w:rPr>
        <w:t xml:space="preserve">Refer: </w:t>
      </w:r>
      <w:r>
        <w:rPr>
          <w:rFonts w:ascii="Segoe UI" w:hAnsi="Segoe UI" w:cs="Segoe UI"/>
          <w:color w:val="374151"/>
          <w:shd w:val="clear" w:color="auto" w:fill="F7F7F8"/>
        </w:rPr>
        <w:t>It is a hypothetical scenario and requires interpretation based on copyright law principles. (</w:t>
      </w:r>
      <w:hyperlink r:id="rId31" w:history="1">
        <w:r w:rsidRPr="00A6077E">
          <w:rPr>
            <w:rStyle w:val="Hyperlink"/>
            <w:rFonts w:ascii="Segoe UI" w:hAnsi="Segoe UI" w:cs="Segoe UI"/>
            <w:shd w:val="clear" w:color="auto" w:fill="F7F7F8"/>
          </w:rPr>
          <w:t>https://www.artslaw.com.au/information-sheet/copyright/</w:t>
        </w:r>
      </w:hyperlink>
      <w:r>
        <w:rPr>
          <w:rFonts w:ascii="Segoe UI" w:hAnsi="Segoe UI" w:cs="Segoe UI"/>
          <w:color w:val="374151"/>
          <w:shd w:val="clear" w:color="auto" w:fill="F7F7F8"/>
        </w:rPr>
        <w:t xml:space="preserve">) </w:t>
      </w:r>
    </w:p>
    <w:p w14:paraId="6667DD27"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4CF173EE" w:rsidR="000720D9" w:rsidRPr="00B4180A" w:rsidRDefault="00B4180A" w:rsidP="00B4180A">
      <w:pPr>
        <w:pStyle w:val="ListParagraph"/>
        <w:spacing w:after="0"/>
        <w:ind w:left="360"/>
        <w:rPr>
          <w:rFonts w:ascii="Segoe UI" w:hAnsi="Segoe UI" w:cs="Segoe UI"/>
          <w:color w:val="374151"/>
          <w:shd w:val="clear" w:color="auto" w:fill="F7F7F8"/>
        </w:rPr>
      </w:pPr>
      <w:r w:rsidRPr="00B4180A">
        <w:rPr>
          <w:bCs/>
          <w:color w:val="0E233D"/>
          <w:sz w:val="22"/>
        </w:rPr>
        <w:t xml:space="preserve">Refer: </w:t>
      </w:r>
      <w:r w:rsidRPr="00B4180A">
        <w:rPr>
          <w:rFonts w:ascii="Segoe UI" w:hAnsi="Segoe UI" w:cs="Segoe UI"/>
          <w:color w:val="374151"/>
          <w:shd w:val="clear" w:color="auto" w:fill="F7F7F8"/>
        </w:rPr>
        <w:t>It is a hypothetical scenario and requires interpretation based on copyright law principles. (</w:t>
      </w:r>
      <w:hyperlink r:id="rId32" w:history="1">
        <w:r w:rsidRPr="00B4180A">
          <w:rPr>
            <w:rStyle w:val="Hyperlink"/>
            <w:rFonts w:ascii="Segoe UI" w:hAnsi="Segoe UI" w:cs="Segoe UI"/>
            <w:shd w:val="clear" w:color="auto" w:fill="F7F7F8"/>
          </w:rPr>
          <w:t>https://www.artslaw.com.au/information-sheet/copyright/</w:t>
        </w:r>
      </w:hyperlink>
      <w:r w:rsidRPr="00B4180A">
        <w:rPr>
          <w:rFonts w:ascii="Segoe UI" w:hAnsi="Segoe UI" w:cs="Segoe UI"/>
          <w:color w:val="374151"/>
          <w:shd w:val="clear" w:color="auto" w:fill="F7F7F8"/>
        </w:rPr>
        <w:t xml:space="preserve">) </w:t>
      </w:r>
    </w:p>
    <w:p w14:paraId="03EA4C54" w14:textId="77777777" w:rsidR="00B4180A" w:rsidRPr="001F0E05" w:rsidRDefault="00B4180A"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338D5C8D" w:rsidR="00AB4DA4" w:rsidRPr="00B4180A" w:rsidRDefault="00B4180A" w:rsidP="00B4180A">
      <w:pPr>
        <w:spacing w:after="0"/>
        <w:rPr>
          <w:rFonts w:ascii="Segoe UI" w:hAnsi="Segoe UI" w:cs="Segoe UI"/>
          <w:color w:val="374151"/>
          <w:shd w:val="clear" w:color="auto" w:fill="F7F7F8"/>
        </w:rPr>
      </w:pPr>
      <w:r>
        <w:rPr>
          <w:bCs/>
          <w:color w:val="0E233D"/>
          <w:sz w:val="22"/>
        </w:rPr>
        <w:t xml:space="preserve">Refer: </w:t>
      </w:r>
      <w:r>
        <w:rPr>
          <w:rFonts w:ascii="Segoe UI" w:hAnsi="Segoe UI" w:cs="Segoe UI"/>
          <w:color w:val="374151"/>
          <w:shd w:val="clear" w:color="auto" w:fill="F7F7F8"/>
        </w:rPr>
        <w:t>It is a hypothetical scenario and requires interpretation based on copyright law principles. (</w:t>
      </w:r>
      <w:hyperlink r:id="rId33" w:history="1">
        <w:r w:rsidRPr="00A6077E">
          <w:rPr>
            <w:rStyle w:val="Hyperlink"/>
            <w:rFonts w:ascii="Segoe UI" w:hAnsi="Segoe UI" w:cs="Segoe UI"/>
            <w:shd w:val="clear" w:color="auto" w:fill="F7F7F8"/>
          </w:rPr>
          <w:t>https://www.artslaw.com.au/information-sheet/copyright/</w:t>
        </w:r>
      </w:hyperlink>
      <w:r>
        <w:rPr>
          <w:rFonts w:ascii="Segoe UI" w:hAnsi="Segoe UI" w:cs="Segoe UI"/>
          <w:color w:val="374151"/>
          <w:shd w:val="clear" w:color="auto" w:fill="F7F7F8"/>
        </w:rPr>
        <w:t xml:space="preserve">) </w:t>
      </w:r>
      <w:r w:rsidR="00AB4DA4">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26A13F88" w:rsidR="000720D9" w:rsidRDefault="00B4180A" w:rsidP="000720D9">
      <w:pPr>
        <w:spacing w:after="0"/>
        <w:rPr>
          <w:rFonts w:ascii="Segoe UI" w:hAnsi="Segoe UI" w:cs="Segoe UI"/>
          <w:color w:val="374151"/>
          <w:shd w:val="clear" w:color="auto" w:fill="F7F7F8"/>
        </w:rPr>
      </w:pPr>
      <w:r>
        <w:rPr>
          <w:bCs/>
          <w:color w:val="0E233D"/>
          <w:sz w:val="22"/>
        </w:rPr>
        <w:t xml:space="preserve">Refer: </w:t>
      </w:r>
      <w:hyperlink r:id="rId34" w:tgtFrame="_new" w:history="1">
        <w:r>
          <w:rPr>
            <w:rStyle w:val="Hyperlink"/>
            <w:rFonts w:ascii="Segoe UI" w:hAnsi="Segoe UI" w:cs="Segoe UI"/>
            <w:bdr w:val="single" w:sz="2" w:space="0" w:color="D9D9E3" w:frame="1"/>
            <w:shd w:val="clear" w:color="auto" w:fill="F7F7F8"/>
          </w:rPr>
          <w:t>https://www.oaic.gov.au/privacy/</w:t>
        </w:r>
      </w:hyperlink>
    </w:p>
    <w:p w14:paraId="41B29A7B" w14:textId="77777777" w:rsidR="00B4180A" w:rsidRPr="00143990" w:rsidRDefault="00B4180A"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0DD6C3D1" w:rsidR="000720D9" w:rsidRDefault="00B4180A" w:rsidP="000720D9">
      <w:pPr>
        <w:spacing w:after="0"/>
        <w:rPr>
          <w:bCs/>
          <w:color w:val="0E233D"/>
          <w:sz w:val="22"/>
        </w:rPr>
      </w:pPr>
      <w:r>
        <w:rPr>
          <w:bCs/>
          <w:color w:val="0E233D"/>
          <w:sz w:val="22"/>
        </w:rPr>
        <w:t>Refer:</w:t>
      </w:r>
      <w:r w:rsidR="005A37F0">
        <w:rPr>
          <w:bCs/>
          <w:color w:val="0E233D"/>
          <w:sz w:val="22"/>
        </w:rPr>
        <w:t xml:space="preserve"> </w:t>
      </w:r>
      <w:hyperlink r:id="rId35" w:tgtFrame="_new" w:history="1">
        <w:r w:rsidR="005A37F0">
          <w:rPr>
            <w:rStyle w:val="Hyperlink"/>
            <w:rFonts w:ascii="Segoe UI" w:hAnsi="Segoe UI" w:cs="Segoe UI"/>
            <w:bdr w:val="single" w:sz="2" w:space="0" w:color="D9D9E3" w:frame="1"/>
            <w:shd w:val="clear" w:color="auto" w:fill="F7F7F8"/>
          </w:rPr>
          <w:t>https://www.oaic.gov.au/privacy/privacy-act/</w:t>
        </w:r>
      </w:hyperlink>
      <w:r w:rsidR="005A37F0">
        <w:rPr>
          <w:rFonts w:ascii="Segoe UI" w:hAnsi="Segoe UI" w:cs="Segoe UI"/>
          <w:color w:val="374151"/>
          <w:shd w:val="clear" w:color="auto" w:fill="F7F7F8"/>
        </w:rPr>
        <w:t>)</w:t>
      </w:r>
    </w:p>
    <w:p w14:paraId="6DF61C8F" w14:textId="77777777" w:rsidR="00B4180A" w:rsidRPr="00143990" w:rsidRDefault="00B4180A"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154AE9C9" w:rsidR="000720D9" w:rsidRDefault="005A37F0" w:rsidP="000720D9">
      <w:pPr>
        <w:spacing w:after="0"/>
        <w:rPr>
          <w:bCs/>
          <w:color w:val="0E233D"/>
          <w:sz w:val="22"/>
        </w:rPr>
      </w:pPr>
      <w:r>
        <w:rPr>
          <w:bCs/>
          <w:color w:val="0E233D"/>
          <w:sz w:val="22"/>
        </w:rPr>
        <w:t xml:space="preserve">Refer: </w:t>
      </w:r>
      <w:hyperlink r:id="rId36" w:tgtFrame="_new" w:history="1">
        <w:r>
          <w:rPr>
            <w:rStyle w:val="Hyperlink"/>
            <w:rFonts w:ascii="Segoe UI" w:hAnsi="Segoe UI" w:cs="Segoe UI"/>
            <w:bdr w:val="single" w:sz="2" w:space="0" w:color="D9D9E3" w:frame="1"/>
            <w:shd w:val="clear" w:color="auto" w:fill="F7F7F8"/>
          </w:rPr>
          <w:t>https://www.oaic.gov.au/privacy/privacy-act/</w:t>
        </w:r>
      </w:hyperlink>
      <w:r>
        <w:rPr>
          <w:rFonts w:ascii="Segoe UI" w:hAnsi="Segoe UI" w:cs="Segoe UI"/>
          <w:color w:val="374151"/>
          <w:shd w:val="clear" w:color="auto" w:fill="F7F7F8"/>
        </w:rPr>
        <w:t>)</w:t>
      </w:r>
    </w:p>
    <w:p w14:paraId="6A5083B5" w14:textId="77777777" w:rsidR="005A37F0" w:rsidRPr="00143990" w:rsidRDefault="005A37F0"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3B9FB24C" w:rsidR="000720D9" w:rsidRDefault="005A37F0" w:rsidP="000720D9">
      <w:pPr>
        <w:spacing w:after="0"/>
        <w:rPr>
          <w:bCs/>
          <w:color w:val="0E233D"/>
          <w:sz w:val="22"/>
        </w:rPr>
      </w:pPr>
      <w:r>
        <w:rPr>
          <w:bCs/>
          <w:color w:val="0E233D"/>
          <w:sz w:val="22"/>
        </w:rPr>
        <w:t xml:space="preserve">Refer: </w:t>
      </w:r>
      <w:hyperlink r:id="rId37" w:tgtFrame="_new" w:history="1">
        <w:r>
          <w:rPr>
            <w:rStyle w:val="Hyperlink"/>
            <w:rFonts w:ascii="Segoe UI" w:hAnsi="Segoe UI" w:cs="Segoe UI"/>
            <w:bdr w:val="single" w:sz="2" w:space="0" w:color="D9D9E3" w:frame="1"/>
            <w:shd w:val="clear" w:color="auto" w:fill="F7F7F8"/>
          </w:rPr>
          <w:t>https://www.oaic.gov.au/privacy/</w:t>
        </w:r>
      </w:hyperlink>
      <w:r>
        <w:rPr>
          <w:rFonts w:ascii="Segoe UI" w:hAnsi="Segoe UI" w:cs="Segoe UI"/>
          <w:color w:val="374151"/>
          <w:shd w:val="clear" w:color="auto" w:fill="F7F7F8"/>
        </w:rPr>
        <w:t>)</w:t>
      </w:r>
    </w:p>
    <w:p w14:paraId="4FF53935" w14:textId="77777777" w:rsidR="005A37F0" w:rsidRPr="00143990" w:rsidRDefault="005A37F0"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37DF8C5F" w14:textId="77777777" w:rsidR="005A37F0" w:rsidRPr="005A37F0" w:rsidRDefault="005A37F0" w:rsidP="005A37F0">
      <w:pPr>
        <w:pStyle w:val="ListParagraph"/>
        <w:spacing w:after="0"/>
        <w:ind w:left="360"/>
        <w:rPr>
          <w:bCs/>
          <w:color w:val="0E233D"/>
          <w:sz w:val="22"/>
        </w:rPr>
      </w:pPr>
      <w:r w:rsidRPr="005A37F0">
        <w:rPr>
          <w:bCs/>
          <w:color w:val="0E233D"/>
          <w:sz w:val="22"/>
        </w:rPr>
        <w:t xml:space="preserve">Refer: </w:t>
      </w:r>
      <w:hyperlink r:id="rId38" w:tgtFrame="_new" w:history="1">
        <w:r w:rsidRPr="005A37F0">
          <w:rPr>
            <w:rStyle w:val="Hyperlink"/>
            <w:rFonts w:ascii="Segoe UI" w:hAnsi="Segoe UI" w:cs="Segoe UI"/>
            <w:bdr w:val="single" w:sz="2" w:space="0" w:color="D9D9E3" w:frame="1"/>
            <w:shd w:val="clear" w:color="auto" w:fill="F7F7F8"/>
          </w:rPr>
          <w:t>https://www.oaic.gov.au/privacy/</w:t>
        </w:r>
      </w:hyperlink>
      <w:r w:rsidRPr="005A37F0">
        <w:rPr>
          <w:rFonts w:ascii="Segoe UI" w:hAnsi="Segoe UI" w:cs="Segoe UI"/>
          <w:color w:val="374151"/>
          <w:shd w:val="clear" w:color="auto" w:fill="F7F7F8"/>
        </w:rPr>
        <w:t>)</w:t>
      </w:r>
    </w:p>
    <w:p w14:paraId="1293AAAC" w14:textId="77777777" w:rsidR="000720D9" w:rsidRPr="005A37F0" w:rsidRDefault="000720D9" w:rsidP="005A37F0">
      <w:pPr>
        <w:pStyle w:val="ListParagraph"/>
        <w:spacing w:after="0"/>
        <w:ind w:left="36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45806C45" w14:textId="77777777" w:rsidR="005A37F0" w:rsidRPr="005A37F0" w:rsidRDefault="005A37F0" w:rsidP="005A37F0">
      <w:pPr>
        <w:pStyle w:val="ListParagraph"/>
        <w:spacing w:after="0"/>
        <w:ind w:left="360"/>
        <w:rPr>
          <w:bCs/>
          <w:color w:val="0E233D"/>
          <w:sz w:val="22"/>
        </w:rPr>
      </w:pPr>
      <w:r w:rsidRPr="005A37F0">
        <w:rPr>
          <w:bCs/>
          <w:color w:val="0E233D"/>
          <w:sz w:val="22"/>
        </w:rPr>
        <w:t xml:space="preserve">Refer: </w:t>
      </w:r>
      <w:hyperlink r:id="rId39" w:tgtFrame="_new" w:history="1">
        <w:r w:rsidRPr="005A37F0">
          <w:rPr>
            <w:rStyle w:val="Hyperlink"/>
            <w:rFonts w:ascii="Segoe UI" w:hAnsi="Segoe UI" w:cs="Segoe UI"/>
            <w:bdr w:val="single" w:sz="2" w:space="0" w:color="D9D9E3" w:frame="1"/>
            <w:shd w:val="clear" w:color="auto" w:fill="F7F7F8"/>
          </w:rPr>
          <w:t>https://www.oaic.gov.au/privacy/</w:t>
        </w:r>
      </w:hyperlink>
      <w:r w:rsidRPr="005A37F0">
        <w:rPr>
          <w:rFonts w:ascii="Segoe UI" w:hAnsi="Segoe UI" w:cs="Segoe UI"/>
          <w:color w:val="374151"/>
          <w:shd w:val="clear" w:color="auto" w:fill="F7F7F8"/>
        </w:rPr>
        <w:t>)</w:t>
      </w:r>
    </w:p>
    <w:p w14:paraId="6716FFF9" w14:textId="77777777" w:rsidR="000720D9" w:rsidRPr="005A37F0" w:rsidRDefault="000720D9" w:rsidP="005A37F0">
      <w:pPr>
        <w:pStyle w:val="ListParagraph"/>
        <w:spacing w:after="0"/>
        <w:ind w:left="36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3976F7C6" w:rsidR="00AB4DA4" w:rsidRDefault="005A37F0">
      <w:pPr>
        <w:spacing w:before="0"/>
        <w:rPr>
          <w:rFonts w:ascii="Calibri" w:eastAsia="SimSun" w:hAnsi="Calibri" w:cs="Times New Roman"/>
          <w:bCs/>
          <w:color w:val="0E233D"/>
          <w:sz w:val="22"/>
          <w:szCs w:val="22"/>
        </w:rPr>
      </w:pPr>
      <w:r>
        <w:rPr>
          <w:bCs/>
          <w:color w:val="0E233D"/>
          <w:sz w:val="22"/>
        </w:rPr>
        <w:t xml:space="preserve">Refer: </w:t>
      </w:r>
      <w:hyperlink r:id="rId40" w:tgtFrame="_new" w:history="1">
        <w:r>
          <w:rPr>
            <w:rStyle w:val="Hyperlink"/>
            <w:rFonts w:ascii="Segoe UI" w:hAnsi="Segoe UI" w:cs="Segoe UI"/>
            <w:bdr w:val="single" w:sz="2" w:space="0" w:color="D9D9E3" w:frame="1"/>
            <w:shd w:val="clear" w:color="auto" w:fill="F7F7F8"/>
          </w:rPr>
          <w:t>https://www.merriam-webster.com/dictionary/morality</w:t>
        </w:r>
      </w:hyperlink>
      <w:r>
        <w:rPr>
          <w:rFonts w:ascii="Segoe UI" w:hAnsi="Segoe UI" w:cs="Segoe UI"/>
          <w:color w:val="374151"/>
          <w:shd w:val="clear" w:color="auto" w:fill="F7F7F8"/>
        </w:rPr>
        <w:t>)</w:t>
      </w:r>
      <w:r w:rsidR="00AB4DA4">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4BA2B131" w:rsidR="000720D9" w:rsidRDefault="005A37F0" w:rsidP="000720D9">
      <w:pPr>
        <w:spacing w:after="0"/>
        <w:rPr>
          <w:rFonts w:ascii="Segoe UI" w:hAnsi="Segoe UI" w:cs="Segoe UI"/>
          <w:color w:val="374151"/>
          <w:shd w:val="clear" w:color="auto" w:fill="F7F7F8"/>
        </w:rPr>
      </w:pPr>
      <w:r>
        <w:rPr>
          <w:bCs/>
          <w:color w:val="0E233D"/>
          <w:sz w:val="22"/>
        </w:rPr>
        <w:t xml:space="preserve">Refer: </w:t>
      </w:r>
      <w:hyperlink r:id="rId41" w:tgtFrame="_new" w:history="1">
        <w:r>
          <w:rPr>
            <w:rStyle w:val="Hyperlink"/>
            <w:rFonts w:ascii="Segoe UI" w:hAnsi="Segoe UI" w:cs="Segoe UI"/>
            <w:bdr w:val="single" w:sz="2" w:space="0" w:color="D9D9E3" w:frame="1"/>
            <w:shd w:val="clear" w:color="auto" w:fill="F7F7F8"/>
          </w:rPr>
          <w:t>https://www.businessethics.ca/</w:t>
        </w:r>
      </w:hyperlink>
      <w:r>
        <w:rPr>
          <w:rFonts w:ascii="Segoe UI" w:hAnsi="Segoe UI" w:cs="Segoe UI"/>
          <w:color w:val="374151"/>
          <w:shd w:val="clear" w:color="auto" w:fill="F7F7F8"/>
        </w:rPr>
        <w:t>)</w:t>
      </w:r>
    </w:p>
    <w:p w14:paraId="3C9F0785" w14:textId="77777777" w:rsidR="005A37F0" w:rsidRPr="0002273D" w:rsidRDefault="005A37F0"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1788C54F" w:rsidR="000720D9" w:rsidRPr="0002273D" w:rsidRDefault="005A37F0" w:rsidP="000720D9">
      <w:pPr>
        <w:spacing w:after="0"/>
        <w:rPr>
          <w:bCs/>
          <w:color w:val="0E233D"/>
          <w:sz w:val="22"/>
        </w:rPr>
      </w:pPr>
      <w:r>
        <w:rPr>
          <w:bCs/>
          <w:color w:val="0E233D"/>
          <w:sz w:val="22"/>
        </w:rPr>
        <w:t xml:space="preserve">Refer: </w:t>
      </w:r>
      <w:hyperlink r:id="rId42" w:tgtFrame="_new" w:history="1">
        <w:r>
          <w:rPr>
            <w:rStyle w:val="Hyperlink"/>
            <w:rFonts w:ascii="Segoe UI" w:hAnsi="Segoe UI" w:cs="Segoe UI"/>
            <w:bdr w:val="single" w:sz="2" w:space="0" w:color="D9D9E3" w:frame="1"/>
            <w:shd w:val="clear" w:color="auto" w:fill="F7F7F8"/>
          </w:rPr>
          <w:t>https://www.businessethics.ca/</w:t>
        </w:r>
      </w:hyperlink>
      <w:r>
        <w:rPr>
          <w:rFonts w:ascii="Segoe UI" w:hAnsi="Segoe UI" w:cs="Segoe UI"/>
          <w:color w:val="374151"/>
          <w:shd w:val="clear" w:color="auto" w:fill="F7F7F8"/>
        </w:rPr>
        <w:t>)</w:t>
      </w: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2B1EBE91" w:rsidR="000720D9" w:rsidRDefault="005A37F0" w:rsidP="000720D9">
      <w:pPr>
        <w:spacing w:after="0"/>
        <w:rPr>
          <w:rFonts w:ascii="Segoe UI" w:hAnsi="Segoe UI" w:cs="Segoe UI"/>
          <w:color w:val="374151"/>
          <w:shd w:val="clear" w:color="auto" w:fill="F7F7F8"/>
        </w:rPr>
      </w:pPr>
      <w:r>
        <w:rPr>
          <w:bCs/>
          <w:color w:val="0E233D"/>
          <w:sz w:val="22"/>
        </w:rPr>
        <w:t xml:space="preserve">refer: </w:t>
      </w:r>
      <w:hyperlink r:id="rId43" w:tgtFrame="_new" w:history="1">
        <w:r>
          <w:rPr>
            <w:rStyle w:val="Hyperlink"/>
            <w:rFonts w:ascii="Segoe UI" w:hAnsi="Segoe UI" w:cs="Segoe UI"/>
            <w:bdr w:val="single" w:sz="2" w:space="0" w:color="D9D9E3" w:frame="1"/>
            <w:shd w:val="clear" w:color="auto" w:fill="F7F7F8"/>
          </w:rPr>
          <w:t>https://www.oaic.gov.au/privacy/</w:t>
        </w:r>
      </w:hyperlink>
      <w:r>
        <w:rPr>
          <w:rFonts w:ascii="Segoe UI" w:hAnsi="Segoe UI" w:cs="Segoe UI"/>
          <w:color w:val="374151"/>
          <w:shd w:val="clear" w:color="auto" w:fill="F7F7F8"/>
        </w:rPr>
        <w:t>)</w:t>
      </w:r>
    </w:p>
    <w:p w14:paraId="6AF731FC" w14:textId="77777777" w:rsidR="005A37F0" w:rsidRPr="00C0583D" w:rsidRDefault="005A37F0"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8953330" w:rsidR="000720D9" w:rsidRDefault="005A37F0" w:rsidP="000720D9">
      <w:pPr>
        <w:spacing w:after="0"/>
        <w:rPr>
          <w:rFonts w:ascii="Segoe UI" w:hAnsi="Segoe UI" w:cs="Segoe UI"/>
          <w:color w:val="374151"/>
          <w:shd w:val="clear" w:color="auto" w:fill="F7F7F8"/>
        </w:rPr>
      </w:pPr>
      <w:r>
        <w:rPr>
          <w:bCs/>
          <w:color w:val="0E233D"/>
          <w:sz w:val="22"/>
        </w:rPr>
        <w:t xml:space="preserve">Refer: </w:t>
      </w:r>
      <w:hyperlink r:id="rId44" w:tgtFrame="_new" w:history="1">
        <w:r>
          <w:rPr>
            <w:rStyle w:val="Hyperlink"/>
            <w:rFonts w:ascii="Segoe UI" w:hAnsi="Segoe UI" w:cs="Segoe UI"/>
            <w:bdr w:val="single" w:sz="2" w:space="0" w:color="D9D9E3" w:frame="1"/>
            <w:shd w:val="clear" w:color="auto" w:fill="F7F7F8"/>
          </w:rPr>
          <w:t>https://www.oaic.gov.au/privacy/privacy-act/national-privacy-principles/</w:t>
        </w:r>
      </w:hyperlink>
      <w:r>
        <w:rPr>
          <w:rFonts w:ascii="Segoe UI" w:hAnsi="Segoe UI" w:cs="Segoe UI"/>
          <w:color w:val="374151"/>
          <w:shd w:val="clear" w:color="auto" w:fill="F7F7F8"/>
        </w:rPr>
        <w:t>)</w:t>
      </w:r>
    </w:p>
    <w:p w14:paraId="07C3828F" w14:textId="77777777" w:rsidR="005A37F0" w:rsidRPr="00C0583D" w:rsidRDefault="005A37F0"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lastRenderedPageBreak/>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132BDEAF" w:rsidR="000720D9" w:rsidRPr="00C0583D" w:rsidRDefault="005A37F0" w:rsidP="000720D9">
      <w:pPr>
        <w:spacing w:after="0"/>
        <w:rPr>
          <w:bCs/>
          <w:color w:val="0E233D"/>
          <w:sz w:val="22"/>
        </w:rPr>
      </w:pPr>
      <w:r>
        <w:rPr>
          <w:bCs/>
          <w:color w:val="0E233D"/>
          <w:sz w:val="22"/>
        </w:rPr>
        <w:t xml:space="preserve">refer: </w:t>
      </w:r>
      <w:r>
        <w:rPr>
          <w:rFonts w:ascii="Segoe UI" w:hAnsi="Segoe UI" w:cs="Segoe UI"/>
          <w:color w:val="374151"/>
          <w:shd w:val="clear" w:color="auto" w:fill="F7F7F8"/>
        </w:rPr>
        <w:t>It is a general understanding of common security features.</w:t>
      </w:r>
      <w:r>
        <w:rPr>
          <w:rFonts w:ascii="Segoe UI" w:hAnsi="Segoe UI" w:cs="Segoe UI"/>
          <w:color w:val="374151"/>
          <w:shd w:val="clear" w:color="auto" w:fill="F7F7F8"/>
        </w:rPr>
        <w:t xml:space="preserve"> (</w:t>
      </w:r>
      <w:hyperlink r:id="rId45" w:history="1">
        <w:r w:rsidRPr="00A6077E">
          <w:rPr>
            <w:rStyle w:val="Hyperlink"/>
            <w:rFonts w:ascii="Segoe UI" w:hAnsi="Segoe UI" w:cs="Segoe UI"/>
            <w:shd w:val="clear" w:color="auto" w:fill="F7F7F8"/>
          </w:rPr>
          <w:t>https://nces.ed.gov/pubs98/safetech/chapter6.asp</w:t>
        </w:r>
      </w:hyperlink>
      <w:r>
        <w:rPr>
          <w:rFonts w:ascii="Segoe UI" w:hAnsi="Segoe UI" w:cs="Segoe UI"/>
          <w:color w:val="374151"/>
          <w:shd w:val="clear" w:color="auto" w:fill="F7F7F8"/>
        </w:rPr>
        <w:t xml:space="preserve">) </w:t>
      </w:r>
    </w:p>
    <w:p w14:paraId="30B4690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4368A38E" w14:textId="77777777" w:rsidR="005A37F0" w:rsidRDefault="005A37F0" w:rsidP="005A37F0">
      <w:pPr>
        <w:pStyle w:val="ListParagraph"/>
        <w:spacing w:after="0"/>
        <w:rPr>
          <w:bCs/>
          <w:color w:val="0E233D"/>
          <w:sz w:val="22"/>
        </w:rPr>
      </w:pPr>
    </w:p>
    <w:p w14:paraId="594CA902" w14:textId="6BB7EE80" w:rsidR="005A37F0" w:rsidRPr="00C0583D" w:rsidRDefault="005A37F0" w:rsidP="005A37F0">
      <w:pPr>
        <w:pStyle w:val="ListParagraph"/>
        <w:spacing w:after="0"/>
        <w:rPr>
          <w:bCs/>
          <w:color w:val="0E233D"/>
          <w:sz w:val="22"/>
        </w:rPr>
      </w:pPr>
      <w:r>
        <w:rPr>
          <w:bCs/>
          <w:color w:val="0E233D"/>
          <w:sz w:val="22"/>
        </w:rPr>
        <w:t xml:space="preserve">Refer: </w:t>
      </w:r>
      <w:r>
        <w:rPr>
          <w:rFonts w:ascii="Segoe UI" w:hAnsi="Segoe UI" w:cs="Segoe UI"/>
          <w:color w:val="374151"/>
          <w:shd w:val="clear" w:color="auto" w:fill="F7F7F8"/>
        </w:rPr>
        <w:t>It is a hypothetical scenario and requires interpretation based on ethical principles.</w:t>
      </w:r>
      <w:r>
        <w:rPr>
          <w:rFonts w:ascii="Segoe UI" w:hAnsi="Segoe UI" w:cs="Segoe UI"/>
          <w:color w:val="374151"/>
          <w:shd w:val="clear" w:color="auto" w:fill="F7F7F8"/>
        </w:rPr>
        <w:t xml:space="preserve"> (</w:t>
      </w:r>
      <w:hyperlink r:id="rId46" w:history="1">
        <w:r w:rsidRPr="00A6077E">
          <w:rPr>
            <w:rStyle w:val="Hyperlink"/>
            <w:rFonts w:ascii="Segoe UI" w:hAnsi="Segoe UI" w:cs="Segoe UI"/>
            <w:shd w:val="clear" w:color="auto" w:fill="F7F7F8"/>
          </w:rPr>
          <w:t>https://www.advancecareplanning.org.au/law-and-ethics/ethics-in-advance-care-planning</w:t>
        </w:r>
      </w:hyperlink>
      <w:r>
        <w:rPr>
          <w:rFonts w:ascii="Segoe UI" w:hAnsi="Segoe UI" w:cs="Segoe UI"/>
          <w:color w:val="374151"/>
          <w:shd w:val="clear" w:color="auto" w:fill="F7F7F8"/>
        </w:rPr>
        <w:t xml:space="preserve">) </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47"/>
          <w:footerReference w:type="default" r:id="rId48"/>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hAnsiTheme="minorHAns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hAnsiTheme="minorHAns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hAnsiTheme="minorHAns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hAnsiTheme="minorHAns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hAnsiTheme="minorHAns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0480" w14:textId="77777777" w:rsidR="007B2B23" w:rsidRDefault="007B2B23" w:rsidP="005B6EEF">
      <w:r>
        <w:separator/>
      </w:r>
    </w:p>
  </w:endnote>
  <w:endnote w:type="continuationSeparator" w:id="0">
    <w:p w14:paraId="51266BE0" w14:textId="77777777" w:rsidR="007B2B23" w:rsidRDefault="007B2B23"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Content>
      <w:sdt>
        <w:sdtPr>
          <w:rPr>
            <w:color w:val="808080" w:themeColor="background1" w:themeShade="80"/>
            <w:sz w:val="16"/>
            <w:szCs w:val="16"/>
          </w:rPr>
          <w:id w:val="1807353873"/>
          <w:docPartObj>
            <w:docPartGallery w:val="Page Numbers (Top of Page)"/>
            <w:docPartUnique/>
          </w:docPartObj>
        </w:sdt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000000"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906B3" w14:textId="77777777" w:rsidR="007B2B23" w:rsidRDefault="007B2B23" w:rsidP="005B6EEF">
      <w:r>
        <w:separator/>
      </w:r>
    </w:p>
  </w:footnote>
  <w:footnote w:type="continuationSeparator" w:id="0">
    <w:p w14:paraId="18BC4F82" w14:textId="77777777" w:rsidR="007B2B23" w:rsidRDefault="007B2B23"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000000"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518736">
    <w:abstractNumId w:val="12"/>
  </w:num>
  <w:num w:numId="2" w16cid:durableId="1457024145">
    <w:abstractNumId w:val="8"/>
  </w:num>
  <w:num w:numId="3" w16cid:durableId="1498229043">
    <w:abstractNumId w:val="14"/>
  </w:num>
  <w:num w:numId="4" w16cid:durableId="1741176667">
    <w:abstractNumId w:val="3"/>
  </w:num>
  <w:num w:numId="5" w16cid:durableId="81882714">
    <w:abstractNumId w:val="1"/>
  </w:num>
  <w:num w:numId="6" w16cid:durableId="1736708506">
    <w:abstractNumId w:val="0"/>
  </w:num>
  <w:num w:numId="7" w16cid:durableId="235020700">
    <w:abstractNumId w:val="13"/>
  </w:num>
  <w:num w:numId="8" w16cid:durableId="641694016">
    <w:abstractNumId w:val="9"/>
  </w:num>
  <w:num w:numId="9" w16cid:durableId="1550650547">
    <w:abstractNumId w:val="11"/>
  </w:num>
  <w:num w:numId="10" w16cid:durableId="1525897238">
    <w:abstractNumId w:val="2"/>
    <w:lvlOverride w:ilvl="0">
      <w:startOverride w:val="1"/>
    </w:lvlOverride>
  </w:num>
  <w:num w:numId="11" w16cid:durableId="1582254315">
    <w:abstractNumId w:val="10"/>
  </w:num>
  <w:num w:numId="12" w16cid:durableId="341277680">
    <w:abstractNumId w:val="4"/>
  </w:num>
  <w:num w:numId="13" w16cid:durableId="1956979908">
    <w:abstractNumId w:val="6"/>
  </w:num>
  <w:num w:numId="14" w16cid:durableId="618491515">
    <w:abstractNumId w:val="5"/>
    <w:lvlOverride w:ilvl="0">
      <w:startOverride w:val="1"/>
    </w:lvlOverride>
  </w:num>
  <w:num w:numId="15" w16cid:durableId="239028499">
    <w:abstractNumId w:val="5"/>
    <w:lvlOverride w:ilvl="0">
      <w:startOverride w:val="1"/>
    </w:lvlOverride>
  </w:num>
  <w:num w:numId="16" w16cid:durableId="390857870">
    <w:abstractNumId w:val="5"/>
    <w:lvlOverride w:ilvl="0">
      <w:startOverride w:val="1"/>
    </w:lvlOverride>
  </w:num>
  <w:num w:numId="17" w16cid:durableId="1546983938">
    <w:abstractNumId w:val="5"/>
    <w:lvlOverride w:ilvl="0">
      <w:startOverride w:val="1"/>
    </w:lvlOverride>
  </w:num>
  <w:num w:numId="18" w16cid:durableId="588151937">
    <w:abstractNumId w:val="5"/>
    <w:lvlOverride w:ilvl="0">
      <w:startOverride w:val="1"/>
    </w:lvlOverride>
  </w:num>
  <w:num w:numId="19" w16cid:durableId="116879632">
    <w:abstractNumId w:val="5"/>
    <w:lvlOverride w:ilvl="0">
      <w:startOverride w:val="1"/>
    </w:lvlOverride>
  </w:num>
  <w:num w:numId="20" w16cid:durableId="631406236">
    <w:abstractNumId w:val="5"/>
    <w:lvlOverride w:ilvl="0">
      <w:startOverride w:val="1"/>
    </w:lvlOverride>
  </w:num>
  <w:num w:numId="21" w16cid:durableId="2133555767">
    <w:abstractNumId w:val="5"/>
    <w:lvlOverride w:ilvl="0">
      <w:startOverride w:val="1"/>
    </w:lvlOverride>
  </w:num>
  <w:num w:numId="22" w16cid:durableId="102581620">
    <w:abstractNumId w:val="5"/>
    <w:lvlOverride w:ilvl="0">
      <w:startOverride w:val="1"/>
    </w:lvlOverride>
  </w:num>
  <w:num w:numId="23" w16cid:durableId="842015347">
    <w:abstractNumId w:val="5"/>
    <w:lvlOverride w:ilvl="0">
      <w:startOverride w:val="1"/>
    </w:lvlOverride>
  </w:num>
  <w:num w:numId="24" w16cid:durableId="212348750">
    <w:abstractNumId w:val="5"/>
    <w:lvlOverride w:ilvl="0">
      <w:startOverride w:val="1"/>
    </w:lvlOverride>
  </w:num>
  <w:num w:numId="25" w16cid:durableId="1448700511">
    <w:abstractNumId w:val="5"/>
    <w:lvlOverride w:ilvl="0">
      <w:startOverride w:val="1"/>
    </w:lvlOverride>
  </w:num>
  <w:num w:numId="26" w16cid:durableId="1049065825">
    <w:abstractNumId w:val="5"/>
    <w:lvlOverride w:ilvl="0">
      <w:startOverride w:val="1"/>
    </w:lvlOverride>
  </w:num>
  <w:num w:numId="27" w16cid:durableId="308748974">
    <w:abstractNumId w:val="5"/>
    <w:lvlOverride w:ilvl="0">
      <w:startOverride w:val="1"/>
    </w:lvlOverride>
  </w:num>
  <w:num w:numId="28" w16cid:durableId="1436248317">
    <w:abstractNumId w:val="5"/>
    <w:lvlOverride w:ilvl="0">
      <w:startOverride w:val="1"/>
    </w:lvlOverride>
  </w:num>
  <w:num w:numId="29" w16cid:durableId="2072380595">
    <w:abstractNumId w:val="5"/>
    <w:lvlOverride w:ilvl="0">
      <w:startOverride w:val="1"/>
    </w:lvlOverride>
  </w:num>
  <w:num w:numId="30" w16cid:durableId="1508708844">
    <w:abstractNumId w:val="5"/>
  </w:num>
  <w:num w:numId="31" w16cid:durableId="2147357793">
    <w:abstractNumId w:val="2"/>
  </w:num>
  <w:num w:numId="32" w16cid:durableId="217514278">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26E67"/>
    <w:rsid w:val="0013208D"/>
    <w:rsid w:val="0013754C"/>
    <w:rsid w:val="00156670"/>
    <w:rsid w:val="00171857"/>
    <w:rsid w:val="00174D76"/>
    <w:rsid w:val="001A0092"/>
    <w:rsid w:val="001B3BE9"/>
    <w:rsid w:val="002062D0"/>
    <w:rsid w:val="00227408"/>
    <w:rsid w:val="00251570"/>
    <w:rsid w:val="002C41A1"/>
    <w:rsid w:val="002D3789"/>
    <w:rsid w:val="002E4207"/>
    <w:rsid w:val="002E735C"/>
    <w:rsid w:val="00372122"/>
    <w:rsid w:val="003A57DF"/>
    <w:rsid w:val="003E03DB"/>
    <w:rsid w:val="00403EA1"/>
    <w:rsid w:val="0041261B"/>
    <w:rsid w:val="00446ECC"/>
    <w:rsid w:val="004B1200"/>
    <w:rsid w:val="005A37F0"/>
    <w:rsid w:val="005B032A"/>
    <w:rsid w:val="005B1E5C"/>
    <w:rsid w:val="005B6EEF"/>
    <w:rsid w:val="006069A6"/>
    <w:rsid w:val="00626723"/>
    <w:rsid w:val="00642CA9"/>
    <w:rsid w:val="006505CF"/>
    <w:rsid w:val="00692630"/>
    <w:rsid w:val="006A5FDE"/>
    <w:rsid w:val="0072567D"/>
    <w:rsid w:val="007431BD"/>
    <w:rsid w:val="00764D36"/>
    <w:rsid w:val="007B2B23"/>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35401"/>
    <w:rsid w:val="00B4180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26" Type="http://schemas.openxmlformats.org/officeDocument/2006/relationships/hyperlink" Target="https://www.copyright.gov/title17/" TargetMode="External"/><Relationship Id="rId39" Type="http://schemas.openxmlformats.org/officeDocument/2006/relationships/hyperlink" Target="https://www.oaic.gov.au/privacy/" TargetMode="External"/><Relationship Id="rId21" Type="http://schemas.openxmlformats.org/officeDocument/2006/relationships/hyperlink" Target="https://en.wikipedia.org/wiki/Copyright,_Designs_and_Patents_Act_1988" TargetMode="External"/><Relationship Id="rId34" Type="http://schemas.openxmlformats.org/officeDocument/2006/relationships/hyperlink" Target="https://www.oaic.gov.au/privacy/" TargetMode="External"/><Relationship Id="rId42" Type="http://schemas.openxmlformats.org/officeDocument/2006/relationships/hyperlink" Target="https://www.businessethics.ca/"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9" Type="http://schemas.openxmlformats.org/officeDocument/2006/relationships/hyperlink" Target="https://www.artslaw.com.au/information-sheet/copyright/" TargetMode="External"/><Relationship Id="rId11" Type="http://schemas.openxmlformats.org/officeDocument/2006/relationships/image" Target="media/image2.png"/><Relationship Id="rId24" Type="http://schemas.openxmlformats.org/officeDocument/2006/relationships/hyperlink" Target="https://www.plagiarism.org/article/what-is-plagiarism" TargetMode="External"/><Relationship Id="rId32" Type="http://schemas.openxmlformats.org/officeDocument/2006/relationships/hyperlink" Target="https://www.artslaw.com.au/information-sheet/copyright/" TargetMode="External"/><Relationship Id="rId37" Type="http://schemas.openxmlformats.org/officeDocument/2006/relationships/hyperlink" Target="https://www.oaic.gov.au/privacy/" TargetMode="External"/><Relationship Id="rId40" Type="http://schemas.openxmlformats.org/officeDocument/2006/relationships/hyperlink" Target="https://www.merriam-webster.com/dictionary/morality" TargetMode="External"/><Relationship Id="rId45" Type="http://schemas.openxmlformats.org/officeDocument/2006/relationships/hyperlink" Target="https://nces.ed.gov/pubs98/safetech/chapter6.asp"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copyright.gov/title17/" TargetMode="External"/><Relationship Id="rId28" Type="http://schemas.openxmlformats.org/officeDocument/2006/relationships/hyperlink" Target="https://www.copyright.gov/title17/" TargetMode="External"/><Relationship Id="rId36" Type="http://schemas.openxmlformats.org/officeDocument/2006/relationships/hyperlink" Target="https://www.oaic.gov.au/privacy/privacy-act/" TargetMode="External"/><Relationship Id="rId49" Type="http://schemas.openxmlformats.org/officeDocument/2006/relationships/fontTable" Target="fontTable.xm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31" Type="http://schemas.openxmlformats.org/officeDocument/2006/relationships/hyperlink" Target="https://www.artslaw.com.au/information-sheet/copyright/" TargetMode="External"/><Relationship Id="rId44" Type="http://schemas.openxmlformats.org/officeDocument/2006/relationships/hyperlink" Target="https://www.oaic.gov.au/privacy/privacy-act/national-privacy-principl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hyperlink" Target="https://www.copyright.gov/title17/" TargetMode="External"/><Relationship Id="rId27" Type="http://schemas.openxmlformats.org/officeDocument/2006/relationships/hyperlink" Target="https://www.copyright.gov/title17/" TargetMode="External"/><Relationship Id="rId30" Type="http://schemas.openxmlformats.org/officeDocument/2006/relationships/hyperlink" Target="https://www.artslaw.com.au/information-sheet/copyright/" TargetMode="External"/><Relationship Id="rId35" Type="http://schemas.openxmlformats.org/officeDocument/2006/relationships/hyperlink" Target="https://www.oaic.gov.au/privacy/privacy-act/" TargetMode="External"/><Relationship Id="rId43" Type="http://schemas.openxmlformats.org/officeDocument/2006/relationships/hyperlink" Target="https://www.oaic.gov.au/privacy/" TargetMode="External"/><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hyperlink" Target="https://www.copyright.gov/title17/" TargetMode="External"/><Relationship Id="rId33" Type="http://schemas.openxmlformats.org/officeDocument/2006/relationships/hyperlink" Target="https://www.artslaw.com.au/information-sheet/copyright/" TargetMode="External"/><Relationship Id="rId38" Type="http://schemas.openxmlformats.org/officeDocument/2006/relationships/hyperlink" Target="https://www.oaic.gov.au/privacy/" TargetMode="External"/><Relationship Id="rId46" Type="http://schemas.openxmlformats.org/officeDocument/2006/relationships/hyperlink" Target="https://www.advancecareplanning.org.au/law-and-ethics/ethics-in-advance-care-planning" TargetMode="External"/><Relationship Id="rId20" Type="http://schemas.openxmlformats.org/officeDocument/2006/relationships/image" Target="media/image5.jpeg"/><Relationship Id="rId41" Type="http://schemas.openxmlformats.org/officeDocument/2006/relationships/hyperlink" Target="https://www.businessethics.ca/"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15</Pages>
  <Words>3121</Words>
  <Characters>17794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daniel pratama</cp:lastModifiedBy>
  <cp:revision>3</cp:revision>
  <cp:lastPrinted>2016-01-11T00:00:00Z</cp:lastPrinted>
  <dcterms:created xsi:type="dcterms:W3CDTF">2023-05-31T15:51:00Z</dcterms:created>
  <dcterms:modified xsi:type="dcterms:W3CDTF">2023-06-02T13:32:00Z</dcterms:modified>
</cp:coreProperties>
</file>