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480" w:after="283"/>
        <w:rPr/>
      </w:pPr>
      <w:r>
        <w:rPr/>
        <w:t>Tratamiento de valores atípicos y decisiones de limpieza</w:t>
      </w:r>
    </w:p>
    <w:p>
      <w:pPr>
        <w:pStyle w:val="BodyText"/>
        <w:bidi w:val="0"/>
        <w:rPr/>
      </w:pPr>
      <w:r>
        <w:rPr>
          <w:b/>
        </w:rPr>
        <w:t>Parcial de Estadística III</w:t>
      </w:r>
      <w:r>
        <w:rPr/>
        <w:t xml:space="preserve"> — Daniel Puerta Bernal</w:t>
        <w:br/>
        <w:t>Equipo: Daniel Puerta Bernal · Tomás Marín Estrada · Juan Diego Guzmán Chalarca</w:t>
        <w:br/>
        <w:t>Dataset: Stack Overflow Developer Survey — 64.461 × 61 → 63.803 × 113</w:t>
      </w:r>
    </w:p>
    <w:p>
      <w:pPr>
        <w:pStyle w:val="BodyText"/>
        <w:bidi w:val="0"/>
        <w:ind w:hanging="0" w:left="0" w:right="0"/>
        <w:rPr>
          <w:sz w:val="20"/>
          <w:bdr w:val="single" w:sz="18" w:space="8" w:color="888888"/>
          <w:shd w:fill="F5F5F5" w:val="clear"/>
        </w:rPr>
      </w:pPr>
      <w:r>
        <w:rPr>
          <w:b/>
          <w:sz w:val="20"/>
          <w:bdr w:val="single" w:sz="18" w:space="8" w:color="888888"/>
          <w:shd w:fill="F5F5F5" w:val="clear"/>
        </w:rPr>
        <w:t>Cómo usar este borrador.</w:t>
      </w:r>
      <w:r>
        <w:rPr>
          <w:sz w:val="20"/>
          <w:bdr w:val="single" w:sz="18" w:space="8" w:color="888888"/>
          <w:shd w:fill="F5F5F5" w:val="clear"/>
        </w:rPr>
        <w:t xml:space="preserve"> Las secciones </w:t>
      </w:r>
      <w:r>
        <w:rPr>
          <w:i/>
          <w:sz w:val="20"/>
          <w:bdr w:val="single" w:sz="18" w:space="8" w:color="888888"/>
          <w:shd w:fill="F5F5F5" w:val="clear"/>
        </w:rPr>
        <w:t>La decisión</w:t>
      </w:r>
      <w:r>
        <w:rPr>
          <w:sz w:val="20"/>
          <w:bdr w:val="single" w:sz="18" w:space="8" w:color="888888"/>
          <w:shd w:fill="F5F5F5" w:val="clear"/>
        </w:rPr>
        <w:t xml:space="preserve"> y </w:t>
      </w:r>
      <w:r>
        <w:rPr>
          <w:i/>
          <w:sz w:val="20"/>
          <w:bdr w:val="single" w:sz="18" w:space="8" w:color="888888"/>
          <w:shd w:fill="F5F5F5" w:val="clear"/>
        </w:rPr>
        <w:t>La evidencia</w:t>
      </w:r>
      <w:r>
        <w:rPr>
          <w:sz w:val="20"/>
          <w:bdr w:val="single" w:sz="18" w:space="8" w:color="888888"/>
          <w:shd w:fill="F5F5F5" w:val="clear"/>
        </w:rPr>
        <w:t xml:space="preserve"> están completas: son hechos y números que produce el script. Los bloques con borde rojo son los que faltan escribir. Debajo de cada uno están tus propias respuestas, textuales, listas para hilar en prosa.</w:t>
      </w:r>
    </w:p>
    <w:p>
      <w:pPr>
        <w:pStyle w:val="Heading1"/>
        <w:bidi w:val="0"/>
        <w:rPr/>
      </w:pPr>
      <w:r>
        <w:rPr/>
        <w:t>1. WorkWeekHrs: corrección de 62 valores imposibles</w:t>
      </w:r>
    </w:p>
    <w:p>
      <w:pPr>
        <w:pStyle w:val="Heading2"/>
        <w:bidi w:val="0"/>
        <w:rPr/>
      </w:pPr>
      <w:r>
        <w:rPr/>
        <w:t>La decisión</w:t>
      </w:r>
    </w:p>
    <w:p>
      <w:pPr>
        <w:pStyle w:val="BodyText"/>
        <w:bidi w:val="0"/>
        <w:rPr/>
      </w:pPr>
      <w:r>
        <w:rPr/>
        <w:t>62 registros declaraban más de 168 horas de trabajo semanales. Una semana tiene 168 horas (24 × 7), de modo que cualquier valor superior es físicamente imposible. Se corrigieron dividiendo entre 10, en lugar de eliminarlos o tratarlos como faltantes.</w:t>
      </w:r>
    </w:p>
    <w:p>
      <w:pPr>
        <w:pStyle w:val="Heading2"/>
        <w:bidi w:val="0"/>
        <w:rPr/>
      </w:pPr>
      <w:r>
        <w:rPr/>
        <w:t>La evidencia</w:t>
      </w:r>
    </w:p>
    <w:p>
      <w:pPr>
        <w:pStyle w:val="Heading3"/>
        <w:bidi w:val="0"/>
        <w:rPr/>
      </w:pPr>
      <w:r>
        <w:rPr/>
        <w:t>Los 62 valores y las dos lecturas posibles</w:t>
      </w:r>
    </w:p>
    <w:tbl>
      <w:tblPr>
        <w:tblW w:w="6530" w:type="dxa"/>
        <w:jc w:val="left"/>
        <w:tblInd w:w="28" w:type="dxa"/>
        <w:tblLayout w:type="fixed"/>
        <w:tblCellMar>
          <w:top w:w="28" w:type="dxa"/>
          <w:left w:w="28" w:type="dxa"/>
          <w:bottom w:w="28" w:type="dxa"/>
          <w:right w:w="28" w:type="dxa"/>
        </w:tblCellMar>
      </w:tblPr>
      <w:tblGrid>
        <w:gridCol w:w="2142"/>
        <w:gridCol w:w="925"/>
        <w:gridCol w:w="1230"/>
        <w:gridCol w:w="2233"/>
      </w:tblGrid>
      <w:tr>
        <w:trPr/>
        <w:tc>
          <w:tcPr>
            <w:tcW w:w="2142" w:type="dxa"/>
            <w:tcBorders/>
            <w:vAlign w:val="center"/>
          </w:tcPr>
          <w:p>
            <w:pPr>
              <w:pStyle w:val="TableHeading"/>
              <w:suppressLineNumbers/>
              <w:shd w:fill="E8E8E8" w:val="clear"/>
              <w:bidi w:val="0"/>
              <w:spacing w:before="0" w:after="283"/>
              <w:jc w:val="left"/>
              <w:rPr/>
            </w:pPr>
            <w:r>
              <w:rPr/>
              <w:t>Valor declarado</w:t>
            </w:r>
          </w:p>
        </w:tc>
        <w:tc>
          <w:tcPr>
            <w:tcW w:w="925" w:type="dxa"/>
            <w:tcBorders/>
            <w:vAlign w:val="center"/>
          </w:tcPr>
          <w:p>
            <w:pPr>
              <w:pStyle w:val="TableHeading"/>
              <w:suppressLineNumbers/>
              <w:shd w:fill="E8E8E8" w:val="clear"/>
              <w:bidi w:val="0"/>
              <w:spacing w:before="0" w:after="283"/>
              <w:jc w:val="left"/>
              <w:rPr/>
            </w:pPr>
            <w:r>
              <w:rPr/>
              <w:t>Casos</w:t>
            </w:r>
          </w:p>
        </w:tc>
        <w:tc>
          <w:tcPr>
            <w:tcW w:w="1230" w:type="dxa"/>
            <w:tcBorders/>
            <w:vAlign w:val="center"/>
          </w:tcPr>
          <w:p>
            <w:pPr>
              <w:pStyle w:val="TableHeading"/>
              <w:suppressLineNumbers/>
              <w:shd w:fill="E8E8E8" w:val="clear"/>
              <w:bidi w:val="0"/>
              <w:spacing w:before="0" w:after="283"/>
              <w:jc w:val="left"/>
              <w:rPr/>
            </w:pPr>
            <w:r>
              <w:rPr/>
              <w:t>÷ 10</w:t>
            </w:r>
          </w:p>
        </w:tc>
        <w:tc>
          <w:tcPr>
            <w:tcW w:w="2233" w:type="dxa"/>
            <w:tcBorders/>
            <w:vAlign w:val="center"/>
          </w:tcPr>
          <w:p>
            <w:pPr>
              <w:pStyle w:val="TableHeading"/>
              <w:suppressLineNumbers/>
              <w:shd w:fill="E8E8E8" w:val="clear"/>
              <w:bidi w:val="0"/>
              <w:spacing w:before="0" w:after="283"/>
              <w:jc w:val="left"/>
              <w:rPr/>
            </w:pPr>
            <w:r>
              <w:rPr/>
              <w:t>÷ 4,3 (horas al mes)</w:t>
            </w:r>
          </w:p>
        </w:tc>
      </w:tr>
      <w:tr>
        <w:trPr/>
        <w:tc>
          <w:tcPr>
            <w:tcW w:w="2142" w:type="dxa"/>
            <w:tcBorders/>
            <w:vAlign w:val="center"/>
          </w:tcPr>
          <w:p>
            <w:pPr>
              <w:pStyle w:val="TableContents"/>
              <w:bidi w:val="0"/>
              <w:spacing w:before="0" w:after="283"/>
              <w:jc w:val="left"/>
              <w:rPr/>
            </w:pPr>
            <w:r>
              <w:rPr/>
              <w:t>225</w:t>
            </w:r>
          </w:p>
        </w:tc>
        <w:tc>
          <w:tcPr>
            <w:tcW w:w="925" w:type="dxa"/>
            <w:tcBorders/>
            <w:vAlign w:val="center"/>
          </w:tcPr>
          <w:p>
            <w:pPr>
              <w:pStyle w:val="TableContents"/>
              <w:bidi w:val="0"/>
              <w:spacing w:before="0" w:after="283"/>
              <w:jc w:val="left"/>
              <w:rPr/>
            </w:pPr>
            <w:r>
              <w:rPr/>
              <w:t>1</w:t>
            </w:r>
          </w:p>
        </w:tc>
        <w:tc>
          <w:tcPr>
            <w:tcW w:w="1230" w:type="dxa"/>
            <w:tcBorders/>
            <w:vAlign w:val="center"/>
          </w:tcPr>
          <w:p>
            <w:pPr>
              <w:pStyle w:val="TableContents"/>
              <w:bidi w:val="0"/>
              <w:spacing w:before="0" w:after="283"/>
              <w:jc w:val="left"/>
              <w:rPr/>
            </w:pPr>
            <w:r>
              <w:rPr/>
              <w:t>22,5</w:t>
            </w:r>
          </w:p>
        </w:tc>
        <w:tc>
          <w:tcPr>
            <w:tcW w:w="2233" w:type="dxa"/>
            <w:tcBorders/>
            <w:vAlign w:val="center"/>
          </w:tcPr>
          <w:p>
            <w:pPr>
              <w:pStyle w:val="TableContents"/>
              <w:bidi w:val="0"/>
              <w:spacing w:before="0" w:after="283"/>
              <w:jc w:val="left"/>
              <w:rPr/>
            </w:pPr>
            <w:r>
              <w:rPr/>
              <w:t>52,3</w:t>
            </w:r>
          </w:p>
        </w:tc>
      </w:tr>
      <w:tr>
        <w:trPr/>
        <w:tc>
          <w:tcPr>
            <w:tcW w:w="2142" w:type="dxa"/>
            <w:tcBorders/>
            <w:vAlign w:val="center"/>
          </w:tcPr>
          <w:p>
            <w:pPr>
              <w:pStyle w:val="TableContents"/>
              <w:bidi w:val="0"/>
              <w:spacing w:before="0" w:after="283"/>
              <w:jc w:val="left"/>
              <w:rPr>
                <w:b/>
              </w:rPr>
            </w:pPr>
            <w:r>
              <w:rPr>
                <w:b/>
              </w:rPr>
              <w:t>375</w:t>
            </w:r>
          </w:p>
        </w:tc>
        <w:tc>
          <w:tcPr>
            <w:tcW w:w="925" w:type="dxa"/>
            <w:tcBorders/>
            <w:vAlign w:val="center"/>
          </w:tcPr>
          <w:p>
            <w:pPr>
              <w:pStyle w:val="TableContents"/>
              <w:bidi w:val="0"/>
              <w:spacing w:before="0" w:after="283"/>
              <w:jc w:val="left"/>
              <w:rPr>
                <w:b/>
              </w:rPr>
            </w:pPr>
            <w:r>
              <w:rPr>
                <w:b/>
              </w:rPr>
              <w:t>44</w:t>
            </w:r>
          </w:p>
        </w:tc>
        <w:tc>
          <w:tcPr>
            <w:tcW w:w="1230" w:type="dxa"/>
            <w:tcBorders/>
            <w:vAlign w:val="center"/>
          </w:tcPr>
          <w:p>
            <w:pPr>
              <w:pStyle w:val="TableContents"/>
              <w:bidi w:val="0"/>
              <w:spacing w:before="0" w:after="283"/>
              <w:jc w:val="left"/>
              <w:rPr>
                <w:b/>
              </w:rPr>
            </w:pPr>
            <w:r>
              <w:rPr>
                <w:b/>
              </w:rPr>
              <w:t>37,5</w:t>
            </w:r>
          </w:p>
        </w:tc>
        <w:tc>
          <w:tcPr>
            <w:tcW w:w="2233" w:type="dxa"/>
            <w:tcBorders/>
            <w:vAlign w:val="center"/>
          </w:tcPr>
          <w:p>
            <w:pPr>
              <w:pStyle w:val="TableContents"/>
              <w:bidi w:val="0"/>
              <w:spacing w:before="0" w:after="283"/>
              <w:jc w:val="left"/>
              <w:rPr/>
            </w:pPr>
            <w:r>
              <w:rPr/>
              <w:t>87,2</w:t>
            </w:r>
          </w:p>
        </w:tc>
      </w:tr>
      <w:tr>
        <w:trPr/>
        <w:tc>
          <w:tcPr>
            <w:tcW w:w="2142" w:type="dxa"/>
            <w:tcBorders/>
            <w:vAlign w:val="center"/>
          </w:tcPr>
          <w:p>
            <w:pPr>
              <w:pStyle w:val="TableContents"/>
              <w:bidi w:val="0"/>
              <w:spacing w:before="0" w:after="283"/>
              <w:jc w:val="left"/>
              <w:rPr/>
            </w:pPr>
            <w:r>
              <w:rPr/>
              <w:t>376</w:t>
            </w:r>
          </w:p>
        </w:tc>
        <w:tc>
          <w:tcPr>
            <w:tcW w:w="925" w:type="dxa"/>
            <w:tcBorders/>
            <w:vAlign w:val="center"/>
          </w:tcPr>
          <w:p>
            <w:pPr>
              <w:pStyle w:val="TableContents"/>
              <w:bidi w:val="0"/>
              <w:spacing w:before="0" w:after="283"/>
              <w:jc w:val="left"/>
              <w:rPr/>
            </w:pPr>
            <w:r>
              <w:rPr/>
              <w:t>1</w:t>
            </w:r>
          </w:p>
        </w:tc>
        <w:tc>
          <w:tcPr>
            <w:tcW w:w="1230" w:type="dxa"/>
            <w:tcBorders/>
            <w:vAlign w:val="center"/>
          </w:tcPr>
          <w:p>
            <w:pPr>
              <w:pStyle w:val="TableContents"/>
              <w:bidi w:val="0"/>
              <w:spacing w:before="0" w:after="283"/>
              <w:jc w:val="left"/>
              <w:rPr/>
            </w:pPr>
            <w:r>
              <w:rPr/>
              <w:t>37,6</w:t>
            </w:r>
          </w:p>
        </w:tc>
        <w:tc>
          <w:tcPr>
            <w:tcW w:w="2233" w:type="dxa"/>
            <w:tcBorders/>
            <w:vAlign w:val="center"/>
          </w:tcPr>
          <w:p>
            <w:pPr>
              <w:pStyle w:val="TableContents"/>
              <w:bidi w:val="0"/>
              <w:spacing w:before="0" w:after="283"/>
              <w:jc w:val="left"/>
              <w:rPr/>
            </w:pPr>
            <w:r>
              <w:rPr/>
              <w:t>87,4</w:t>
            </w:r>
          </w:p>
        </w:tc>
      </w:tr>
      <w:tr>
        <w:trPr/>
        <w:tc>
          <w:tcPr>
            <w:tcW w:w="2142" w:type="dxa"/>
            <w:tcBorders/>
            <w:vAlign w:val="center"/>
          </w:tcPr>
          <w:p>
            <w:pPr>
              <w:pStyle w:val="TableContents"/>
              <w:bidi w:val="0"/>
              <w:spacing w:before="0" w:after="283"/>
              <w:jc w:val="left"/>
              <w:rPr/>
            </w:pPr>
            <w:r>
              <w:rPr/>
              <w:t>385</w:t>
            </w:r>
          </w:p>
        </w:tc>
        <w:tc>
          <w:tcPr>
            <w:tcW w:w="925" w:type="dxa"/>
            <w:tcBorders/>
            <w:vAlign w:val="center"/>
          </w:tcPr>
          <w:p>
            <w:pPr>
              <w:pStyle w:val="TableContents"/>
              <w:bidi w:val="0"/>
              <w:spacing w:before="0" w:after="283"/>
              <w:jc w:val="left"/>
              <w:rPr/>
            </w:pPr>
            <w:r>
              <w:rPr/>
              <w:t>8</w:t>
            </w:r>
          </w:p>
        </w:tc>
        <w:tc>
          <w:tcPr>
            <w:tcW w:w="1230" w:type="dxa"/>
            <w:tcBorders/>
            <w:vAlign w:val="center"/>
          </w:tcPr>
          <w:p>
            <w:pPr>
              <w:pStyle w:val="TableContents"/>
              <w:bidi w:val="0"/>
              <w:spacing w:before="0" w:after="283"/>
              <w:jc w:val="left"/>
              <w:rPr/>
            </w:pPr>
            <w:r>
              <w:rPr/>
              <w:t>38,5</w:t>
            </w:r>
          </w:p>
        </w:tc>
        <w:tc>
          <w:tcPr>
            <w:tcW w:w="2233" w:type="dxa"/>
            <w:tcBorders/>
            <w:vAlign w:val="center"/>
          </w:tcPr>
          <w:p>
            <w:pPr>
              <w:pStyle w:val="TableContents"/>
              <w:bidi w:val="0"/>
              <w:spacing w:before="0" w:after="283"/>
              <w:jc w:val="left"/>
              <w:rPr/>
            </w:pPr>
            <w:r>
              <w:rPr/>
              <w:t>89,5</w:t>
            </w:r>
          </w:p>
        </w:tc>
      </w:tr>
      <w:tr>
        <w:trPr/>
        <w:tc>
          <w:tcPr>
            <w:tcW w:w="2142" w:type="dxa"/>
            <w:tcBorders/>
            <w:vAlign w:val="center"/>
          </w:tcPr>
          <w:p>
            <w:pPr>
              <w:pStyle w:val="TableContents"/>
              <w:bidi w:val="0"/>
              <w:spacing w:before="0" w:after="283"/>
              <w:jc w:val="left"/>
              <w:rPr/>
            </w:pPr>
            <w:r>
              <w:rPr/>
              <w:t>387</w:t>
            </w:r>
          </w:p>
        </w:tc>
        <w:tc>
          <w:tcPr>
            <w:tcW w:w="925" w:type="dxa"/>
            <w:tcBorders/>
            <w:vAlign w:val="center"/>
          </w:tcPr>
          <w:p>
            <w:pPr>
              <w:pStyle w:val="TableContents"/>
              <w:bidi w:val="0"/>
              <w:spacing w:before="0" w:after="283"/>
              <w:jc w:val="left"/>
              <w:rPr/>
            </w:pPr>
            <w:r>
              <w:rPr/>
              <w:t>1</w:t>
            </w:r>
          </w:p>
        </w:tc>
        <w:tc>
          <w:tcPr>
            <w:tcW w:w="1230" w:type="dxa"/>
            <w:tcBorders/>
            <w:vAlign w:val="center"/>
          </w:tcPr>
          <w:p>
            <w:pPr>
              <w:pStyle w:val="TableContents"/>
              <w:bidi w:val="0"/>
              <w:spacing w:before="0" w:after="283"/>
              <w:jc w:val="left"/>
              <w:rPr/>
            </w:pPr>
            <w:r>
              <w:rPr/>
              <w:t>38,7</w:t>
            </w:r>
          </w:p>
        </w:tc>
        <w:tc>
          <w:tcPr>
            <w:tcW w:w="2233" w:type="dxa"/>
            <w:tcBorders/>
            <w:vAlign w:val="center"/>
          </w:tcPr>
          <w:p>
            <w:pPr>
              <w:pStyle w:val="TableContents"/>
              <w:bidi w:val="0"/>
              <w:spacing w:before="0" w:after="283"/>
              <w:jc w:val="left"/>
              <w:rPr/>
            </w:pPr>
            <w:r>
              <w:rPr/>
              <w:t>90,0</w:t>
            </w:r>
          </w:p>
        </w:tc>
      </w:tr>
      <w:tr>
        <w:trPr/>
        <w:tc>
          <w:tcPr>
            <w:tcW w:w="2142" w:type="dxa"/>
            <w:tcBorders/>
            <w:vAlign w:val="center"/>
          </w:tcPr>
          <w:p>
            <w:pPr>
              <w:pStyle w:val="TableContents"/>
              <w:bidi w:val="0"/>
              <w:spacing w:before="0" w:after="283"/>
              <w:jc w:val="left"/>
              <w:rPr/>
            </w:pPr>
            <w:r>
              <w:rPr/>
              <w:t>408</w:t>
            </w:r>
          </w:p>
        </w:tc>
        <w:tc>
          <w:tcPr>
            <w:tcW w:w="925" w:type="dxa"/>
            <w:tcBorders/>
            <w:vAlign w:val="center"/>
          </w:tcPr>
          <w:p>
            <w:pPr>
              <w:pStyle w:val="TableContents"/>
              <w:bidi w:val="0"/>
              <w:spacing w:before="0" w:after="283"/>
              <w:jc w:val="left"/>
              <w:rPr/>
            </w:pPr>
            <w:r>
              <w:rPr/>
              <w:t>1</w:t>
            </w:r>
          </w:p>
        </w:tc>
        <w:tc>
          <w:tcPr>
            <w:tcW w:w="1230" w:type="dxa"/>
            <w:tcBorders/>
            <w:vAlign w:val="center"/>
          </w:tcPr>
          <w:p>
            <w:pPr>
              <w:pStyle w:val="TableContents"/>
              <w:bidi w:val="0"/>
              <w:spacing w:before="0" w:after="283"/>
              <w:jc w:val="left"/>
              <w:rPr/>
            </w:pPr>
            <w:r>
              <w:rPr/>
              <w:t>40,8</w:t>
            </w:r>
          </w:p>
        </w:tc>
        <w:tc>
          <w:tcPr>
            <w:tcW w:w="2233" w:type="dxa"/>
            <w:tcBorders/>
            <w:vAlign w:val="center"/>
          </w:tcPr>
          <w:p>
            <w:pPr>
              <w:pStyle w:val="TableContents"/>
              <w:bidi w:val="0"/>
              <w:spacing w:before="0" w:after="283"/>
              <w:jc w:val="left"/>
              <w:rPr/>
            </w:pPr>
            <w:r>
              <w:rPr/>
              <w:t>94,9</w:t>
            </w:r>
          </w:p>
        </w:tc>
      </w:tr>
      <w:tr>
        <w:trPr/>
        <w:tc>
          <w:tcPr>
            <w:tcW w:w="2142" w:type="dxa"/>
            <w:tcBorders/>
            <w:vAlign w:val="center"/>
          </w:tcPr>
          <w:p>
            <w:pPr>
              <w:pStyle w:val="TableContents"/>
              <w:bidi w:val="0"/>
              <w:spacing w:before="0" w:after="283"/>
              <w:jc w:val="left"/>
              <w:rPr/>
            </w:pPr>
            <w:r>
              <w:rPr/>
              <w:t>425</w:t>
            </w:r>
          </w:p>
        </w:tc>
        <w:tc>
          <w:tcPr>
            <w:tcW w:w="925" w:type="dxa"/>
            <w:tcBorders/>
            <w:vAlign w:val="center"/>
          </w:tcPr>
          <w:p>
            <w:pPr>
              <w:pStyle w:val="TableContents"/>
              <w:bidi w:val="0"/>
              <w:spacing w:before="0" w:after="283"/>
              <w:jc w:val="left"/>
              <w:rPr/>
            </w:pPr>
            <w:r>
              <w:rPr/>
              <w:t>5</w:t>
            </w:r>
          </w:p>
        </w:tc>
        <w:tc>
          <w:tcPr>
            <w:tcW w:w="1230" w:type="dxa"/>
            <w:tcBorders/>
            <w:vAlign w:val="center"/>
          </w:tcPr>
          <w:p>
            <w:pPr>
              <w:pStyle w:val="TableContents"/>
              <w:bidi w:val="0"/>
              <w:spacing w:before="0" w:after="283"/>
              <w:jc w:val="left"/>
              <w:rPr/>
            </w:pPr>
            <w:r>
              <w:rPr/>
              <w:t>42,5</w:t>
            </w:r>
          </w:p>
        </w:tc>
        <w:tc>
          <w:tcPr>
            <w:tcW w:w="2233" w:type="dxa"/>
            <w:tcBorders/>
            <w:vAlign w:val="center"/>
          </w:tcPr>
          <w:p>
            <w:pPr>
              <w:pStyle w:val="TableContents"/>
              <w:bidi w:val="0"/>
              <w:spacing w:before="0" w:after="283"/>
              <w:jc w:val="left"/>
              <w:rPr/>
            </w:pPr>
            <w:r>
              <w:rPr/>
              <w:t>98,8</w:t>
            </w:r>
          </w:p>
        </w:tc>
      </w:tr>
      <w:tr>
        <w:trPr/>
        <w:tc>
          <w:tcPr>
            <w:tcW w:w="2142" w:type="dxa"/>
            <w:tcBorders/>
            <w:vAlign w:val="center"/>
          </w:tcPr>
          <w:p>
            <w:pPr>
              <w:pStyle w:val="TableContents"/>
              <w:bidi w:val="0"/>
              <w:spacing w:before="0" w:after="283"/>
              <w:jc w:val="left"/>
              <w:rPr/>
            </w:pPr>
            <w:r>
              <w:rPr/>
              <w:t>475</w:t>
            </w:r>
          </w:p>
        </w:tc>
        <w:tc>
          <w:tcPr>
            <w:tcW w:w="925" w:type="dxa"/>
            <w:tcBorders/>
            <w:vAlign w:val="center"/>
          </w:tcPr>
          <w:p>
            <w:pPr>
              <w:pStyle w:val="TableContents"/>
              <w:bidi w:val="0"/>
              <w:spacing w:before="0" w:after="283"/>
              <w:jc w:val="left"/>
              <w:rPr/>
            </w:pPr>
            <w:r>
              <w:rPr/>
              <w:t>1</w:t>
            </w:r>
          </w:p>
        </w:tc>
        <w:tc>
          <w:tcPr>
            <w:tcW w:w="1230" w:type="dxa"/>
            <w:tcBorders/>
            <w:vAlign w:val="center"/>
          </w:tcPr>
          <w:p>
            <w:pPr>
              <w:pStyle w:val="TableContents"/>
              <w:bidi w:val="0"/>
              <w:spacing w:before="0" w:after="283"/>
              <w:jc w:val="left"/>
              <w:rPr/>
            </w:pPr>
            <w:r>
              <w:rPr/>
              <w:t>47,5</w:t>
            </w:r>
          </w:p>
        </w:tc>
        <w:tc>
          <w:tcPr>
            <w:tcW w:w="2233" w:type="dxa"/>
            <w:tcBorders/>
            <w:vAlign w:val="center"/>
          </w:tcPr>
          <w:p>
            <w:pPr>
              <w:pStyle w:val="TableContents"/>
              <w:bidi w:val="0"/>
              <w:spacing w:before="0" w:after="283"/>
              <w:jc w:val="left"/>
              <w:rPr/>
            </w:pPr>
            <w:r>
              <w:rPr/>
              <w:t>110,5</w:t>
            </w:r>
          </w:p>
        </w:tc>
      </w:tr>
      <w:tr>
        <w:trPr/>
        <w:tc>
          <w:tcPr>
            <w:tcW w:w="3067" w:type="dxa"/>
            <w:gridSpan w:val="2"/>
            <w:tcBorders/>
            <w:vAlign w:val="center"/>
          </w:tcPr>
          <w:p>
            <w:pPr>
              <w:pStyle w:val="TableContents"/>
              <w:bidi w:val="0"/>
              <w:spacing w:before="0" w:after="283"/>
              <w:jc w:val="left"/>
              <w:rPr>
                <w:b/>
              </w:rPr>
            </w:pPr>
            <w:r>
              <w:rPr>
                <w:b/>
              </w:rPr>
              <w:t>Rango resultante</w:t>
            </w:r>
          </w:p>
        </w:tc>
        <w:tc>
          <w:tcPr>
            <w:tcW w:w="1230" w:type="dxa"/>
            <w:tcBorders/>
            <w:vAlign w:val="center"/>
          </w:tcPr>
          <w:p>
            <w:pPr>
              <w:pStyle w:val="TableContents"/>
              <w:bidi w:val="0"/>
              <w:spacing w:before="0" w:after="283"/>
              <w:jc w:val="left"/>
              <w:rPr>
                <w:b/>
              </w:rPr>
            </w:pPr>
            <w:r>
              <w:rPr>
                <w:b/>
              </w:rPr>
              <w:t>22,5 – 47,5</w:t>
            </w:r>
          </w:p>
        </w:tc>
        <w:tc>
          <w:tcPr>
            <w:tcW w:w="2233" w:type="dxa"/>
            <w:tcBorders/>
            <w:vAlign w:val="center"/>
          </w:tcPr>
          <w:p>
            <w:pPr>
              <w:pStyle w:val="TableContents"/>
              <w:bidi w:val="0"/>
              <w:spacing w:before="0" w:after="283"/>
              <w:jc w:val="left"/>
              <w:rPr>
                <w:b/>
              </w:rPr>
            </w:pPr>
            <w:r>
              <w:rPr>
                <w:b/>
              </w:rPr>
              <w:t>52,3 – 110,5</w:t>
            </w:r>
          </w:p>
        </w:tc>
      </w:tr>
      <w:tr>
        <w:trPr/>
        <w:tc>
          <w:tcPr>
            <w:tcW w:w="3067" w:type="dxa"/>
            <w:gridSpan w:val="2"/>
            <w:tcBorders/>
            <w:vAlign w:val="center"/>
          </w:tcPr>
          <w:p>
            <w:pPr>
              <w:pStyle w:val="TableContents"/>
              <w:bidi w:val="0"/>
              <w:spacing w:before="0" w:after="283"/>
              <w:jc w:val="left"/>
              <w:rPr>
                <w:b/>
              </w:rPr>
            </w:pPr>
            <w:r>
              <w:rPr>
                <w:b/>
              </w:rPr>
              <w:t>Por encima de 60 h/semana</w:t>
            </w:r>
          </w:p>
        </w:tc>
        <w:tc>
          <w:tcPr>
            <w:tcW w:w="1230" w:type="dxa"/>
            <w:tcBorders/>
            <w:vAlign w:val="center"/>
          </w:tcPr>
          <w:p>
            <w:pPr>
              <w:pStyle w:val="TableContents"/>
              <w:bidi w:val="0"/>
              <w:spacing w:before="0" w:after="283"/>
              <w:jc w:val="left"/>
              <w:rPr>
                <w:b/>
              </w:rPr>
            </w:pPr>
            <w:r>
              <w:rPr>
                <w:b/>
              </w:rPr>
              <w:t>0 de 62</w:t>
            </w:r>
          </w:p>
        </w:tc>
        <w:tc>
          <w:tcPr>
            <w:tcW w:w="2233" w:type="dxa"/>
            <w:tcBorders/>
            <w:vAlign w:val="center"/>
          </w:tcPr>
          <w:p>
            <w:pPr>
              <w:pStyle w:val="TableContents"/>
              <w:bidi w:val="0"/>
              <w:spacing w:before="0" w:after="283"/>
              <w:jc w:val="left"/>
              <w:rPr>
                <w:b/>
              </w:rPr>
            </w:pPr>
            <w:r>
              <w:rPr>
                <w:b/>
              </w:rPr>
              <w:t>61 de 62</w:t>
            </w:r>
          </w:p>
        </w:tc>
      </w:tr>
    </w:tbl>
    <w:p>
      <w:pPr>
        <w:pStyle w:val="Heading3"/>
        <w:bidi w:val="0"/>
        <w:rPr/>
      </w:pPr>
      <w:r>
        <w:rPr/>
        <w:t>Origen geográfico de los 62 registros</w:t>
      </w:r>
    </w:p>
    <w:tbl>
      <w:tblPr>
        <w:tblW w:w="4499" w:type="dxa"/>
        <w:jc w:val="left"/>
        <w:tblInd w:w="28" w:type="dxa"/>
        <w:tblLayout w:type="fixed"/>
        <w:tblCellMar>
          <w:top w:w="28" w:type="dxa"/>
          <w:left w:w="28" w:type="dxa"/>
          <w:bottom w:w="28" w:type="dxa"/>
          <w:right w:w="28" w:type="dxa"/>
        </w:tblCellMar>
      </w:tblPr>
      <w:tblGrid>
        <w:gridCol w:w="1108"/>
        <w:gridCol w:w="1617"/>
        <w:gridCol w:w="1774"/>
      </w:tblGrid>
      <w:tr>
        <w:trPr/>
        <w:tc>
          <w:tcPr>
            <w:tcW w:w="1108" w:type="dxa"/>
            <w:tcBorders/>
            <w:vAlign w:val="center"/>
          </w:tcPr>
          <w:p>
            <w:pPr>
              <w:pStyle w:val="TableHeading"/>
              <w:suppressLineNumbers/>
              <w:shd w:fill="E8E8E8" w:val="clear"/>
              <w:bidi w:val="0"/>
              <w:spacing w:before="0" w:after="283"/>
              <w:jc w:val="left"/>
              <w:rPr/>
            </w:pPr>
            <w:r>
              <w:rPr/>
              <w:t>País</w:t>
            </w:r>
          </w:p>
        </w:tc>
        <w:tc>
          <w:tcPr>
            <w:tcW w:w="1617" w:type="dxa"/>
            <w:tcBorders/>
            <w:vAlign w:val="center"/>
          </w:tcPr>
          <w:p>
            <w:pPr>
              <w:pStyle w:val="TableHeading"/>
              <w:suppressLineNumbers/>
              <w:shd w:fill="E8E8E8" w:val="clear"/>
              <w:bidi w:val="0"/>
              <w:spacing w:before="0" w:after="283"/>
              <w:jc w:val="left"/>
              <w:rPr/>
            </w:pPr>
            <w:r>
              <w:rPr/>
              <w:t>% entre los 62</w:t>
            </w:r>
          </w:p>
        </w:tc>
        <w:tc>
          <w:tcPr>
            <w:tcW w:w="1774" w:type="dxa"/>
            <w:tcBorders/>
            <w:vAlign w:val="center"/>
          </w:tcPr>
          <w:p>
            <w:pPr>
              <w:pStyle w:val="TableHeading"/>
              <w:suppressLineNumbers/>
              <w:shd w:fill="E8E8E8" w:val="clear"/>
              <w:bidi w:val="0"/>
              <w:spacing w:before="0" w:after="283"/>
              <w:jc w:val="left"/>
              <w:rPr/>
            </w:pPr>
            <w:r>
              <w:rPr/>
              <w:t>% en el dataset</w:t>
            </w:r>
          </w:p>
        </w:tc>
      </w:tr>
      <w:tr>
        <w:trPr/>
        <w:tc>
          <w:tcPr>
            <w:tcW w:w="1108" w:type="dxa"/>
            <w:tcBorders/>
            <w:vAlign w:val="center"/>
          </w:tcPr>
          <w:p>
            <w:pPr>
              <w:pStyle w:val="TableContents"/>
              <w:bidi w:val="0"/>
              <w:spacing w:before="0" w:after="283"/>
              <w:jc w:val="left"/>
              <w:rPr>
                <w:b/>
              </w:rPr>
            </w:pPr>
            <w:r>
              <w:rPr>
                <w:b/>
              </w:rPr>
              <w:t>Noruega</w:t>
            </w:r>
          </w:p>
        </w:tc>
        <w:tc>
          <w:tcPr>
            <w:tcW w:w="1617" w:type="dxa"/>
            <w:tcBorders/>
            <w:vAlign w:val="center"/>
          </w:tcPr>
          <w:p>
            <w:pPr>
              <w:pStyle w:val="TableContents"/>
              <w:bidi w:val="0"/>
              <w:spacing w:before="0" w:after="283"/>
              <w:jc w:val="left"/>
              <w:rPr>
                <w:b/>
              </w:rPr>
            </w:pPr>
            <w:r>
              <w:rPr>
                <w:b/>
              </w:rPr>
              <w:t>22,6 %</w:t>
            </w:r>
          </w:p>
        </w:tc>
        <w:tc>
          <w:tcPr>
            <w:tcW w:w="1774" w:type="dxa"/>
            <w:tcBorders/>
            <w:vAlign w:val="center"/>
          </w:tcPr>
          <w:p>
            <w:pPr>
              <w:pStyle w:val="TableContents"/>
              <w:bidi w:val="0"/>
              <w:spacing w:before="0" w:after="283"/>
              <w:jc w:val="left"/>
              <w:rPr/>
            </w:pPr>
            <w:r>
              <w:rPr/>
              <w:t>0,6 %</w:t>
            </w:r>
          </w:p>
        </w:tc>
      </w:tr>
      <w:tr>
        <w:trPr/>
        <w:tc>
          <w:tcPr>
            <w:tcW w:w="1108" w:type="dxa"/>
            <w:tcBorders/>
            <w:vAlign w:val="center"/>
          </w:tcPr>
          <w:p>
            <w:pPr>
              <w:pStyle w:val="TableContents"/>
              <w:bidi w:val="0"/>
              <w:spacing w:before="0" w:after="283"/>
              <w:jc w:val="left"/>
              <w:rPr>
                <w:b/>
              </w:rPr>
            </w:pPr>
            <w:r>
              <w:rPr>
                <w:b/>
              </w:rPr>
              <w:t>Finlandia</w:t>
            </w:r>
          </w:p>
        </w:tc>
        <w:tc>
          <w:tcPr>
            <w:tcW w:w="1617" w:type="dxa"/>
            <w:tcBorders/>
            <w:vAlign w:val="center"/>
          </w:tcPr>
          <w:p>
            <w:pPr>
              <w:pStyle w:val="TableContents"/>
              <w:bidi w:val="0"/>
              <w:spacing w:before="0" w:after="283"/>
              <w:jc w:val="left"/>
              <w:rPr>
                <w:b/>
              </w:rPr>
            </w:pPr>
            <w:r>
              <w:rPr>
                <w:b/>
              </w:rPr>
              <w:t>19,4 %</w:t>
            </w:r>
          </w:p>
        </w:tc>
        <w:tc>
          <w:tcPr>
            <w:tcW w:w="1774" w:type="dxa"/>
            <w:tcBorders/>
            <w:vAlign w:val="center"/>
          </w:tcPr>
          <w:p>
            <w:pPr>
              <w:pStyle w:val="TableContents"/>
              <w:bidi w:val="0"/>
              <w:spacing w:before="0" w:after="283"/>
              <w:jc w:val="left"/>
              <w:rPr/>
            </w:pPr>
            <w:r>
              <w:rPr/>
              <w:t>0,5 %</w:t>
            </w:r>
          </w:p>
        </w:tc>
      </w:tr>
      <w:tr>
        <w:trPr/>
        <w:tc>
          <w:tcPr>
            <w:tcW w:w="1108" w:type="dxa"/>
            <w:tcBorders/>
            <w:vAlign w:val="center"/>
          </w:tcPr>
          <w:p>
            <w:pPr>
              <w:pStyle w:val="TableContents"/>
              <w:bidi w:val="0"/>
              <w:spacing w:before="0" w:after="283"/>
              <w:jc w:val="left"/>
              <w:rPr/>
            </w:pPr>
            <w:r>
              <w:rPr/>
              <w:t>Alemania</w:t>
            </w:r>
          </w:p>
        </w:tc>
        <w:tc>
          <w:tcPr>
            <w:tcW w:w="1617" w:type="dxa"/>
            <w:tcBorders/>
            <w:vAlign w:val="center"/>
          </w:tcPr>
          <w:p>
            <w:pPr>
              <w:pStyle w:val="TableContents"/>
              <w:bidi w:val="0"/>
              <w:spacing w:before="0" w:after="283"/>
              <w:jc w:val="left"/>
              <w:rPr/>
            </w:pPr>
            <w:r>
              <w:rPr/>
              <w:t>12,9 %</w:t>
            </w:r>
          </w:p>
        </w:tc>
        <w:tc>
          <w:tcPr>
            <w:tcW w:w="1774" w:type="dxa"/>
            <w:tcBorders/>
            <w:vAlign w:val="center"/>
          </w:tcPr>
          <w:p>
            <w:pPr>
              <w:pStyle w:val="TableContents"/>
              <w:bidi w:val="0"/>
              <w:spacing w:before="0" w:after="283"/>
              <w:jc w:val="left"/>
              <w:rPr/>
            </w:pPr>
            <w:r>
              <w:rPr/>
              <w:t>6,1 %</w:t>
            </w:r>
          </w:p>
        </w:tc>
      </w:tr>
      <w:tr>
        <w:trPr/>
        <w:tc>
          <w:tcPr>
            <w:tcW w:w="1108" w:type="dxa"/>
            <w:tcBorders/>
            <w:vAlign w:val="center"/>
          </w:tcPr>
          <w:p>
            <w:pPr>
              <w:pStyle w:val="TableContents"/>
              <w:bidi w:val="0"/>
              <w:spacing w:before="0" w:after="283"/>
              <w:jc w:val="left"/>
              <w:rPr>
                <w:b/>
              </w:rPr>
            </w:pPr>
            <w:r>
              <w:rPr>
                <w:b/>
              </w:rPr>
              <w:t>Austria</w:t>
            </w:r>
          </w:p>
        </w:tc>
        <w:tc>
          <w:tcPr>
            <w:tcW w:w="1617" w:type="dxa"/>
            <w:tcBorders/>
            <w:vAlign w:val="center"/>
          </w:tcPr>
          <w:p>
            <w:pPr>
              <w:pStyle w:val="TableContents"/>
              <w:bidi w:val="0"/>
              <w:spacing w:before="0" w:after="283"/>
              <w:jc w:val="left"/>
              <w:rPr>
                <w:b/>
              </w:rPr>
            </w:pPr>
            <w:r>
              <w:rPr>
                <w:b/>
              </w:rPr>
              <w:t>9,7 %</w:t>
            </w:r>
          </w:p>
        </w:tc>
        <w:tc>
          <w:tcPr>
            <w:tcW w:w="1774" w:type="dxa"/>
            <w:tcBorders/>
            <w:vAlign w:val="center"/>
          </w:tcPr>
          <w:p>
            <w:pPr>
              <w:pStyle w:val="TableContents"/>
              <w:bidi w:val="0"/>
              <w:spacing w:before="0" w:after="283"/>
              <w:jc w:val="left"/>
              <w:rPr/>
            </w:pPr>
            <w:r>
              <w:rPr/>
              <w:t>0,8 %</w:t>
            </w:r>
          </w:p>
        </w:tc>
      </w:tr>
      <w:tr>
        <w:trPr/>
        <w:tc>
          <w:tcPr>
            <w:tcW w:w="1108" w:type="dxa"/>
            <w:tcBorders/>
            <w:vAlign w:val="center"/>
          </w:tcPr>
          <w:p>
            <w:pPr>
              <w:pStyle w:val="TableContents"/>
              <w:bidi w:val="0"/>
              <w:spacing w:before="0" w:after="283"/>
              <w:jc w:val="left"/>
              <w:rPr/>
            </w:pPr>
            <w:r>
              <w:rPr/>
              <w:t>Francia</w:t>
            </w:r>
          </w:p>
        </w:tc>
        <w:tc>
          <w:tcPr>
            <w:tcW w:w="1617" w:type="dxa"/>
            <w:tcBorders/>
            <w:vAlign w:val="center"/>
          </w:tcPr>
          <w:p>
            <w:pPr>
              <w:pStyle w:val="TableContents"/>
              <w:bidi w:val="0"/>
              <w:spacing w:before="0" w:after="283"/>
              <w:jc w:val="left"/>
              <w:rPr/>
            </w:pPr>
            <w:r>
              <w:rPr/>
              <w:t>8,1 %</w:t>
            </w:r>
          </w:p>
        </w:tc>
        <w:tc>
          <w:tcPr>
            <w:tcW w:w="1774" w:type="dxa"/>
            <w:tcBorders/>
            <w:vAlign w:val="center"/>
          </w:tcPr>
          <w:p>
            <w:pPr>
              <w:pStyle w:val="TableContents"/>
              <w:bidi w:val="0"/>
              <w:spacing w:before="0" w:after="283"/>
              <w:jc w:val="left"/>
              <w:rPr/>
            </w:pPr>
            <w:r>
              <w:rPr/>
              <w:t>3,0 %</w:t>
            </w:r>
          </w:p>
        </w:tc>
      </w:tr>
    </w:tbl>
    <w:p>
      <w:pPr>
        <w:pStyle w:val="BodyText"/>
        <w:bidi w:val="0"/>
        <w:rPr/>
      </w:pPr>
      <w:r>
        <w:rPr/>
        <w:t>La jornada laboral estándar en Noruega y Finlandia es de 37,5 horas, y ambos países escriben el separador decimal con coma.</w:t>
      </w:r>
    </w:p>
    <w:p>
      <w:pPr>
        <w:pStyle w:val="Heading3"/>
        <w:bidi w:val="0"/>
        <w:rPr/>
      </w:pPr>
      <w:r>
        <w:rPr/>
        <w:t>Datos complementarios</w:t>
      </w:r>
    </w:p>
    <w:p>
      <w:pPr>
        <w:pStyle w:val="BodyText"/>
        <w:numPr>
          <w:ilvl w:val="0"/>
          <w:numId w:val="1"/>
        </w:numPr>
        <w:tabs>
          <w:tab w:val="clear" w:pos="1134"/>
          <w:tab w:val="left" w:pos="709" w:leader="none"/>
        </w:tabs>
        <w:bidi w:val="0"/>
        <w:spacing w:before="0" w:after="0"/>
        <w:ind w:hanging="283" w:left="709"/>
        <w:rPr/>
      </w:pPr>
      <w:r>
        <w:rPr/>
        <w:t xml:space="preserve">44 de los 62 valores son exactamente </w:t>
      </w:r>
      <w:r>
        <w:rPr>
          <w:b/>
        </w:rPr>
        <w:t>375</w:t>
      </w:r>
      <w:r>
        <w:rPr/>
        <w:t xml:space="preserve">. </w:t>
      </w:r>
    </w:p>
    <w:p>
      <w:pPr>
        <w:pStyle w:val="BodyText"/>
        <w:numPr>
          <w:ilvl w:val="0"/>
          <w:numId w:val="1"/>
        </w:numPr>
        <w:tabs>
          <w:tab w:val="clear" w:pos="1134"/>
          <w:tab w:val="left" w:pos="709" w:leader="none"/>
        </w:tabs>
        <w:bidi w:val="0"/>
        <w:spacing w:before="0" w:after="0"/>
        <w:ind w:hanging="283" w:left="709"/>
        <w:rPr/>
      </w:pPr>
      <w:r>
        <w:rPr/>
        <w:t xml:space="preserve">Trabajadores independientes: </w:t>
      </w:r>
      <w:r>
        <w:rPr>
          <w:b/>
        </w:rPr>
        <w:t>1,6 %</w:t>
      </w:r>
      <w:r>
        <w:rPr/>
        <w:t xml:space="preserve"> entre los 62 frente al </w:t>
      </w:r>
      <w:r>
        <w:rPr>
          <w:b/>
        </w:rPr>
        <w:t>8,8 %</w:t>
      </w:r>
      <w:r>
        <w:rPr/>
        <w:t xml:space="preserve"> del dataset. </w:t>
      </w:r>
    </w:p>
    <w:p>
      <w:pPr>
        <w:pStyle w:val="BodyText"/>
        <w:numPr>
          <w:ilvl w:val="0"/>
          <w:numId w:val="1"/>
        </w:numPr>
        <w:tabs>
          <w:tab w:val="clear" w:pos="1134"/>
          <w:tab w:val="left" w:pos="709" w:leader="none"/>
        </w:tabs>
        <w:bidi w:val="0"/>
        <w:spacing w:before="0" w:after="0"/>
        <w:ind w:hanging="283" w:left="709"/>
        <w:rPr/>
      </w:pPr>
      <w:r>
        <w:rPr/>
        <w:t xml:space="preserve">Sueldo mediano de quienes declararon 375: </w:t>
      </w:r>
      <w:r>
        <w:rPr>
          <w:b/>
        </w:rPr>
        <w:t>55.718 USD</w:t>
      </w:r>
      <w:r>
        <w:rPr/>
        <w:t xml:space="preserve">, frente a 54.049 del resto. </w:t>
      </w:r>
    </w:p>
    <w:p>
      <w:pPr>
        <w:pStyle w:val="BodyText"/>
        <w:numPr>
          <w:ilvl w:val="0"/>
          <w:numId w:val="1"/>
        </w:numPr>
        <w:tabs>
          <w:tab w:val="clear" w:pos="1134"/>
          <w:tab w:val="left" w:pos="709" w:leader="none"/>
        </w:tabs>
        <w:bidi w:val="0"/>
        <w:ind w:hanging="283" w:left="709"/>
        <w:rPr/>
      </w:pPr>
      <w:r>
        <w:rPr/>
        <w:t xml:space="preserve">Valores más frecuentes en el resto de la encuesta: 40 h (19.292 respuestas), 45 h (3.787), 50 h (2.747). </w:t>
      </w:r>
    </w:p>
    <w:p>
      <w:pPr>
        <w:pStyle w:val="Heading3"/>
        <w:bidi w:val="0"/>
        <w:rPr/>
      </w:pPr>
      <w:r>
        <w:rPr/>
        <w:t>Las dos hipótesis frente a la distribución real</w:t>
      </w:r>
    </w:p>
    <w:p>
      <w:pPr>
        <w:pStyle w:val="BodyText"/>
        <w:bidi w:val="0"/>
        <w:rPr/>
      </w:pPr>
      <w:r>
        <w:rPr/>
        <w:drawing>
          <wp:inline distT="0" distB="0" distL="0" distR="0">
            <wp:extent cx="8228965" cy="41141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8228965" cy="4114165"/>
                    </a:xfrm>
                    <a:prstGeom prst="rect">
                      <a:avLst/>
                    </a:prstGeom>
                    <a:noFill/>
                  </pic:spPr>
                </pic:pic>
              </a:graphicData>
            </a:graphic>
          </wp:inline>
        </w:drawing>
      </w:r>
      <w:r>
        <w:rPr/>
        <w:t xml:space="preserve"> </w:t>
      </w:r>
    </w:p>
    <w:p>
      <w:pPr>
        <w:pStyle w:val="BodyText"/>
        <w:bidi w:val="0"/>
        <w:rPr>
          <w:i/>
        </w:rPr>
      </w:pPr>
      <w:r>
        <w:rPr>
          <w:i/>
        </w:rPr>
        <w:t>Las líneas verdes son los 62 valores divididos entre 10; las rojas punteadas, los mismos valores divididos entre 4,3.</w:t>
      </w:r>
    </w:p>
    <w:p>
      <w:pPr>
        <w:pStyle w:val="Heading4"/>
        <w:bidi w:val="0"/>
        <w:spacing w:before="200" w:after="200"/>
        <w:ind w:hanging="0" w:left="200" w:right="200"/>
        <w:rPr>
          <w:bdr w:val="dashed" w:sz="12" w:space="10" w:color="BB0000"/>
          <w:shd w:fill="FFF8F8" w:val="clear"/>
        </w:rPr>
      </w:pPr>
      <w:r>
        <w:rPr>
          <w:bdr w:val="dashed" w:sz="12" w:space="10" w:color="BB0000"/>
          <w:shd w:fill="FFF8F8" w:val="clear"/>
        </w:rPr>
        <w:t xml:space="preserve">⬜ </w:t>
      </w:r>
      <w:r>
        <w:rPr>
          <w:bdr w:val="dashed" w:sz="12" w:space="10" w:color="BB0000"/>
          <w:shd w:fill="FFF8F8" w:val="clear"/>
        </w:rPr>
        <w:t>Falta escribir: por qué la corrección es válida</w:t>
      </w:r>
    </w:p>
    <w:p>
      <w:pPr>
        <w:pStyle w:val="BodyText"/>
        <w:bidi w:val="0"/>
        <w:spacing w:before="200" w:after="200"/>
        <w:ind w:hanging="0" w:left="200" w:right="200"/>
        <w:rPr>
          <w:bdr w:val="dashed" w:sz="12" w:space="10" w:color="BB0000"/>
          <w:shd w:fill="FFF8F8" w:val="clear"/>
        </w:rPr>
      </w:pPr>
      <w:r>
        <w:rPr>
          <w:bdr w:val="dashed" w:sz="12" w:space="10" w:color="BB0000"/>
          <w:shd w:fill="FFF8F8" w:val="clear"/>
        </w:rPr>
        <w:t>Material propio, de la sesión de trabajo:</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"Podríamos encontrar valores raros que no tendrían sentido en el análisis."</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"Son países con jornada de trabajo más corta."</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"Son de países que escriben el decimal con coma."</w:t>
      </w:r>
    </w:p>
    <w:p>
      <w:pPr>
        <w:pStyle w:val="BodyText"/>
        <w:bidi w:val="0"/>
        <w:spacing w:before="200" w:after="200"/>
        <w:ind w:hanging="0" w:left="200" w:right="200"/>
        <w:rPr>
          <w:bdr w:val="dashed" w:sz="12" w:space="10" w:color="BB0000"/>
          <w:shd w:fill="FFF8F8" w:val="clear"/>
        </w:rPr>
      </w:pPr>
      <w:r>
        <w:rPr>
          <w:bdr w:val="dashed" w:sz="12" w:space="10" w:color="BB0000"/>
          <w:shd w:fill="FFF8F8" w:val="clear"/>
        </w:rPr>
        <w:t>Falta hilarlo: qué se habría observado si la hipótesis fuera falsa, y por qué la concentración geográfica señala una causa sistemática y no un error al azar.</w:t>
      </w:r>
    </w:p>
    <w:p>
      <w:pPr>
        <w:pStyle w:val="Heading4"/>
        <w:bidi w:val="0"/>
        <w:spacing w:before="200" w:after="200"/>
        <w:ind w:hanging="0" w:left="200" w:right="200"/>
        <w:rPr>
          <w:bdr w:val="dashed" w:sz="12" w:space="10" w:color="BB0000"/>
          <w:shd w:fill="FFF8F8" w:val="clear"/>
        </w:rPr>
      </w:pPr>
      <w:r>
        <w:rPr>
          <w:bdr w:val="dashed" w:sz="12" w:space="10" w:color="BB0000"/>
          <w:shd w:fill="FFF8F8" w:val="clear"/>
        </w:rPr>
        <w:t xml:space="preserve">⬜ </w:t>
      </w:r>
      <w:r>
        <w:rPr>
          <w:bdr w:val="dashed" w:sz="12" w:space="10" w:color="BB0000"/>
          <w:shd w:fill="FFF8F8" w:val="clear"/>
        </w:rPr>
        <w:t>Falta escribir: el límite de la decisión</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"La única forma de validarlo sería si es muy recurrente, o preguntarle directamente a la persona."</w:t>
      </w:r>
    </w:p>
    <w:p>
      <w:pPr>
        <w:pStyle w:val="BodyText"/>
        <w:bidi w:val="0"/>
        <w:spacing w:before="200" w:after="200"/>
        <w:ind w:hanging="0" w:left="200" w:right="200"/>
        <w:rPr>
          <w:bdr w:val="dashed" w:sz="12" w:space="10" w:color="BB0000"/>
          <w:shd w:fill="FFF8F8" w:val="clear"/>
        </w:rPr>
      </w:pPr>
      <w:r>
        <w:rPr>
          <w:bdr w:val="dashed" w:sz="12" w:space="10" w:color="BB0000"/>
          <w:shd w:fill="FFF8F8" w:val="clear"/>
        </w:rPr>
        <w:t>Falta hilarlo: la encuesta es anónima, de modo que la reconstrucción se apoya en evidencia indirecta y no en confirmación del encuestado. Por qué reconstruir un separador perdido no equivale a inventar un dato.</w:t>
      </w:r>
    </w:p>
    <w:p>
      <w:pPr>
        <w:pStyle w:val="Heading1"/>
        <w:bidi w:val="0"/>
        <w:ind w:hanging="0"/>
        <w:rPr/>
      </w:pPr>
      <w:r>
        <w:rPr/>
        <w:t>2. CompTotal: anulación de 28 valores absurdos</w:t>
      </w:r>
    </w:p>
    <w:p>
      <w:pPr>
        <w:pStyle w:val="Heading2"/>
        <w:bidi w:val="0"/>
        <w:rPr/>
      </w:pPr>
      <w:r>
        <w:rPr/>
        <w:t>La decisión</w:t>
      </w:r>
    </w:p>
    <w:p>
      <w:pPr>
        <w:pStyle w:val="BodyText"/>
        <w:bidi w:val="0"/>
        <w:rPr/>
      </w:pPr>
      <w:r>
        <w:rPr/>
        <w:t>28 registros declaraban una compensación superior a 10⁹ en su moneda local. Se anuló el valor —queda como faltante— sin imputarlo y sin intentar reconstruirlo cruzando la frecuencia de pago con la moneda.</w:t>
      </w:r>
    </w:p>
    <w:p>
      <w:pPr>
        <w:pStyle w:val="Heading2"/>
        <w:bidi w:val="0"/>
        <w:rPr/>
      </w:pPr>
      <w:r>
        <w:rPr/>
        <w:t>La evidencia</w:t>
      </w:r>
    </w:p>
    <w:tbl>
      <w:tblPr>
        <w:tblW w:w="5594" w:type="dxa"/>
        <w:jc w:val="left"/>
        <w:tblInd w:w="28" w:type="dxa"/>
        <w:tblLayout w:type="fixed"/>
        <w:tblCellMar>
          <w:top w:w="28" w:type="dxa"/>
          <w:left w:w="28" w:type="dxa"/>
          <w:bottom w:w="28" w:type="dxa"/>
          <w:right w:w="28" w:type="dxa"/>
        </w:tblCellMar>
      </w:tblPr>
      <w:tblGrid>
        <w:gridCol w:w="1443"/>
        <w:gridCol w:w="956"/>
        <w:gridCol w:w="1294"/>
        <w:gridCol w:w="1901"/>
      </w:tblGrid>
      <w:tr>
        <w:trPr/>
        <w:tc>
          <w:tcPr>
            <w:tcW w:w="1443" w:type="dxa"/>
            <w:tcBorders/>
            <w:vAlign w:val="center"/>
          </w:tcPr>
          <w:p>
            <w:pPr>
              <w:pStyle w:val="TableHeading"/>
              <w:suppressLineNumbers/>
              <w:shd w:fill="E8E8E8" w:val="clear"/>
              <w:bidi w:val="0"/>
              <w:spacing w:before="0" w:after="283"/>
              <w:jc w:val="left"/>
              <w:rPr/>
            </w:pPr>
            <w:r>
              <w:rPr/>
              <w:t>CompTotal</w:t>
            </w:r>
          </w:p>
        </w:tc>
        <w:tc>
          <w:tcPr>
            <w:tcW w:w="956" w:type="dxa"/>
            <w:tcBorders/>
            <w:vAlign w:val="center"/>
          </w:tcPr>
          <w:p>
            <w:pPr>
              <w:pStyle w:val="TableHeading"/>
              <w:suppressLineNumbers/>
              <w:shd w:fill="E8E8E8" w:val="clear"/>
              <w:bidi w:val="0"/>
              <w:spacing w:before="0" w:after="283"/>
              <w:jc w:val="left"/>
              <w:rPr/>
            </w:pPr>
            <w:r>
              <w:rPr/>
              <w:t>Moneda</w:t>
            </w:r>
          </w:p>
        </w:tc>
        <w:tc>
          <w:tcPr>
            <w:tcW w:w="1294" w:type="dxa"/>
            <w:tcBorders/>
            <w:vAlign w:val="center"/>
          </w:tcPr>
          <w:p>
            <w:pPr>
              <w:pStyle w:val="TableHeading"/>
              <w:suppressLineNumbers/>
              <w:shd w:fill="E8E8E8" w:val="clear"/>
              <w:bidi w:val="0"/>
              <w:spacing w:before="0" w:after="283"/>
              <w:jc w:val="left"/>
              <w:rPr/>
            </w:pPr>
            <w:r>
              <w:rPr/>
              <w:t>Frecuencia</w:t>
            </w:r>
          </w:p>
        </w:tc>
        <w:tc>
          <w:tcPr>
            <w:tcW w:w="1901" w:type="dxa"/>
            <w:tcBorders/>
            <w:vAlign w:val="center"/>
          </w:tcPr>
          <w:p>
            <w:pPr>
              <w:pStyle w:val="TableHeading"/>
              <w:suppressLineNumbers/>
              <w:shd w:fill="E8E8E8" w:val="clear"/>
              <w:bidi w:val="0"/>
              <w:spacing w:before="0" w:after="283"/>
              <w:jc w:val="left"/>
              <w:rPr/>
            </w:pPr>
            <w:r>
              <w:rPr/>
              <w:t>ConvertedComp</w:t>
            </w:r>
          </w:p>
        </w:tc>
      </w:tr>
      <w:tr>
        <w:trPr/>
        <w:tc>
          <w:tcPr>
            <w:tcW w:w="1443" w:type="dxa"/>
            <w:tcBorders/>
            <w:vAlign w:val="center"/>
          </w:tcPr>
          <w:p>
            <w:pPr>
              <w:pStyle w:val="TableContents"/>
              <w:bidi w:val="0"/>
              <w:spacing w:before="0" w:after="283"/>
              <w:jc w:val="left"/>
              <w:rPr/>
            </w:pPr>
            <w:r>
              <w:rPr/>
              <w:t>1,111 × 10²⁴⁷</w:t>
            </w:r>
          </w:p>
        </w:tc>
        <w:tc>
          <w:tcPr>
            <w:tcW w:w="956" w:type="dxa"/>
            <w:tcBorders/>
            <w:vAlign w:val="center"/>
          </w:tcPr>
          <w:p>
            <w:pPr>
              <w:pStyle w:val="TableContents"/>
              <w:bidi w:val="0"/>
              <w:spacing w:before="0" w:after="283"/>
              <w:jc w:val="left"/>
              <w:rPr/>
            </w:pPr>
            <w:r>
              <w:rPr/>
              <w:t>BYN</w:t>
            </w:r>
          </w:p>
        </w:tc>
        <w:tc>
          <w:tcPr>
            <w:tcW w:w="1294" w:type="dxa"/>
            <w:tcBorders/>
            <w:vAlign w:val="center"/>
          </w:tcPr>
          <w:p>
            <w:pPr>
              <w:pStyle w:val="TableContents"/>
              <w:bidi w:val="0"/>
              <w:spacing w:before="0" w:after="283"/>
              <w:jc w:val="left"/>
              <w:rPr/>
            </w:pPr>
            <w:r>
              <w:rPr/>
              <w:t>Semanal</w:t>
            </w:r>
          </w:p>
        </w:tc>
        <w:tc>
          <w:tcPr>
            <w:tcW w:w="1901" w:type="dxa"/>
            <w:tcBorders/>
            <w:vAlign w:val="center"/>
          </w:tcPr>
          <w:p>
            <w:pPr>
              <w:pStyle w:val="TableContents"/>
              <w:bidi w:val="0"/>
              <w:spacing w:before="0" w:after="283"/>
              <w:jc w:val="left"/>
              <w:rPr/>
            </w:pPr>
            <w:r>
              <w:rPr/>
              <w:t>1.000.000</w:t>
            </w:r>
          </w:p>
        </w:tc>
      </w:tr>
      <w:tr>
        <w:trPr/>
        <w:tc>
          <w:tcPr>
            <w:tcW w:w="1443" w:type="dxa"/>
            <w:tcBorders/>
            <w:vAlign w:val="center"/>
          </w:tcPr>
          <w:p>
            <w:pPr>
              <w:pStyle w:val="TableContents"/>
              <w:bidi w:val="0"/>
              <w:spacing w:before="0" w:after="283"/>
              <w:jc w:val="left"/>
              <w:rPr/>
            </w:pPr>
            <w:r>
              <w:rPr/>
              <w:t>1 × 10¹⁵⁰</w:t>
            </w:r>
          </w:p>
        </w:tc>
        <w:tc>
          <w:tcPr>
            <w:tcW w:w="956" w:type="dxa"/>
            <w:tcBorders/>
            <w:vAlign w:val="center"/>
          </w:tcPr>
          <w:p>
            <w:pPr>
              <w:pStyle w:val="TableContents"/>
              <w:bidi w:val="0"/>
              <w:spacing w:before="0" w:after="283"/>
              <w:jc w:val="left"/>
              <w:rPr/>
            </w:pPr>
            <w:r>
              <w:rPr/>
              <w:t>USD</w:t>
            </w:r>
          </w:p>
        </w:tc>
        <w:tc>
          <w:tcPr>
            <w:tcW w:w="1294" w:type="dxa"/>
            <w:tcBorders/>
            <w:vAlign w:val="center"/>
          </w:tcPr>
          <w:p>
            <w:pPr>
              <w:pStyle w:val="TableContents"/>
              <w:bidi w:val="0"/>
              <w:spacing w:before="0" w:after="283"/>
              <w:jc w:val="left"/>
              <w:rPr/>
            </w:pPr>
            <w:r>
              <w:rPr/>
              <w:t>Semanal</w:t>
            </w:r>
          </w:p>
        </w:tc>
        <w:tc>
          <w:tcPr>
            <w:tcW w:w="1901" w:type="dxa"/>
            <w:tcBorders/>
            <w:vAlign w:val="center"/>
          </w:tcPr>
          <w:p>
            <w:pPr>
              <w:pStyle w:val="TableContents"/>
              <w:bidi w:val="0"/>
              <w:spacing w:before="0" w:after="283"/>
              <w:jc w:val="left"/>
              <w:rPr/>
            </w:pPr>
            <w:r>
              <w:rPr/>
              <w:t>2.000.000</w:t>
            </w:r>
          </w:p>
        </w:tc>
      </w:tr>
      <w:tr>
        <w:trPr/>
        <w:tc>
          <w:tcPr>
            <w:tcW w:w="1443" w:type="dxa"/>
            <w:tcBorders/>
            <w:vAlign w:val="center"/>
          </w:tcPr>
          <w:p>
            <w:pPr>
              <w:pStyle w:val="TableContents"/>
              <w:bidi w:val="0"/>
              <w:spacing w:before="0" w:after="283"/>
              <w:jc w:val="left"/>
              <w:rPr/>
            </w:pPr>
            <w:r>
              <w:rPr/>
              <w:t>1 × 10⁵⁶</w:t>
            </w:r>
          </w:p>
        </w:tc>
        <w:tc>
          <w:tcPr>
            <w:tcW w:w="956" w:type="dxa"/>
            <w:tcBorders/>
            <w:vAlign w:val="center"/>
          </w:tcPr>
          <w:p>
            <w:pPr>
              <w:pStyle w:val="TableContents"/>
              <w:bidi w:val="0"/>
              <w:spacing w:before="0" w:after="283"/>
              <w:jc w:val="left"/>
              <w:rPr/>
            </w:pPr>
            <w:r>
              <w:rPr/>
              <w:t>USD</w:t>
            </w:r>
          </w:p>
        </w:tc>
        <w:tc>
          <w:tcPr>
            <w:tcW w:w="1294" w:type="dxa"/>
            <w:tcBorders/>
            <w:vAlign w:val="center"/>
          </w:tcPr>
          <w:p>
            <w:pPr>
              <w:pStyle w:val="TableContents"/>
              <w:bidi w:val="0"/>
              <w:spacing w:before="0" w:after="283"/>
              <w:jc w:val="left"/>
              <w:rPr/>
            </w:pPr>
            <w:r>
              <w:rPr/>
              <w:t>Anual</w:t>
            </w:r>
          </w:p>
        </w:tc>
        <w:tc>
          <w:tcPr>
            <w:tcW w:w="1901" w:type="dxa"/>
            <w:tcBorders/>
            <w:vAlign w:val="center"/>
          </w:tcPr>
          <w:p>
            <w:pPr>
              <w:pStyle w:val="TableContents"/>
              <w:bidi w:val="0"/>
              <w:spacing w:before="0" w:after="283"/>
              <w:jc w:val="left"/>
              <w:rPr/>
            </w:pPr>
            <w:r>
              <w:rPr/>
              <w:t>2.000.000</w:t>
            </w:r>
          </w:p>
        </w:tc>
      </w:tr>
      <w:tr>
        <w:trPr/>
        <w:tc>
          <w:tcPr>
            <w:tcW w:w="1443" w:type="dxa"/>
            <w:tcBorders/>
            <w:vAlign w:val="center"/>
          </w:tcPr>
          <w:p>
            <w:pPr>
              <w:pStyle w:val="TableContents"/>
              <w:bidi w:val="0"/>
              <w:spacing w:before="0" w:after="283"/>
              <w:jc w:val="left"/>
              <w:rPr/>
            </w:pPr>
            <w:r>
              <w:rPr/>
              <w:t>1 × 10⁴⁹</w:t>
            </w:r>
          </w:p>
        </w:tc>
        <w:tc>
          <w:tcPr>
            <w:tcW w:w="956" w:type="dxa"/>
            <w:tcBorders/>
            <w:vAlign w:val="center"/>
          </w:tcPr>
          <w:p>
            <w:pPr>
              <w:pStyle w:val="TableContents"/>
              <w:bidi w:val="0"/>
              <w:spacing w:before="0" w:after="283"/>
              <w:jc w:val="left"/>
              <w:rPr/>
            </w:pPr>
            <w:r>
              <w:rPr/>
              <w:t>CAD</w:t>
            </w:r>
          </w:p>
        </w:tc>
        <w:tc>
          <w:tcPr>
            <w:tcW w:w="1294" w:type="dxa"/>
            <w:tcBorders/>
            <w:vAlign w:val="center"/>
          </w:tcPr>
          <w:p>
            <w:pPr>
              <w:pStyle w:val="TableContents"/>
              <w:bidi w:val="0"/>
              <w:spacing w:before="0" w:after="283"/>
              <w:jc w:val="left"/>
              <w:rPr/>
            </w:pPr>
            <w:r>
              <w:rPr/>
              <w:t>Anual</w:t>
            </w:r>
          </w:p>
        </w:tc>
        <w:tc>
          <w:tcPr>
            <w:tcW w:w="1901" w:type="dxa"/>
            <w:tcBorders/>
            <w:vAlign w:val="center"/>
          </w:tcPr>
          <w:p>
            <w:pPr>
              <w:pStyle w:val="TableContents"/>
              <w:bidi w:val="0"/>
              <w:spacing w:before="0" w:after="283"/>
              <w:jc w:val="left"/>
              <w:rPr/>
            </w:pPr>
            <w:r>
              <w:rPr/>
              <w:t>1.000.000</w:t>
            </w:r>
          </w:p>
        </w:tc>
      </w:tr>
      <w:tr>
        <w:trPr/>
        <w:tc>
          <w:tcPr>
            <w:tcW w:w="1443" w:type="dxa"/>
            <w:tcBorders/>
            <w:vAlign w:val="center"/>
          </w:tcPr>
          <w:p>
            <w:pPr>
              <w:pStyle w:val="TableContents"/>
              <w:bidi w:val="0"/>
              <w:spacing w:before="0" w:after="283"/>
              <w:jc w:val="left"/>
              <w:rPr/>
            </w:pPr>
            <w:r>
              <w:rPr/>
              <w:t>1 × 10³⁶</w:t>
            </w:r>
          </w:p>
        </w:tc>
        <w:tc>
          <w:tcPr>
            <w:tcW w:w="956" w:type="dxa"/>
            <w:tcBorders/>
            <w:vAlign w:val="center"/>
          </w:tcPr>
          <w:p>
            <w:pPr>
              <w:pStyle w:val="TableContents"/>
              <w:bidi w:val="0"/>
              <w:spacing w:before="0" w:after="283"/>
              <w:jc w:val="left"/>
              <w:rPr/>
            </w:pPr>
            <w:r>
              <w:rPr/>
              <w:t>INR</w:t>
            </w:r>
          </w:p>
        </w:tc>
        <w:tc>
          <w:tcPr>
            <w:tcW w:w="1294" w:type="dxa"/>
            <w:tcBorders/>
            <w:vAlign w:val="center"/>
          </w:tcPr>
          <w:p>
            <w:pPr>
              <w:pStyle w:val="TableContents"/>
              <w:bidi w:val="0"/>
              <w:spacing w:before="0" w:after="283"/>
              <w:jc w:val="left"/>
              <w:rPr/>
            </w:pPr>
            <w:r>
              <w:rPr/>
              <w:t>Semanal</w:t>
            </w:r>
          </w:p>
        </w:tc>
        <w:tc>
          <w:tcPr>
            <w:tcW w:w="1901" w:type="dxa"/>
            <w:tcBorders/>
            <w:vAlign w:val="center"/>
          </w:tcPr>
          <w:p>
            <w:pPr>
              <w:pStyle w:val="TableContents"/>
              <w:bidi w:val="0"/>
              <w:spacing w:before="0" w:after="283"/>
              <w:jc w:val="left"/>
              <w:rPr/>
            </w:pPr>
            <w:r>
              <w:rPr/>
              <w:t>1.000.000</w:t>
            </w:r>
          </w:p>
        </w:tc>
      </w:tr>
      <w:tr>
        <w:trPr/>
        <w:tc>
          <w:tcPr>
            <w:tcW w:w="1443" w:type="dxa"/>
            <w:tcBorders/>
            <w:vAlign w:val="center"/>
          </w:tcPr>
          <w:p>
            <w:pPr>
              <w:pStyle w:val="TableContents"/>
              <w:bidi w:val="0"/>
              <w:spacing w:before="0" w:after="283"/>
              <w:jc w:val="left"/>
              <w:rPr/>
            </w:pPr>
            <w:r>
              <w:rPr/>
              <w:t>8,99 × 10³⁰</w:t>
            </w:r>
          </w:p>
        </w:tc>
        <w:tc>
          <w:tcPr>
            <w:tcW w:w="956" w:type="dxa"/>
            <w:tcBorders/>
            <w:vAlign w:val="center"/>
          </w:tcPr>
          <w:p>
            <w:pPr>
              <w:pStyle w:val="TableContents"/>
              <w:bidi w:val="0"/>
              <w:spacing w:before="0" w:after="283"/>
              <w:jc w:val="left"/>
              <w:rPr/>
            </w:pPr>
            <w:r>
              <w:rPr/>
              <w:t>EUR</w:t>
            </w:r>
          </w:p>
        </w:tc>
        <w:tc>
          <w:tcPr>
            <w:tcW w:w="1294" w:type="dxa"/>
            <w:tcBorders/>
            <w:vAlign w:val="center"/>
          </w:tcPr>
          <w:p>
            <w:pPr>
              <w:pStyle w:val="TableContents"/>
              <w:bidi w:val="0"/>
              <w:spacing w:before="0" w:after="283"/>
              <w:jc w:val="left"/>
              <w:rPr/>
            </w:pPr>
            <w:r>
              <w:rPr/>
              <w:t>Semanal</w:t>
            </w:r>
          </w:p>
        </w:tc>
        <w:tc>
          <w:tcPr>
            <w:tcW w:w="1901" w:type="dxa"/>
            <w:tcBorders/>
            <w:vAlign w:val="center"/>
          </w:tcPr>
          <w:p>
            <w:pPr>
              <w:pStyle w:val="TableContents"/>
              <w:bidi w:val="0"/>
              <w:spacing w:before="0" w:after="283"/>
              <w:jc w:val="left"/>
              <w:rPr/>
            </w:pPr>
            <w:r>
              <w:rPr/>
              <w:t>1.000.000</w:t>
            </w:r>
          </w:p>
        </w:tc>
      </w:tr>
    </w:tbl>
    <w:p>
      <w:pPr>
        <w:pStyle w:val="BodyText"/>
        <w:numPr>
          <w:ilvl w:val="0"/>
          <w:numId w:val="2"/>
        </w:numPr>
        <w:tabs>
          <w:tab w:val="clear" w:pos="1134"/>
          <w:tab w:val="left" w:pos="709" w:leader="none"/>
        </w:tabs>
        <w:bidi w:val="0"/>
        <w:spacing w:before="0" w:after="0"/>
        <w:ind w:hanging="283" w:left="709"/>
        <w:rPr/>
      </w:pPr>
      <w:r>
        <w:rPr>
          <w:b/>
        </w:rPr>
        <w:t>141 monedas distintas</w:t>
      </w:r>
      <w:r>
        <w:rPr/>
        <w:t xml:space="preserve"> en la columna </w:t>
      </w:r>
      <w:r>
        <w:rPr>
          <w:i/>
        </w:rPr>
        <w:t>CurrencySymbol</w:t>
      </w:r>
      <w:r>
        <w:rPr/>
        <w:t xml:space="preserve">. </w:t>
      </w:r>
    </w:p>
    <w:p>
      <w:pPr>
        <w:pStyle w:val="BodyText"/>
        <w:numPr>
          <w:ilvl w:val="0"/>
          <w:numId w:val="2"/>
        </w:numPr>
        <w:tabs>
          <w:tab w:val="clear" w:pos="1134"/>
          <w:tab w:val="left" w:pos="709" w:leader="none"/>
        </w:tabs>
        <w:bidi w:val="0"/>
        <w:spacing w:before="0" w:after="0"/>
        <w:ind w:hanging="283" w:left="709"/>
        <w:rPr/>
      </w:pPr>
      <w:r>
        <w:rPr/>
        <w:t xml:space="preserve">De los 28 registros anulados, </w:t>
      </w:r>
      <w:r>
        <w:rPr>
          <w:b/>
        </w:rPr>
        <w:t>26 conservan un valor válido en ConvertedComp</w:t>
      </w:r>
      <w:r>
        <w:rPr/>
        <w:t xml:space="preserve">, que la encuesta entrega ya convertido a dólares. </w:t>
      </w:r>
    </w:p>
    <w:p>
      <w:pPr>
        <w:pStyle w:val="BodyText"/>
        <w:numPr>
          <w:ilvl w:val="0"/>
          <w:numId w:val="2"/>
        </w:numPr>
        <w:tabs>
          <w:tab w:val="clear" w:pos="1134"/>
          <w:tab w:val="left" w:pos="709" w:leader="none"/>
        </w:tabs>
        <w:bidi w:val="0"/>
        <w:ind w:hanging="283" w:left="709"/>
        <w:rPr/>
      </w:pPr>
      <w:r>
        <w:rPr/>
        <w:t xml:space="preserve">Contraste con el caso anterior: el valor 375 admitía una reconstrucción deducible; 1,111 × 10²⁴⁷ no admite ninguna. </w:t>
      </w:r>
    </w:p>
    <w:p>
      <w:pPr>
        <w:pStyle w:val="Heading4"/>
        <w:bidi w:val="0"/>
        <w:spacing w:before="200" w:after="200"/>
        <w:ind w:hanging="0" w:left="200" w:right="200"/>
        <w:rPr>
          <w:bdr w:val="dashed" w:sz="12" w:space="10" w:color="BB0000"/>
          <w:shd w:fill="FFF8F8" w:val="clear"/>
        </w:rPr>
      </w:pPr>
      <w:r>
        <w:rPr>
          <w:bdr w:val="dashed" w:sz="12" w:space="10" w:color="BB0000"/>
          <w:shd w:fill="FFF8F8" w:val="clear"/>
        </w:rPr>
        <w:t xml:space="preserve">⬜ </w:t>
      </w:r>
      <w:r>
        <w:rPr>
          <w:bdr w:val="dashed" w:sz="12" w:space="10" w:color="BB0000"/>
          <w:shd w:fill="FFF8F8" w:val="clear"/>
        </w:rPr>
        <w:t>Falta escribir: por qué se anula en lugar de imputar</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"Porque el 375 se puede deducir y el otro no."</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"No se puede saber; podemos pensar que hasta puede ser una broma."</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"Porque la edad sí se usa en el análisis y CompTotal no."</w:t>
      </w:r>
    </w:p>
    <w:p>
      <w:pPr>
        <w:pStyle w:val="BodyText"/>
        <w:bidi w:val="0"/>
        <w:spacing w:before="200" w:after="200"/>
        <w:ind w:hanging="0" w:left="200" w:right="200"/>
        <w:rPr>
          <w:bdr w:val="dashed" w:sz="12" w:space="10" w:color="BB0000"/>
          <w:shd w:fill="FFF8F8" w:val="clear"/>
        </w:rPr>
      </w:pPr>
      <w:r>
        <w:rPr>
          <w:bdr w:val="dashed" w:sz="12" w:space="10" w:color="BB0000"/>
          <w:shd w:fill="FFF8F8" w:val="clear"/>
        </w:rPr>
        <w:t>Falta hilarlo: por qué una columna expresada en 141 monedas distintas no entra al análisis, y por qué imputarla habría sido trabajo sobre una variable que después no se utiliza.</w:t>
      </w:r>
    </w:p>
    <w:p>
      <w:pPr>
        <w:pStyle w:val="Heading4"/>
        <w:bidi w:val="0"/>
        <w:spacing w:before="200" w:after="200"/>
        <w:ind w:hanging="0" w:left="200" w:right="200"/>
        <w:rPr>
          <w:bdr w:val="dashed" w:sz="12" w:space="10" w:color="BB0000"/>
          <w:shd w:fill="FFF8F8" w:val="clear"/>
        </w:rPr>
      </w:pPr>
      <w:r>
        <w:rPr>
          <w:bdr w:val="dashed" w:sz="12" w:space="10" w:color="BB0000"/>
          <w:shd w:fill="FFF8F8" w:val="clear"/>
        </w:rPr>
        <w:t xml:space="preserve">⬜ </w:t>
      </w:r>
      <w:r>
        <w:rPr>
          <w:bdr w:val="dashed" w:sz="12" w:space="10" w:color="BB0000"/>
          <w:shd w:fill="FFF8F8" w:val="clear"/>
        </w:rPr>
        <w:t>Falta escribir: qué información se pierde</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"Esos dos se pierden para el análisis de sueldos."</w:t>
      </w:r>
    </w:p>
    <w:p>
      <w:pPr>
        <w:pStyle w:val="BodyText"/>
        <w:bidi w:val="0"/>
        <w:spacing w:before="200" w:after="200"/>
        <w:ind w:hanging="0" w:left="200" w:right="200"/>
        <w:rPr>
          <w:bdr w:val="dashed" w:sz="12" w:space="10" w:color="BB0000"/>
          <w:shd w:fill="FFF8F8" w:val="clear"/>
        </w:rPr>
      </w:pPr>
      <w:r>
        <w:rPr>
          <w:bdr w:val="dashed" w:sz="12" w:space="10" w:color="BB0000"/>
          <w:shd w:fill="FFF8F8" w:val="clear"/>
        </w:rPr>
        <w:t>Falta hilarlo: 26 de los 28 conservan su sueldo en dólares; los 2 restantes quedan fuera del análisis de remuneración. Responde directamente a P6 del banco de preguntas.</w:t>
      </w:r>
    </w:p>
    <w:p>
      <w:pPr>
        <w:pStyle w:val="Heading1"/>
        <w:bidi w:val="0"/>
        <w:ind w:hanging="0"/>
        <w:rPr/>
      </w:pPr>
      <w:r>
        <w:rPr/>
        <w:t>3. Clasificación de los siete grupos de atípicos</w:t>
      </w:r>
    </w:p>
    <w:p>
      <w:pPr>
        <w:pStyle w:val="Heading2"/>
        <w:bidi w:val="0"/>
        <w:rPr/>
      </w:pPr>
      <w:r>
        <w:rPr/>
        <w:t>El método</w:t>
      </w:r>
    </w:p>
    <w:p>
      <w:pPr>
        <w:pStyle w:val="BodyText"/>
        <w:bidi w:val="0"/>
        <w:rPr/>
      </w:pPr>
      <w:r>
        <w:rPr/>
        <w:t xml:space="preserve">Rango intercuartílico con factor 1,5: se marca como candidato todo valor fuera de [Q1 − 1,5·RIC, Q3 + 1,5·RIC]. Los límites se calculan sobre los datos </w:t>
      </w:r>
      <w:r>
        <w:rPr>
          <w:b/>
        </w:rPr>
        <w:t>sin imputar</w:t>
      </w:r>
      <w:r>
        <w:rPr/>
        <w:t>; con la columna ya imputada, el relleno masivo con la mediana comprime los cuartiles —</w:t>
      </w:r>
      <w:r>
        <w:rPr>
          <w:i/>
        </w:rPr>
        <w:t>WorkWeekHrs</w:t>
      </w:r>
      <w:r>
        <w:rPr/>
        <w:t xml:space="preserve"> llegaba a producir límites [40, 40]—.</w:t>
      </w:r>
    </w:p>
    <w:p>
      <w:pPr>
        <w:pStyle w:val="Heading2"/>
        <w:bidi w:val="0"/>
        <w:rPr/>
      </w:pPr>
      <w:r>
        <w:rPr/>
        <w:t>Los siete grupos</w:t>
      </w:r>
    </w:p>
    <w:tbl>
      <w:tblPr>
        <w:tblW w:w="10891" w:type="dxa"/>
        <w:jc w:val="left"/>
        <w:tblInd w:w="28" w:type="dxa"/>
        <w:tblLayout w:type="fixed"/>
        <w:tblCellMar>
          <w:top w:w="28" w:type="dxa"/>
          <w:left w:w="28" w:type="dxa"/>
          <w:bottom w:w="28" w:type="dxa"/>
          <w:right w:w="28" w:type="dxa"/>
        </w:tblCellMar>
      </w:tblPr>
      <w:tblGrid>
        <w:gridCol w:w="371"/>
        <w:gridCol w:w="4017"/>
        <w:gridCol w:w="1487"/>
        <w:gridCol w:w="2892"/>
        <w:gridCol w:w="2124"/>
      </w:tblGrid>
      <w:tr>
        <w:trPr/>
        <w:tc>
          <w:tcPr>
            <w:tcW w:w="371" w:type="dxa"/>
            <w:tcBorders/>
            <w:vAlign w:val="center"/>
          </w:tcPr>
          <w:p>
            <w:pPr>
              <w:pStyle w:val="TableHeading"/>
              <w:suppressLineNumbers/>
              <w:shd w:fill="E8E8E8" w:val="clear"/>
              <w:bidi w:val="0"/>
              <w:spacing w:before="0" w:after="283"/>
              <w:jc w:val="left"/>
              <w:rPr/>
            </w:pPr>
            <w:r>
              <w:rPr/>
              <w:t>#</w:t>
            </w:r>
          </w:p>
        </w:tc>
        <w:tc>
          <w:tcPr>
            <w:tcW w:w="4017" w:type="dxa"/>
            <w:tcBorders/>
            <w:vAlign w:val="center"/>
          </w:tcPr>
          <w:p>
            <w:pPr>
              <w:pStyle w:val="TableHeading"/>
              <w:suppressLineNumbers/>
              <w:shd w:fill="E8E8E8" w:val="clear"/>
              <w:bidi w:val="0"/>
              <w:spacing w:before="0" w:after="283"/>
              <w:jc w:val="left"/>
              <w:rPr/>
            </w:pPr>
            <w:r>
              <w:rPr/>
              <w:t>Lo que marca el método</w:t>
            </w:r>
          </w:p>
        </w:tc>
        <w:tc>
          <w:tcPr>
            <w:tcW w:w="1487" w:type="dxa"/>
            <w:tcBorders/>
            <w:vAlign w:val="center"/>
          </w:tcPr>
          <w:p>
            <w:pPr>
              <w:pStyle w:val="TableHeading"/>
              <w:suppressLineNumbers/>
              <w:shd w:fill="E8E8E8" w:val="clear"/>
              <w:bidi w:val="0"/>
              <w:spacing w:before="0" w:after="283"/>
              <w:jc w:val="left"/>
              <w:rPr/>
            </w:pPr>
            <w:r>
              <w:rPr/>
              <w:t>Registros</w:t>
            </w:r>
          </w:p>
        </w:tc>
        <w:tc>
          <w:tcPr>
            <w:tcW w:w="2892" w:type="dxa"/>
            <w:tcBorders/>
            <w:vAlign w:val="center"/>
          </w:tcPr>
          <w:p>
            <w:pPr>
              <w:pStyle w:val="TableHeading"/>
              <w:suppressLineNumbers/>
              <w:shd w:fill="E8E8E8" w:val="clear"/>
              <w:bidi w:val="0"/>
              <w:spacing w:before="0" w:after="283"/>
              <w:jc w:val="left"/>
              <w:rPr/>
            </w:pPr>
            <w:r>
              <w:rPr/>
              <w:t>Clasificación</w:t>
            </w:r>
          </w:p>
        </w:tc>
        <w:tc>
          <w:tcPr>
            <w:tcW w:w="2124" w:type="dxa"/>
            <w:tcBorders/>
            <w:vAlign w:val="center"/>
          </w:tcPr>
          <w:p>
            <w:pPr>
              <w:pStyle w:val="TableHeading"/>
              <w:suppressLineNumbers/>
              <w:shd w:fill="E8E8E8" w:val="clear"/>
              <w:bidi w:val="0"/>
              <w:spacing w:before="0" w:after="283"/>
              <w:jc w:val="left"/>
              <w:rPr/>
            </w:pPr>
            <w:r>
              <w:rPr/>
              <w:t>Acción</w:t>
            </w:r>
          </w:p>
        </w:tc>
      </w:tr>
      <w:tr>
        <w:trPr/>
        <w:tc>
          <w:tcPr>
            <w:tcW w:w="371" w:type="dxa"/>
            <w:tcBorders/>
            <w:vAlign w:val="center"/>
          </w:tcPr>
          <w:p>
            <w:pPr>
              <w:pStyle w:val="TableContents"/>
              <w:bidi w:val="0"/>
              <w:spacing w:before="0" w:after="283"/>
              <w:jc w:val="left"/>
              <w:rPr/>
            </w:pPr>
            <w:r>
              <w:rPr/>
              <w:t>1</w:t>
            </w:r>
          </w:p>
        </w:tc>
        <w:tc>
          <w:tcPr>
            <w:tcW w:w="4017" w:type="dxa"/>
            <w:tcBorders/>
            <w:vAlign w:val="center"/>
          </w:tcPr>
          <w:p>
            <w:pPr>
              <w:pStyle w:val="TableContents"/>
              <w:bidi w:val="0"/>
              <w:spacing w:before="0" w:after="283"/>
              <w:jc w:val="left"/>
              <w:rPr/>
            </w:pPr>
            <w:r>
              <w:rPr/>
              <w:t>Age &gt; 100</w:t>
            </w:r>
          </w:p>
        </w:tc>
        <w:tc>
          <w:tcPr>
            <w:tcW w:w="1487" w:type="dxa"/>
            <w:tcBorders/>
            <w:vAlign w:val="center"/>
          </w:tcPr>
          <w:p>
            <w:pPr>
              <w:pStyle w:val="TableContents"/>
              <w:bidi w:val="0"/>
              <w:spacing w:before="0" w:after="283"/>
              <w:jc w:val="left"/>
              <w:rPr/>
            </w:pPr>
            <w:r>
              <w:rPr/>
              <w:t>1</w:t>
            </w:r>
          </w:p>
        </w:tc>
        <w:tc>
          <w:tcPr>
            <w:tcW w:w="2892" w:type="dxa"/>
            <w:tcBorders/>
            <w:vAlign w:val="center"/>
          </w:tcPr>
          <w:p>
            <w:pPr>
              <w:pStyle w:val="TableContents"/>
              <w:bidi w:val="0"/>
              <w:spacing w:before="0" w:after="283"/>
              <w:jc w:val="left"/>
              <w:rPr/>
            </w:pPr>
            <w:r>
              <w:rPr/>
              <w:t>Error de digitación</w:t>
            </w:r>
          </w:p>
        </w:tc>
        <w:tc>
          <w:tcPr>
            <w:tcW w:w="2124" w:type="dxa"/>
            <w:tcBorders/>
            <w:vAlign w:val="center"/>
          </w:tcPr>
          <w:p>
            <w:pPr>
              <w:pStyle w:val="TableContents"/>
              <w:bidi w:val="0"/>
              <w:spacing w:before="0" w:after="283"/>
              <w:jc w:val="left"/>
              <w:rPr/>
            </w:pPr>
            <w:r>
              <w:rPr/>
              <w:t>Mediana (29)</w:t>
            </w:r>
          </w:p>
        </w:tc>
      </w:tr>
      <w:tr>
        <w:trPr/>
        <w:tc>
          <w:tcPr>
            <w:tcW w:w="371" w:type="dxa"/>
            <w:tcBorders/>
            <w:vAlign w:val="center"/>
          </w:tcPr>
          <w:p>
            <w:pPr>
              <w:pStyle w:val="TableContents"/>
              <w:bidi w:val="0"/>
              <w:spacing w:before="0" w:after="283"/>
              <w:jc w:val="left"/>
              <w:rPr/>
            </w:pPr>
            <w:r>
              <w:rPr/>
              <w:t>2</w:t>
            </w:r>
          </w:p>
        </w:tc>
        <w:tc>
          <w:tcPr>
            <w:tcW w:w="4017" w:type="dxa"/>
            <w:tcBorders/>
            <w:vAlign w:val="center"/>
          </w:tcPr>
          <w:p>
            <w:pPr>
              <w:pStyle w:val="TableContents"/>
              <w:bidi w:val="0"/>
              <w:spacing w:before="0" w:after="283"/>
              <w:jc w:val="left"/>
              <w:rPr/>
            </w:pPr>
            <w:r>
              <w:rPr/>
              <w:t>Age &lt; 10</w:t>
            </w:r>
          </w:p>
        </w:tc>
        <w:tc>
          <w:tcPr>
            <w:tcW w:w="1487" w:type="dxa"/>
            <w:tcBorders/>
            <w:vAlign w:val="center"/>
          </w:tcPr>
          <w:p>
            <w:pPr>
              <w:pStyle w:val="TableContents"/>
              <w:bidi w:val="0"/>
              <w:spacing w:before="0" w:after="283"/>
              <w:jc w:val="left"/>
              <w:rPr/>
            </w:pPr>
            <w:r>
              <w:rPr/>
              <w:t>9</w:t>
            </w:r>
          </w:p>
        </w:tc>
        <w:tc>
          <w:tcPr>
            <w:tcW w:w="2892" w:type="dxa"/>
            <w:tcBorders/>
            <w:vAlign w:val="center"/>
          </w:tcPr>
          <w:p>
            <w:pPr>
              <w:pStyle w:val="TableContents"/>
              <w:bidi w:val="0"/>
              <w:spacing w:before="0" w:after="283"/>
              <w:jc w:val="left"/>
              <w:rPr/>
            </w:pPr>
            <w:r>
              <w:rPr/>
              <w:t>Observación contaminante</w:t>
            </w:r>
          </w:p>
        </w:tc>
        <w:tc>
          <w:tcPr>
            <w:tcW w:w="2124" w:type="dxa"/>
            <w:tcBorders/>
            <w:vAlign w:val="center"/>
          </w:tcPr>
          <w:p>
            <w:pPr>
              <w:pStyle w:val="TableContents"/>
              <w:bidi w:val="0"/>
              <w:spacing w:before="0" w:after="283"/>
              <w:jc w:val="left"/>
              <w:rPr/>
            </w:pPr>
            <w:r>
              <w:rPr/>
              <w:t>Mediana (29)</w:t>
            </w:r>
          </w:p>
        </w:tc>
      </w:tr>
      <w:tr>
        <w:trPr/>
        <w:tc>
          <w:tcPr>
            <w:tcW w:w="371" w:type="dxa"/>
            <w:tcBorders/>
            <w:vAlign w:val="center"/>
          </w:tcPr>
          <w:p>
            <w:pPr>
              <w:pStyle w:val="TableContents"/>
              <w:bidi w:val="0"/>
              <w:spacing w:before="0" w:after="283"/>
              <w:jc w:val="left"/>
              <w:rPr/>
            </w:pPr>
            <w:r>
              <w:rPr/>
              <w:t>3</w:t>
            </w:r>
          </w:p>
        </w:tc>
        <w:tc>
          <w:tcPr>
            <w:tcW w:w="4017" w:type="dxa"/>
            <w:tcBorders/>
            <w:vAlign w:val="center"/>
          </w:tcPr>
          <w:p>
            <w:pPr>
              <w:pStyle w:val="TableContents"/>
              <w:bidi w:val="0"/>
              <w:spacing w:before="0" w:after="283"/>
              <w:jc w:val="left"/>
              <w:rPr/>
            </w:pPr>
            <w:r>
              <w:rPr/>
              <w:t>WorkWeekHrs &gt; 168</w:t>
            </w:r>
          </w:p>
        </w:tc>
        <w:tc>
          <w:tcPr>
            <w:tcW w:w="1487" w:type="dxa"/>
            <w:tcBorders/>
            <w:vAlign w:val="center"/>
          </w:tcPr>
          <w:p>
            <w:pPr>
              <w:pStyle w:val="TableContents"/>
              <w:bidi w:val="0"/>
              <w:spacing w:before="0" w:after="283"/>
              <w:jc w:val="left"/>
              <w:rPr/>
            </w:pPr>
            <w:r>
              <w:rPr/>
              <w:t>62</w:t>
            </w:r>
          </w:p>
        </w:tc>
        <w:tc>
          <w:tcPr>
            <w:tcW w:w="2892" w:type="dxa"/>
            <w:tcBorders/>
            <w:vAlign w:val="center"/>
          </w:tcPr>
          <w:p>
            <w:pPr>
              <w:pStyle w:val="TableContents"/>
              <w:bidi w:val="0"/>
              <w:spacing w:before="0" w:after="283"/>
              <w:jc w:val="left"/>
              <w:rPr/>
            </w:pPr>
            <w:r>
              <w:rPr/>
              <w:t>Error de unidad o escala</w:t>
            </w:r>
          </w:p>
        </w:tc>
        <w:tc>
          <w:tcPr>
            <w:tcW w:w="2124" w:type="dxa"/>
            <w:tcBorders/>
            <w:vAlign w:val="center"/>
          </w:tcPr>
          <w:p>
            <w:pPr>
              <w:pStyle w:val="TableContents"/>
              <w:bidi w:val="0"/>
              <w:spacing w:before="0" w:after="283"/>
              <w:jc w:val="left"/>
              <w:rPr/>
            </w:pPr>
            <w:r>
              <w:rPr/>
              <w:t>Dividir entre 10</w:t>
            </w:r>
          </w:p>
        </w:tc>
      </w:tr>
      <w:tr>
        <w:trPr/>
        <w:tc>
          <w:tcPr>
            <w:tcW w:w="371" w:type="dxa"/>
            <w:tcBorders/>
            <w:vAlign w:val="center"/>
          </w:tcPr>
          <w:p>
            <w:pPr>
              <w:pStyle w:val="TableContents"/>
              <w:bidi w:val="0"/>
              <w:spacing w:before="0" w:after="283"/>
              <w:jc w:val="left"/>
              <w:rPr>
                <w:b/>
              </w:rPr>
            </w:pPr>
            <w:r>
              <w:rPr>
                <w:b/>
              </w:rPr>
              <w:t>4</w:t>
            </w:r>
          </w:p>
        </w:tc>
        <w:tc>
          <w:tcPr>
            <w:tcW w:w="4017" w:type="dxa"/>
            <w:tcBorders/>
            <w:vAlign w:val="center"/>
          </w:tcPr>
          <w:p>
            <w:pPr>
              <w:pStyle w:val="TableContents"/>
              <w:bidi w:val="0"/>
              <w:spacing w:before="0" w:after="283"/>
              <w:jc w:val="left"/>
              <w:rPr/>
            </w:pPr>
            <w:r>
              <w:rPr/>
              <w:t>WorkWeekHrs 100–168</w:t>
            </w:r>
          </w:p>
        </w:tc>
        <w:tc>
          <w:tcPr>
            <w:tcW w:w="1487" w:type="dxa"/>
            <w:tcBorders/>
            <w:vAlign w:val="center"/>
          </w:tcPr>
          <w:p>
            <w:pPr>
              <w:pStyle w:val="TableContents"/>
              <w:bidi w:val="0"/>
              <w:spacing w:before="0" w:after="283"/>
              <w:jc w:val="left"/>
              <w:rPr/>
            </w:pPr>
            <w:r>
              <w:rPr/>
              <w:t>154</w:t>
            </w:r>
          </w:p>
        </w:tc>
        <w:tc>
          <w:tcPr>
            <w:tcW w:w="2892" w:type="dxa"/>
            <w:tcBorders/>
            <w:vAlign w:val="center"/>
          </w:tcPr>
          <w:p>
            <w:pPr>
              <w:pStyle w:val="TableContents"/>
              <w:bidi w:val="0"/>
              <w:spacing w:before="0" w:after="283"/>
              <w:jc w:val="left"/>
              <w:rPr/>
            </w:pPr>
            <w:r>
              <w:rPr/>
              <w:t>Observación válida extrema</w:t>
            </w:r>
          </w:p>
        </w:tc>
        <w:tc>
          <w:tcPr>
            <w:tcW w:w="2124" w:type="dxa"/>
            <w:tcBorders/>
            <w:vAlign w:val="center"/>
          </w:tcPr>
          <w:p>
            <w:pPr>
              <w:pStyle w:val="TableContents"/>
              <w:bidi w:val="0"/>
              <w:spacing w:before="0" w:after="283"/>
              <w:jc w:val="left"/>
              <w:rPr>
                <w:b/>
              </w:rPr>
            </w:pPr>
            <w:r>
              <w:rPr>
                <w:b/>
              </w:rPr>
              <w:t>Conservar</w:t>
            </w:r>
          </w:p>
        </w:tc>
      </w:tr>
      <w:tr>
        <w:trPr/>
        <w:tc>
          <w:tcPr>
            <w:tcW w:w="371" w:type="dxa"/>
            <w:tcBorders/>
            <w:vAlign w:val="center"/>
          </w:tcPr>
          <w:p>
            <w:pPr>
              <w:pStyle w:val="TableContents"/>
              <w:bidi w:val="0"/>
              <w:spacing w:before="0" w:after="283"/>
              <w:jc w:val="left"/>
              <w:rPr/>
            </w:pPr>
            <w:r>
              <w:rPr/>
              <w:t>5</w:t>
            </w:r>
          </w:p>
        </w:tc>
        <w:tc>
          <w:tcPr>
            <w:tcW w:w="4017" w:type="dxa"/>
            <w:tcBorders/>
            <w:vAlign w:val="center"/>
          </w:tcPr>
          <w:p>
            <w:pPr>
              <w:pStyle w:val="TableContents"/>
              <w:bidi w:val="0"/>
              <w:spacing w:before="0" w:after="283"/>
              <w:jc w:val="left"/>
              <w:rPr/>
            </w:pPr>
            <w:r>
              <w:rPr/>
              <w:t>CompTotal &gt; 10⁹</w:t>
            </w:r>
          </w:p>
        </w:tc>
        <w:tc>
          <w:tcPr>
            <w:tcW w:w="1487" w:type="dxa"/>
            <w:tcBorders/>
            <w:vAlign w:val="center"/>
          </w:tcPr>
          <w:p>
            <w:pPr>
              <w:pStyle w:val="TableContents"/>
              <w:bidi w:val="0"/>
              <w:spacing w:before="0" w:after="283"/>
              <w:jc w:val="left"/>
              <w:rPr/>
            </w:pPr>
            <w:r>
              <w:rPr/>
              <w:t>28</w:t>
            </w:r>
          </w:p>
        </w:tc>
        <w:tc>
          <w:tcPr>
            <w:tcW w:w="2892" w:type="dxa"/>
            <w:tcBorders/>
            <w:vAlign w:val="center"/>
          </w:tcPr>
          <w:p>
            <w:pPr>
              <w:pStyle w:val="TableContents"/>
              <w:bidi w:val="0"/>
              <w:spacing w:before="0" w:after="283"/>
              <w:jc w:val="left"/>
              <w:rPr/>
            </w:pPr>
            <w:r>
              <w:rPr/>
              <w:t>Error de digitación</w:t>
            </w:r>
          </w:p>
        </w:tc>
        <w:tc>
          <w:tcPr>
            <w:tcW w:w="2124" w:type="dxa"/>
            <w:tcBorders/>
            <w:vAlign w:val="center"/>
          </w:tcPr>
          <w:p>
            <w:pPr>
              <w:pStyle w:val="TableContents"/>
              <w:bidi w:val="0"/>
              <w:spacing w:before="0" w:after="283"/>
              <w:jc w:val="left"/>
              <w:rPr/>
            </w:pPr>
            <w:r>
              <w:rPr/>
              <w:t>Anular</w:t>
            </w:r>
          </w:p>
        </w:tc>
      </w:tr>
      <w:tr>
        <w:trPr/>
        <w:tc>
          <w:tcPr>
            <w:tcW w:w="371" w:type="dxa"/>
            <w:tcBorders/>
            <w:vAlign w:val="center"/>
          </w:tcPr>
          <w:p>
            <w:pPr>
              <w:pStyle w:val="TableContents"/>
              <w:bidi w:val="0"/>
              <w:spacing w:before="0" w:after="283"/>
              <w:jc w:val="left"/>
              <w:rPr/>
            </w:pPr>
            <w:r>
              <w:rPr/>
              <w:t>6</w:t>
            </w:r>
          </w:p>
        </w:tc>
        <w:tc>
          <w:tcPr>
            <w:tcW w:w="4017" w:type="dxa"/>
            <w:tcBorders/>
            <w:vAlign w:val="center"/>
          </w:tcPr>
          <w:p>
            <w:pPr>
              <w:pStyle w:val="TableContents"/>
              <w:bidi w:val="0"/>
              <w:spacing w:before="0" w:after="283"/>
              <w:jc w:val="left"/>
              <w:rPr/>
            </w:pPr>
            <w:r>
              <w:rPr/>
              <w:t>ConvertedComp &gt; 200.528</w:t>
            </w:r>
          </w:p>
        </w:tc>
        <w:tc>
          <w:tcPr>
            <w:tcW w:w="1487" w:type="dxa"/>
            <w:tcBorders/>
            <w:vAlign w:val="center"/>
          </w:tcPr>
          <w:p>
            <w:pPr>
              <w:pStyle w:val="TableContents"/>
              <w:bidi w:val="0"/>
              <w:spacing w:before="0" w:after="283"/>
              <w:jc w:val="left"/>
              <w:rPr/>
            </w:pPr>
            <w:r>
              <w:rPr/>
              <w:t>2.301</w:t>
            </w:r>
          </w:p>
        </w:tc>
        <w:tc>
          <w:tcPr>
            <w:tcW w:w="2892" w:type="dxa"/>
            <w:tcBorders/>
            <w:vAlign w:val="center"/>
          </w:tcPr>
          <w:p>
            <w:pPr>
              <w:pStyle w:val="TableContents"/>
              <w:bidi w:val="0"/>
              <w:spacing w:before="0" w:after="283"/>
              <w:jc w:val="left"/>
              <w:rPr/>
            </w:pPr>
            <w:r>
              <w:rPr/>
              <w:t>Subpoblación distinta</w:t>
            </w:r>
          </w:p>
        </w:tc>
        <w:tc>
          <w:tcPr>
            <w:tcW w:w="2124" w:type="dxa"/>
            <w:tcBorders/>
            <w:vAlign w:val="center"/>
          </w:tcPr>
          <w:p>
            <w:pPr>
              <w:pStyle w:val="TableContents"/>
              <w:bidi w:val="0"/>
              <w:spacing w:before="0" w:after="283"/>
              <w:jc w:val="left"/>
              <w:rPr/>
            </w:pPr>
            <w:r>
              <w:rPr/>
              <w:t>Conservar y marcar</w:t>
            </w:r>
          </w:p>
        </w:tc>
      </w:tr>
      <w:tr>
        <w:trPr/>
        <w:tc>
          <w:tcPr>
            <w:tcW w:w="371" w:type="dxa"/>
            <w:tcBorders/>
            <w:vAlign w:val="center"/>
          </w:tcPr>
          <w:p>
            <w:pPr>
              <w:pStyle w:val="TableContents"/>
              <w:bidi w:val="0"/>
              <w:spacing w:before="0" w:after="283"/>
              <w:jc w:val="left"/>
              <w:rPr/>
            </w:pPr>
            <w:r>
              <w:rPr/>
              <w:t>7a</w:t>
            </w:r>
          </w:p>
        </w:tc>
        <w:tc>
          <w:tcPr>
            <w:tcW w:w="4017" w:type="dxa"/>
            <w:tcBorders/>
            <w:vAlign w:val="center"/>
          </w:tcPr>
          <w:p>
            <w:pPr>
              <w:pStyle w:val="TableContents"/>
              <w:bidi w:val="0"/>
              <w:spacing w:before="0" w:after="283"/>
              <w:jc w:val="left"/>
              <w:rPr/>
            </w:pPr>
            <w:r>
              <w:rPr/>
              <w:t>YearsCode / YearsCodePro imposibles</w:t>
            </w:r>
          </w:p>
        </w:tc>
        <w:tc>
          <w:tcPr>
            <w:tcW w:w="1487" w:type="dxa"/>
            <w:tcBorders/>
            <w:vAlign w:val="center"/>
          </w:tcPr>
          <w:p>
            <w:pPr>
              <w:pStyle w:val="TableContents"/>
              <w:bidi w:val="0"/>
              <w:spacing w:before="0" w:after="283"/>
              <w:jc w:val="left"/>
              <w:rPr/>
            </w:pPr>
            <w:r>
              <w:rPr/>
              <w:t>47 + 4</w:t>
            </w:r>
          </w:p>
        </w:tc>
        <w:tc>
          <w:tcPr>
            <w:tcW w:w="2892" w:type="dxa"/>
            <w:tcBorders/>
            <w:vAlign w:val="center"/>
          </w:tcPr>
          <w:p>
            <w:pPr>
              <w:pStyle w:val="TableContents"/>
              <w:bidi w:val="0"/>
              <w:spacing w:before="0" w:after="283"/>
              <w:jc w:val="left"/>
              <w:rPr/>
            </w:pPr>
            <w:r>
              <w:rPr/>
              <w:t>Error de digitación</w:t>
            </w:r>
          </w:p>
        </w:tc>
        <w:tc>
          <w:tcPr>
            <w:tcW w:w="2124" w:type="dxa"/>
            <w:tcBorders/>
            <w:vAlign w:val="center"/>
          </w:tcPr>
          <w:p>
            <w:pPr>
              <w:pStyle w:val="TableContents"/>
              <w:bidi w:val="0"/>
              <w:spacing w:before="0" w:after="283"/>
              <w:jc w:val="left"/>
              <w:rPr/>
            </w:pPr>
            <w:r>
              <w:rPr/>
              <w:t>Mediana</w:t>
            </w:r>
          </w:p>
        </w:tc>
      </w:tr>
      <w:tr>
        <w:trPr/>
        <w:tc>
          <w:tcPr>
            <w:tcW w:w="371" w:type="dxa"/>
            <w:tcBorders/>
            <w:vAlign w:val="center"/>
          </w:tcPr>
          <w:p>
            <w:pPr>
              <w:pStyle w:val="TableContents"/>
              <w:bidi w:val="0"/>
              <w:spacing w:before="0" w:after="283"/>
              <w:jc w:val="left"/>
              <w:rPr/>
            </w:pPr>
            <w:r>
              <w:rPr/>
              <w:t>7b</w:t>
            </w:r>
          </w:p>
        </w:tc>
        <w:tc>
          <w:tcPr>
            <w:tcW w:w="4017" w:type="dxa"/>
            <w:tcBorders/>
            <w:vAlign w:val="center"/>
          </w:tcPr>
          <w:p>
            <w:pPr>
              <w:pStyle w:val="TableContents"/>
              <w:bidi w:val="0"/>
              <w:spacing w:before="0" w:after="283"/>
              <w:jc w:val="left"/>
              <w:rPr/>
            </w:pPr>
            <w:r>
              <w:rPr/>
              <w:t>YearsCode / YearsCodePro veteranos</w:t>
            </w:r>
          </w:p>
        </w:tc>
        <w:tc>
          <w:tcPr>
            <w:tcW w:w="1487" w:type="dxa"/>
            <w:tcBorders/>
            <w:vAlign w:val="center"/>
          </w:tcPr>
          <w:p>
            <w:pPr>
              <w:pStyle w:val="TableContents"/>
              <w:bidi w:val="0"/>
              <w:spacing w:before="0" w:after="283"/>
              <w:jc w:val="left"/>
              <w:rPr/>
            </w:pPr>
            <w:r>
              <w:rPr/>
              <w:t>3.072 + 1.890</w:t>
            </w:r>
          </w:p>
        </w:tc>
        <w:tc>
          <w:tcPr>
            <w:tcW w:w="2892" w:type="dxa"/>
            <w:tcBorders/>
            <w:vAlign w:val="center"/>
          </w:tcPr>
          <w:p>
            <w:pPr>
              <w:pStyle w:val="TableContents"/>
              <w:bidi w:val="0"/>
              <w:spacing w:before="0" w:after="283"/>
              <w:jc w:val="left"/>
              <w:rPr/>
            </w:pPr>
            <w:r>
              <w:rPr/>
              <w:t>Observación válida extrema</w:t>
            </w:r>
          </w:p>
        </w:tc>
        <w:tc>
          <w:tcPr>
            <w:tcW w:w="2124" w:type="dxa"/>
            <w:tcBorders/>
            <w:vAlign w:val="center"/>
          </w:tcPr>
          <w:p>
            <w:pPr>
              <w:pStyle w:val="TableContents"/>
              <w:bidi w:val="0"/>
              <w:spacing w:before="0" w:after="283"/>
              <w:jc w:val="left"/>
              <w:rPr/>
            </w:pPr>
            <w:r>
              <w:rPr/>
              <w:t>Conservar</w:t>
            </w:r>
          </w:p>
        </w:tc>
      </w:tr>
    </w:tbl>
    <w:p>
      <w:pPr>
        <w:pStyle w:val="BodyText"/>
        <w:bidi w:val="0"/>
        <w:rPr/>
      </w:pPr>
      <w:r>
        <w:rPr/>
        <w:t>Las cinco categorías exigidas quedan cubiertas: digitación (1, 5, 7a), unidad o escala (3), válida extrema (4, 7b), subpoblación distinta (6) y contaminante (2).</w:t>
      </w:r>
    </w:p>
    <w:p>
      <w:pPr>
        <w:pStyle w:val="Heading2"/>
        <w:bidi w:val="0"/>
        <w:rPr/>
      </w:pPr>
      <w:r>
        <w:rPr/>
        <w:t>El caso obligatorio: un atípico que no debe eliminarse</w:t>
      </w:r>
    </w:p>
    <w:p>
      <w:pPr>
        <w:pStyle w:val="BodyText"/>
        <w:bidi w:val="0"/>
        <w:rPr/>
      </w:pPr>
      <w:r>
        <w:rPr/>
        <w:t>154 registros declaran entre 100 y 168 horas semanales. El método los marca porque se alejan del centro de la distribución, pero 168 es el máximo físico de una semana: son valores posibles.</w:t>
      </w:r>
    </w:p>
    <w:p>
      <w:pPr>
        <w:pStyle w:val="Heading2"/>
        <w:bidi w:val="0"/>
        <w:rPr/>
      </w:pPr>
      <w:r>
        <w:rPr/>
        <w:t>El límite entre el grupo 4 y el grupo 6</w:t>
      </w:r>
    </w:p>
    <w:tbl>
      <w:tblPr>
        <w:tblW w:w="7788" w:type="dxa"/>
        <w:jc w:val="left"/>
        <w:tblInd w:w="28" w:type="dxa"/>
        <w:tblLayout w:type="fixed"/>
        <w:tblCellMar>
          <w:top w:w="28" w:type="dxa"/>
          <w:left w:w="28" w:type="dxa"/>
          <w:bottom w:w="28" w:type="dxa"/>
          <w:right w:w="28" w:type="dxa"/>
        </w:tblCellMar>
      </w:tblPr>
      <w:tblGrid>
        <w:gridCol w:w="3532"/>
        <w:gridCol w:w="1553"/>
        <w:gridCol w:w="1740"/>
        <w:gridCol w:w="963"/>
      </w:tblGrid>
      <w:tr>
        <w:trPr/>
        <w:tc>
          <w:tcPr>
            <w:tcW w:w="3532" w:type="dxa"/>
            <w:tcBorders/>
            <w:vAlign w:val="center"/>
          </w:tcPr>
          <w:p>
            <w:pPr>
              <w:pStyle w:val="TableHeading"/>
              <w:bidi w:val="0"/>
              <w:spacing w:before="0" w:after="283"/>
              <w:jc w:val="left"/>
              <w:rPr>
                <w:sz w:val="4"/>
                <w:szCs w:val="4"/>
              </w:rPr>
            </w:pPr>
            <w:r>
              <w:rPr>
                <w:sz w:val="4"/>
                <w:szCs w:val="4"/>
              </w:rPr>
            </w:r>
          </w:p>
        </w:tc>
        <w:tc>
          <w:tcPr>
            <w:tcW w:w="1553" w:type="dxa"/>
            <w:tcBorders/>
            <w:vAlign w:val="center"/>
          </w:tcPr>
          <w:p>
            <w:pPr>
              <w:pStyle w:val="TableHeading"/>
              <w:suppressLineNumbers/>
              <w:shd w:fill="E8E8E8" w:val="clear"/>
              <w:bidi w:val="0"/>
              <w:spacing w:before="0" w:after="283"/>
              <w:jc w:val="left"/>
              <w:rPr/>
            </w:pPr>
            <w:r>
              <w:rPr/>
              <w:t>Grupo 4 (154)</w:t>
            </w:r>
          </w:p>
        </w:tc>
        <w:tc>
          <w:tcPr>
            <w:tcW w:w="1740" w:type="dxa"/>
            <w:tcBorders/>
            <w:vAlign w:val="center"/>
          </w:tcPr>
          <w:p>
            <w:pPr>
              <w:pStyle w:val="TableHeading"/>
              <w:suppressLineNumbers/>
              <w:shd w:fill="E8E8E8" w:val="clear"/>
              <w:bidi w:val="0"/>
              <w:spacing w:before="0" w:after="283"/>
              <w:jc w:val="left"/>
              <w:rPr/>
            </w:pPr>
            <w:r>
              <w:rPr/>
              <w:t>Grupo 6 (2.301)</w:t>
            </w:r>
          </w:p>
        </w:tc>
        <w:tc>
          <w:tcPr>
            <w:tcW w:w="963" w:type="dxa"/>
            <w:tcBorders/>
            <w:vAlign w:val="center"/>
          </w:tcPr>
          <w:p>
            <w:pPr>
              <w:pStyle w:val="TableHeading"/>
              <w:suppressLineNumbers/>
              <w:shd w:fill="E8E8E8" w:val="clear"/>
              <w:bidi w:val="0"/>
              <w:spacing w:before="0" w:after="283"/>
              <w:jc w:val="left"/>
              <w:rPr/>
            </w:pPr>
            <w:r>
              <w:rPr/>
              <w:t>Dataset</w:t>
            </w:r>
          </w:p>
        </w:tc>
      </w:tr>
      <w:tr>
        <w:trPr/>
        <w:tc>
          <w:tcPr>
            <w:tcW w:w="3532" w:type="dxa"/>
            <w:tcBorders/>
            <w:vAlign w:val="center"/>
          </w:tcPr>
          <w:p>
            <w:pPr>
              <w:pStyle w:val="TableContents"/>
              <w:bidi w:val="0"/>
              <w:spacing w:before="0" w:after="283"/>
              <w:jc w:val="left"/>
              <w:rPr/>
            </w:pPr>
            <w:r>
              <w:rPr/>
              <w:t>Independientes</w:t>
            </w:r>
          </w:p>
        </w:tc>
        <w:tc>
          <w:tcPr>
            <w:tcW w:w="1553" w:type="dxa"/>
            <w:tcBorders/>
            <w:vAlign w:val="center"/>
          </w:tcPr>
          <w:p>
            <w:pPr>
              <w:pStyle w:val="TableContents"/>
              <w:bidi w:val="0"/>
              <w:spacing w:before="0" w:after="283"/>
              <w:jc w:val="left"/>
              <w:rPr>
                <w:b/>
              </w:rPr>
            </w:pPr>
            <w:r>
              <w:rPr>
                <w:b/>
              </w:rPr>
              <w:t>33,1 %</w:t>
            </w:r>
          </w:p>
        </w:tc>
        <w:tc>
          <w:tcPr>
            <w:tcW w:w="1740" w:type="dxa"/>
            <w:tcBorders/>
            <w:vAlign w:val="center"/>
          </w:tcPr>
          <w:p>
            <w:pPr>
              <w:pStyle w:val="TableContents"/>
              <w:bidi w:val="0"/>
              <w:spacing w:before="0" w:after="283"/>
              <w:jc w:val="left"/>
              <w:rPr/>
            </w:pPr>
            <w:r>
              <w:rPr/>
              <w:t>7,9 %</w:t>
            </w:r>
          </w:p>
        </w:tc>
        <w:tc>
          <w:tcPr>
            <w:tcW w:w="963" w:type="dxa"/>
            <w:tcBorders/>
            <w:vAlign w:val="center"/>
          </w:tcPr>
          <w:p>
            <w:pPr>
              <w:pStyle w:val="TableContents"/>
              <w:bidi w:val="0"/>
              <w:spacing w:before="0" w:after="283"/>
              <w:jc w:val="left"/>
              <w:rPr/>
            </w:pPr>
            <w:r>
              <w:rPr/>
              <w:t>8,8 %</w:t>
            </w:r>
          </w:p>
        </w:tc>
      </w:tr>
      <w:tr>
        <w:trPr/>
        <w:tc>
          <w:tcPr>
            <w:tcW w:w="3532" w:type="dxa"/>
            <w:tcBorders/>
            <w:vAlign w:val="center"/>
          </w:tcPr>
          <w:p>
            <w:pPr>
              <w:pStyle w:val="TableContents"/>
              <w:bidi w:val="0"/>
              <w:spacing w:before="0" w:after="283"/>
              <w:jc w:val="left"/>
              <w:rPr/>
            </w:pPr>
            <w:r>
              <w:rPr/>
              <w:t>Tiempo completo</w:t>
            </w:r>
          </w:p>
        </w:tc>
        <w:tc>
          <w:tcPr>
            <w:tcW w:w="1553" w:type="dxa"/>
            <w:tcBorders/>
            <w:vAlign w:val="center"/>
          </w:tcPr>
          <w:p>
            <w:pPr>
              <w:pStyle w:val="TableContents"/>
              <w:bidi w:val="0"/>
              <w:spacing w:before="0" w:after="283"/>
              <w:jc w:val="left"/>
              <w:rPr/>
            </w:pPr>
            <w:r>
              <w:rPr/>
              <w:t>63,0 %</w:t>
            </w:r>
          </w:p>
        </w:tc>
        <w:tc>
          <w:tcPr>
            <w:tcW w:w="1740" w:type="dxa"/>
            <w:tcBorders/>
            <w:vAlign w:val="center"/>
          </w:tcPr>
          <w:p>
            <w:pPr>
              <w:pStyle w:val="TableContents"/>
              <w:bidi w:val="0"/>
              <w:spacing w:before="0" w:after="283"/>
              <w:jc w:val="left"/>
              <w:rPr>
                <w:b/>
              </w:rPr>
            </w:pPr>
            <w:r>
              <w:rPr>
                <w:b/>
              </w:rPr>
              <w:t>91,0 %</w:t>
            </w:r>
          </w:p>
        </w:tc>
        <w:tc>
          <w:tcPr>
            <w:tcW w:w="963" w:type="dxa"/>
            <w:tcBorders/>
            <w:vAlign w:val="center"/>
          </w:tcPr>
          <w:p>
            <w:pPr>
              <w:pStyle w:val="TableContents"/>
              <w:bidi w:val="0"/>
              <w:spacing w:before="0" w:after="283"/>
              <w:jc w:val="left"/>
              <w:rPr/>
            </w:pPr>
            <w:r>
              <w:rPr/>
              <w:t>70,2 %</w:t>
            </w:r>
          </w:p>
        </w:tc>
      </w:tr>
      <w:tr>
        <w:trPr/>
        <w:tc>
          <w:tcPr>
            <w:tcW w:w="3532" w:type="dxa"/>
            <w:tcBorders/>
            <w:vAlign w:val="center"/>
          </w:tcPr>
          <w:p>
            <w:pPr>
              <w:pStyle w:val="TableContents"/>
              <w:bidi w:val="0"/>
              <w:spacing w:before="0" w:after="283"/>
              <w:jc w:val="left"/>
              <w:rPr/>
            </w:pPr>
            <w:r>
              <w:rPr/>
              <w:t>Experiencia profesional (mediana)</w:t>
            </w:r>
          </w:p>
        </w:tc>
        <w:tc>
          <w:tcPr>
            <w:tcW w:w="1553" w:type="dxa"/>
            <w:tcBorders/>
            <w:vAlign w:val="center"/>
          </w:tcPr>
          <w:p>
            <w:pPr>
              <w:pStyle w:val="TableContents"/>
              <w:bidi w:val="0"/>
              <w:spacing w:before="0" w:after="283"/>
              <w:jc w:val="left"/>
              <w:rPr/>
            </w:pPr>
            <w:r>
              <w:rPr/>
              <w:t>5 años</w:t>
            </w:r>
          </w:p>
        </w:tc>
        <w:tc>
          <w:tcPr>
            <w:tcW w:w="1740" w:type="dxa"/>
            <w:tcBorders/>
            <w:vAlign w:val="center"/>
          </w:tcPr>
          <w:p>
            <w:pPr>
              <w:pStyle w:val="TableContents"/>
              <w:bidi w:val="0"/>
              <w:spacing w:before="0" w:after="283"/>
              <w:jc w:val="left"/>
              <w:rPr/>
            </w:pPr>
            <w:r>
              <w:rPr/>
              <w:t>9 años</w:t>
            </w:r>
          </w:p>
        </w:tc>
        <w:tc>
          <w:tcPr>
            <w:tcW w:w="963" w:type="dxa"/>
            <w:tcBorders/>
            <w:vAlign w:val="center"/>
          </w:tcPr>
          <w:p>
            <w:pPr>
              <w:pStyle w:val="TableContents"/>
              <w:bidi w:val="0"/>
              <w:spacing w:before="0" w:after="283"/>
              <w:jc w:val="left"/>
              <w:rPr/>
            </w:pPr>
            <w:r>
              <w:rPr/>
              <w:t>6 años</w:t>
            </w:r>
          </w:p>
        </w:tc>
      </w:tr>
      <w:tr>
        <w:trPr/>
        <w:tc>
          <w:tcPr>
            <w:tcW w:w="3532" w:type="dxa"/>
            <w:tcBorders/>
            <w:vAlign w:val="center"/>
          </w:tcPr>
          <w:p>
            <w:pPr>
              <w:pStyle w:val="TableContents"/>
              <w:bidi w:val="0"/>
              <w:spacing w:before="0" w:after="283"/>
              <w:jc w:val="left"/>
              <w:rPr/>
            </w:pPr>
            <w:r>
              <w:rPr/>
              <w:t>Sueldo mediano (USD)</w:t>
            </w:r>
          </w:p>
        </w:tc>
        <w:tc>
          <w:tcPr>
            <w:tcW w:w="1553" w:type="dxa"/>
            <w:tcBorders/>
            <w:vAlign w:val="center"/>
          </w:tcPr>
          <w:p>
            <w:pPr>
              <w:pStyle w:val="TableContents"/>
              <w:bidi w:val="0"/>
              <w:spacing w:before="0" w:after="283"/>
              <w:jc w:val="left"/>
              <w:rPr/>
            </w:pPr>
            <w:r>
              <w:rPr/>
              <w:t>23.352</w:t>
            </w:r>
          </w:p>
        </w:tc>
        <w:tc>
          <w:tcPr>
            <w:tcW w:w="1740" w:type="dxa"/>
            <w:tcBorders/>
            <w:vAlign w:val="center"/>
          </w:tcPr>
          <w:p>
            <w:pPr>
              <w:pStyle w:val="TableContents"/>
              <w:bidi w:val="0"/>
              <w:spacing w:before="0" w:after="283"/>
              <w:jc w:val="left"/>
              <w:rPr/>
            </w:pPr>
            <w:r>
              <w:rPr/>
              <w:t>551.304</w:t>
            </w:r>
          </w:p>
        </w:tc>
        <w:tc>
          <w:tcPr>
            <w:tcW w:w="963" w:type="dxa"/>
            <w:tcBorders/>
            <w:vAlign w:val="center"/>
          </w:tcPr>
          <w:p>
            <w:pPr>
              <w:pStyle w:val="TableContents"/>
              <w:bidi w:val="0"/>
              <w:spacing w:before="0" w:after="283"/>
              <w:jc w:val="left"/>
              <w:rPr/>
            </w:pPr>
            <w:r>
              <w:rPr/>
              <w:t>54.049</w:t>
            </w:r>
          </w:p>
        </w:tc>
      </w:tr>
      <w:tr>
        <w:trPr/>
        <w:tc>
          <w:tcPr>
            <w:tcW w:w="3532" w:type="dxa"/>
            <w:tcBorders/>
            <w:vAlign w:val="center"/>
          </w:tcPr>
          <w:p>
            <w:pPr>
              <w:pStyle w:val="TableContents"/>
              <w:bidi w:val="0"/>
              <w:spacing w:before="0" w:after="283"/>
              <w:jc w:val="left"/>
              <w:rPr/>
            </w:pPr>
            <w:r>
              <w:rPr/>
              <w:t>País dominante</w:t>
            </w:r>
          </w:p>
        </w:tc>
        <w:tc>
          <w:tcPr>
            <w:tcW w:w="1553" w:type="dxa"/>
            <w:tcBorders/>
            <w:vAlign w:val="center"/>
          </w:tcPr>
          <w:p>
            <w:pPr>
              <w:pStyle w:val="TableContents"/>
              <w:bidi w:val="0"/>
              <w:spacing w:before="0" w:after="283"/>
              <w:jc w:val="left"/>
              <w:rPr/>
            </w:pPr>
            <w:r>
              <w:rPr/>
              <w:t>India 17,5 %</w:t>
            </w:r>
          </w:p>
        </w:tc>
        <w:tc>
          <w:tcPr>
            <w:tcW w:w="1740" w:type="dxa"/>
            <w:tcBorders/>
            <w:vAlign w:val="center"/>
          </w:tcPr>
          <w:p>
            <w:pPr>
              <w:pStyle w:val="TableContents"/>
              <w:bidi w:val="0"/>
              <w:spacing w:before="0" w:after="283"/>
              <w:jc w:val="left"/>
              <w:rPr>
                <w:b/>
              </w:rPr>
            </w:pPr>
            <w:r>
              <w:rPr>
                <w:b/>
              </w:rPr>
              <w:t>EE. UU. 48,6 %</w:t>
            </w:r>
          </w:p>
        </w:tc>
        <w:tc>
          <w:tcPr>
            <w:tcW w:w="963" w:type="dxa"/>
            <w:tcBorders/>
            <w:vAlign w:val="center"/>
          </w:tcPr>
          <w:p>
            <w:pPr>
              <w:pStyle w:val="TableContents"/>
              <w:bidi w:val="0"/>
              <w:spacing w:before="0" w:after="283"/>
              <w:jc w:val="left"/>
              <w:rPr/>
            </w:pPr>
            <w:r>
              <w:rPr/>
              <w:t>—</w:t>
            </w:r>
          </w:p>
        </w:tc>
      </w:tr>
    </w:tbl>
    <w:p>
      <w:pPr>
        <w:pStyle w:val="BodyText"/>
        <w:bidi w:val="0"/>
        <w:rPr/>
      </w:pPr>
      <w:r>
        <w:rPr/>
        <w:t>Ambos grupos presentan concentración. La diferencia está en qué proporción del grupo alcanza a explicar su causa: en el grupo 6, la explicación cubre el 62,7 % por país y el 91,0 % por tipo de empleo; en el grupo 4, "son independientes" cubre al 33,1 % y deja 103 registros sin explicación común.</w:t>
      </w:r>
    </w:p>
    <w:p>
      <w:pPr>
        <w:pStyle w:val="Heading2"/>
        <w:bidi w:val="0"/>
        <w:rPr/>
      </w:pPr>
      <w:r>
        <w:rPr/>
        <w:t>Registros que se habrían perdido eliminando todos los atípicos</w:t>
      </w:r>
    </w:p>
    <w:p>
      <w:pPr>
        <w:pStyle w:val="BodyText"/>
        <w:bidi w:val="0"/>
        <w:rPr>
          <w:b/>
        </w:rPr>
      </w:pPr>
      <w:r>
        <w:rPr>
          <w:b/>
        </w:rPr>
        <w:t>14.653 filas de 63.803 — 23,0 % del dataset.</w:t>
      </w:r>
    </w:p>
    <w:p>
      <w:pPr>
        <w:pStyle w:val="Heading4"/>
        <w:bidi w:val="0"/>
        <w:spacing w:before="200" w:after="200"/>
        <w:ind w:hanging="0" w:left="200" w:right="200"/>
        <w:rPr>
          <w:bdr w:val="dashed" w:sz="12" w:space="10" w:color="BB0000"/>
          <w:shd w:fill="FFF8F8" w:val="clear"/>
        </w:rPr>
      </w:pPr>
      <w:r>
        <w:rPr>
          <w:bdr w:val="dashed" w:sz="12" w:space="10" w:color="BB0000"/>
          <w:shd w:fill="FFF8F8" w:val="clear"/>
        </w:rPr>
        <w:t xml:space="preserve">⬜ </w:t>
      </w:r>
      <w:r>
        <w:rPr>
          <w:bdr w:val="dashed" w:sz="12" w:space="10" w:color="BB0000"/>
          <w:shd w:fill="FFF8F8" w:val="clear"/>
        </w:rPr>
        <w:t>Falta escribir: la clasificación de cada grupo</w:t>
      </w:r>
    </w:p>
    <w:p>
      <w:pPr>
        <w:pStyle w:val="BodyText"/>
        <w:bidi w:val="0"/>
        <w:spacing w:before="200" w:after="200"/>
        <w:ind w:hanging="0" w:left="200" w:right="200"/>
        <w:rPr>
          <w:bdr w:val="dashed" w:sz="12" w:space="10" w:color="BB0000"/>
          <w:shd w:fill="FFF8F8" w:val="clear"/>
        </w:rPr>
      </w:pPr>
      <w:r>
        <w:rPr>
          <w:bdr w:val="dashed" w:sz="12" w:space="10" w:color="BB0000"/>
          <w:shd w:fill="FFF8F8" w:val="clear"/>
        </w:rPr>
        <w:t>Material propio, por grupo:</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Grupos 1 y 2 — "Cómo una persona normal va a tener 279 años, eso es imposible." (frente a una edad de 3 años, que sí puede ser cierta)</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Grupo 3 — "Son de países que escriben el decimal con coma."</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Grupo 5 — "No se puede saber; hasta puede ser una broma."</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Grupo 6 — "Son un grupo con características parecidas entre ellos."</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Grupo 7 — "La edad." (es lo que permite separar lo que el método había unido)</w:t>
      </w:r>
    </w:p>
    <w:p>
      <w:pPr>
        <w:pStyle w:val="BodyText"/>
        <w:bidi w:val="0"/>
        <w:spacing w:before="200" w:after="200"/>
        <w:ind w:hanging="0" w:left="200" w:right="200"/>
        <w:rPr>
          <w:bdr w:val="dashed" w:sz="12" w:space="10" w:color="BB0000"/>
          <w:shd w:fill="FFF8F8" w:val="clear"/>
        </w:rPr>
      </w:pPr>
      <w:r>
        <w:rPr>
          <w:bdr w:val="dashed" w:sz="12" w:space="10" w:color="BB0000"/>
          <w:shd w:fill="FFF8F8" w:val="clear"/>
        </w:rPr>
        <w:t>Falta hilarlo: por qué cada grupo cae en esa categoría y no en otra. El criterio es qué está mal —el número o la pertenencia de la persona a la población estudiada—, no cuán extremo es el valor.</w:t>
      </w:r>
    </w:p>
    <w:p>
      <w:pPr>
        <w:pStyle w:val="Heading4"/>
        <w:bidi w:val="0"/>
        <w:spacing w:before="200" w:after="200"/>
        <w:ind w:hanging="0" w:left="200" w:right="200"/>
        <w:rPr>
          <w:bdr w:val="dashed" w:sz="12" w:space="10" w:color="BB0000"/>
          <w:shd w:fill="FFF8F8" w:val="clear"/>
        </w:rPr>
      </w:pPr>
      <w:r>
        <w:rPr>
          <w:bdr w:val="dashed" w:sz="12" w:space="10" w:color="BB0000"/>
          <w:shd w:fill="FFF8F8" w:val="clear"/>
        </w:rPr>
        <w:t xml:space="preserve">⬜ </w:t>
      </w:r>
      <w:r>
        <w:rPr>
          <w:bdr w:val="dashed" w:sz="12" w:space="10" w:color="BB0000"/>
          <w:shd w:fill="FFF8F8" w:val="clear"/>
        </w:rPr>
        <w:t>Falta escribir: por qué el método falló en el grupo 4</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"Que los dos tienen un YearsCode alto, nada más."</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"Que 120 horas es posible y 375 no."</w:t>
      </w:r>
    </w:p>
    <w:p>
      <w:pPr>
        <w:pStyle w:val="BodyText"/>
        <w:bidi w:val="0"/>
        <w:spacing w:before="200" w:after="200"/>
        <w:ind w:hanging="0" w:left="200" w:right="200"/>
        <w:rPr>
          <w:bdr w:val="dashed" w:sz="12" w:space="10" w:color="BB0000"/>
          <w:shd w:fill="FFF8F8" w:val="clear"/>
        </w:rPr>
      </w:pPr>
      <w:r>
        <w:rPr>
          <w:bdr w:val="dashed" w:sz="12" w:space="10" w:color="BB0000"/>
          <w:shd w:fill="FFF8F8" w:val="clear"/>
        </w:rPr>
        <w:t>Falta hilarlo: el rango intercuartílico compara una columna consigo misma y no conoce el resto de la fila ni el mundo exterior. Mide lo inusual, no lo imposible.</w:t>
      </w:r>
    </w:p>
    <w:p>
      <w:pPr>
        <w:pStyle w:val="Heading4"/>
        <w:bidi w:val="0"/>
        <w:spacing w:before="200" w:after="200"/>
        <w:ind w:hanging="0" w:left="200" w:right="200"/>
        <w:rPr>
          <w:bdr w:val="dashed" w:sz="12" w:space="10" w:color="BB0000"/>
          <w:shd w:fill="FFF8F8" w:val="clear"/>
        </w:rPr>
      </w:pPr>
      <w:r>
        <w:rPr>
          <w:bdr w:val="dashed" w:sz="12" w:space="10" w:color="BB0000"/>
          <w:shd w:fill="FFF8F8" w:val="clear"/>
        </w:rPr>
        <w:t xml:space="preserve">⬜ </w:t>
      </w:r>
      <w:r>
        <w:rPr>
          <w:bdr w:val="dashed" w:sz="12" w:space="10" w:color="BB0000"/>
          <w:shd w:fill="FFF8F8" w:val="clear"/>
        </w:rPr>
        <w:t>Decisión pendiente del equipo</w:t>
      </w:r>
    </w:p>
    <w:p>
      <w:pPr>
        <w:pStyle w:val="BodyText"/>
        <w:bidi w:val="0"/>
        <w:spacing w:before="200" w:after="200"/>
        <w:ind w:hanging="0" w:left="200" w:right="200"/>
        <w:rPr>
          <w:bdr w:val="dashed" w:sz="12" w:space="10" w:color="BB0000"/>
          <w:shd w:fill="FFF8F8" w:val="clear"/>
        </w:rPr>
      </w:pPr>
      <w:r>
        <w:rPr>
          <w:bdr w:val="dashed" w:sz="12" w:space="10" w:color="BB0000"/>
          <w:shd w:fill="FFF8F8" w:val="clear"/>
        </w:rPr>
        <w:t>Con la tabla del grupo 4 frente al grupo 6: ¿se sostiene la clasificación actual, se reclasifica el grupo 4 como subpoblación, o se declara como la decisión más discutible del trabajo? Las tres son defendibles; hay que elegir una y explicar por qué.</w:t>
      </w:r>
    </w:p>
    <w:p>
      <w:pPr>
        <w:pStyle w:val="Heading1"/>
        <w:bidi w:val="0"/>
        <w:ind w:hanging="0"/>
        <w:rPr/>
      </w:pPr>
      <w:r>
        <w:rPr/>
        <w:t>4. El factor del rango intercuartílico</w:t>
      </w:r>
    </w:p>
    <w:p>
      <w:pPr>
        <w:pStyle w:val="Heading2"/>
        <w:bidi w:val="0"/>
        <w:rPr/>
      </w:pPr>
      <w:r>
        <w:rPr/>
        <w:t>La decisión</w:t>
      </w:r>
    </w:p>
    <w:p>
      <w:pPr>
        <w:pStyle w:val="BodyText"/>
        <w:bidi w:val="0"/>
        <w:rPr/>
      </w:pPr>
      <w:r>
        <w:rPr/>
        <w:t>Se adoptó el factor 1,5, valor convencional del método. El protocolo previo declaró el rango intercuartílico como criterio de detección, pero no fijó el factor, de modo que la elección debe sostenerse por sus propios méritos.</w:t>
      </w:r>
    </w:p>
    <w:p>
      <w:pPr>
        <w:pStyle w:val="Heading2"/>
        <w:bidi w:val="0"/>
        <w:rPr/>
      </w:pPr>
      <w:r>
        <w:rPr/>
        <w:t>La evidencia</w:t>
      </w:r>
    </w:p>
    <w:tbl>
      <w:tblPr>
        <w:tblW w:w="6737" w:type="dxa"/>
        <w:jc w:val="left"/>
        <w:tblInd w:w="28" w:type="dxa"/>
        <w:tblLayout w:type="fixed"/>
        <w:tblCellMar>
          <w:top w:w="28" w:type="dxa"/>
          <w:left w:w="28" w:type="dxa"/>
          <w:bottom w:w="28" w:type="dxa"/>
          <w:right w:w="28" w:type="dxa"/>
        </w:tblCellMar>
      </w:tblPr>
      <w:tblGrid>
        <w:gridCol w:w="3407"/>
        <w:gridCol w:w="1705"/>
        <w:gridCol w:w="1625"/>
      </w:tblGrid>
      <w:tr>
        <w:trPr/>
        <w:tc>
          <w:tcPr>
            <w:tcW w:w="3407" w:type="dxa"/>
            <w:tcBorders/>
            <w:vAlign w:val="center"/>
          </w:tcPr>
          <w:p>
            <w:pPr>
              <w:pStyle w:val="TableHeading"/>
              <w:bidi w:val="0"/>
              <w:spacing w:before="0" w:after="283"/>
              <w:jc w:val="left"/>
              <w:rPr>
                <w:sz w:val="4"/>
                <w:szCs w:val="4"/>
              </w:rPr>
            </w:pPr>
            <w:r>
              <w:rPr>
                <w:sz w:val="4"/>
                <w:szCs w:val="4"/>
              </w:rPr>
            </w:r>
          </w:p>
        </w:tc>
        <w:tc>
          <w:tcPr>
            <w:tcW w:w="1705" w:type="dxa"/>
            <w:tcBorders/>
            <w:vAlign w:val="center"/>
          </w:tcPr>
          <w:p>
            <w:pPr>
              <w:pStyle w:val="TableHeading"/>
              <w:suppressLineNumbers/>
              <w:shd w:fill="E8E8E8" w:val="clear"/>
              <w:bidi w:val="0"/>
              <w:spacing w:before="0" w:after="283"/>
              <w:jc w:val="left"/>
              <w:rPr/>
            </w:pPr>
            <w:r>
              <w:rPr/>
              <w:t>Factor 1,5</w:t>
            </w:r>
          </w:p>
        </w:tc>
        <w:tc>
          <w:tcPr>
            <w:tcW w:w="1625" w:type="dxa"/>
            <w:tcBorders/>
            <w:vAlign w:val="center"/>
          </w:tcPr>
          <w:p>
            <w:pPr>
              <w:pStyle w:val="TableHeading"/>
              <w:suppressLineNumbers/>
              <w:shd w:fill="E8E8E8" w:val="clear"/>
              <w:bidi w:val="0"/>
              <w:spacing w:before="0" w:after="283"/>
              <w:jc w:val="left"/>
              <w:rPr/>
            </w:pPr>
            <w:r>
              <w:rPr/>
              <w:t>Factor 3,0</w:t>
            </w:r>
          </w:p>
        </w:tc>
      </w:tr>
      <w:tr>
        <w:trPr/>
        <w:tc>
          <w:tcPr>
            <w:tcW w:w="3407" w:type="dxa"/>
            <w:tcBorders/>
            <w:vAlign w:val="center"/>
          </w:tcPr>
          <w:p>
            <w:pPr>
              <w:pStyle w:val="TableContents"/>
              <w:bidi w:val="0"/>
              <w:spacing w:before="0" w:after="283"/>
              <w:jc w:val="left"/>
              <w:rPr/>
            </w:pPr>
            <w:r>
              <w:rPr/>
              <w:t>Filas marcadas como candidatas</w:t>
            </w:r>
          </w:p>
        </w:tc>
        <w:tc>
          <w:tcPr>
            <w:tcW w:w="1705" w:type="dxa"/>
            <w:tcBorders/>
            <w:vAlign w:val="center"/>
          </w:tcPr>
          <w:p>
            <w:pPr>
              <w:pStyle w:val="TableContents"/>
              <w:bidi w:val="0"/>
              <w:spacing w:before="0" w:after="283"/>
              <w:jc w:val="left"/>
              <w:rPr>
                <w:b/>
              </w:rPr>
            </w:pPr>
            <w:r>
              <w:rPr>
                <w:b/>
              </w:rPr>
              <w:t>14.745 (22,9 %)</w:t>
            </w:r>
          </w:p>
        </w:tc>
        <w:tc>
          <w:tcPr>
            <w:tcW w:w="1625" w:type="dxa"/>
            <w:tcBorders/>
            <w:vAlign w:val="center"/>
          </w:tcPr>
          <w:p>
            <w:pPr>
              <w:pStyle w:val="TableContents"/>
              <w:bidi w:val="0"/>
              <w:spacing w:before="0" w:after="283"/>
              <w:jc w:val="left"/>
              <w:rPr/>
            </w:pPr>
            <w:r>
              <w:rPr/>
              <w:t>9.359 (14,5 %)</w:t>
            </w:r>
          </w:p>
        </w:tc>
      </w:tr>
      <w:tr>
        <w:trPr/>
        <w:tc>
          <w:tcPr>
            <w:tcW w:w="3407" w:type="dxa"/>
            <w:tcBorders/>
            <w:vAlign w:val="center"/>
          </w:tcPr>
          <w:p>
            <w:pPr>
              <w:pStyle w:val="TableContents"/>
              <w:bidi w:val="0"/>
              <w:spacing w:before="0" w:after="283"/>
              <w:jc w:val="left"/>
              <w:rPr/>
            </w:pPr>
            <w:r>
              <w:rPr/>
              <w:t xml:space="preserve">Detecta </w:t>
            </w:r>
            <w:r>
              <w:rPr>
                <w:i/>
              </w:rPr>
              <w:t>Age</w:t>
            </w:r>
            <w:r>
              <w:rPr/>
              <w:t xml:space="preserve"> = 279</w:t>
            </w:r>
          </w:p>
        </w:tc>
        <w:tc>
          <w:tcPr>
            <w:tcW w:w="1705" w:type="dxa"/>
            <w:tcBorders/>
            <w:vAlign w:val="center"/>
          </w:tcPr>
          <w:p>
            <w:pPr>
              <w:pStyle w:val="TableContents"/>
              <w:bidi w:val="0"/>
              <w:spacing w:before="0" w:after="283"/>
              <w:jc w:val="left"/>
              <w:rPr/>
            </w:pPr>
            <w:r>
              <w:rPr/>
              <w:t>1 de 1</w:t>
            </w:r>
          </w:p>
        </w:tc>
        <w:tc>
          <w:tcPr>
            <w:tcW w:w="1625" w:type="dxa"/>
            <w:tcBorders/>
            <w:vAlign w:val="center"/>
          </w:tcPr>
          <w:p>
            <w:pPr>
              <w:pStyle w:val="TableContents"/>
              <w:bidi w:val="0"/>
              <w:spacing w:before="0" w:after="283"/>
              <w:jc w:val="left"/>
              <w:rPr/>
            </w:pPr>
            <w:r>
              <w:rPr/>
              <w:t>1 de 1</w:t>
            </w:r>
          </w:p>
        </w:tc>
      </w:tr>
      <w:tr>
        <w:trPr/>
        <w:tc>
          <w:tcPr>
            <w:tcW w:w="3407" w:type="dxa"/>
            <w:tcBorders/>
            <w:vAlign w:val="center"/>
          </w:tcPr>
          <w:p>
            <w:pPr>
              <w:pStyle w:val="TableContents"/>
              <w:bidi w:val="0"/>
              <w:spacing w:before="0" w:after="283"/>
              <w:jc w:val="left"/>
              <w:rPr/>
            </w:pPr>
            <w:r>
              <w:rPr/>
              <w:t xml:space="preserve">Detecta </w:t>
            </w:r>
            <w:r>
              <w:rPr>
                <w:i/>
              </w:rPr>
              <w:t>WorkWeekHrs</w:t>
            </w:r>
            <w:r>
              <w:rPr/>
              <w:t xml:space="preserve"> &gt; 168</w:t>
            </w:r>
          </w:p>
        </w:tc>
        <w:tc>
          <w:tcPr>
            <w:tcW w:w="1705" w:type="dxa"/>
            <w:tcBorders/>
            <w:vAlign w:val="center"/>
          </w:tcPr>
          <w:p>
            <w:pPr>
              <w:pStyle w:val="TableContents"/>
              <w:bidi w:val="0"/>
              <w:spacing w:before="0" w:after="283"/>
              <w:jc w:val="left"/>
              <w:rPr/>
            </w:pPr>
            <w:r>
              <w:rPr/>
              <w:t>62 de 62</w:t>
            </w:r>
          </w:p>
        </w:tc>
        <w:tc>
          <w:tcPr>
            <w:tcW w:w="1625" w:type="dxa"/>
            <w:tcBorders/>
            <w:vAlign w:val="center"/>
          </w:tcPr>
          <w:p>
            <w:pPr>
              <w:pStyle w:val="TableContents"/>
              <w:bidi w:val="0"/>
              <w:spacing w:before="0" w:after="283"/>
              <w:jc w:val="left"/>
              <w:rPr/>
            </w:pPr>
            <w:r>
              <w:rPr/>
              <w:t>62 de 62</w:t>
            </w:r>
          </w:p>
        </w:tc>
      </w:tr>
      <w:tr>
        <w:trPr/>
        <w:tc>
          <w:tcPr>
            <w:tcW w:w="3407" w:type="dxa"/>
            <w:tcBorders/>
            <w:vAlign w:val="center"/>
          </w:tcPr>
          <w:p>
            <w:pPr>
              <w:pStyle w:val="TableContents"/>
              <w:bidi w:val="0"/>
              <w:spacing w:before="0" w:after="283"/>
              <w:jc w:val="left"/>
              <w:rPr/>
            </w:pPr>
            <w:r>
              <w:rPr/>
              <w:t xml:space="preserve">Detecta </w:t>
            </w:r>
            <w:r>
              <w:rPr>
                <w:i/>
              </w:rPr>
              <w:t>CompTotal</w:t>
            </w:r>
            <w:r>
              <w:rPr/>
              <w:t xml:space="preserve"> &gt; 10⁹</w:t>
            </w:r>
          </w:p>
        </w:tc>
        <w:tc>
          <w:tcPr>
            <w:tcW w:w="1705" w:type="dxa"/>
            <w:tcBorders/>
            <w:vAlign w:val="center"/>
          </w:tcPr>
          <w:p>
            <w:pPr>
              <w:pStyle w:val="TableContents"/>
              <w:bidi w:val="0"/>
              <w:spacing w:before="0" w:after="283"/>
              <w:jc w:val="left"/>
              <w:rPr/>
            </w:pPr>
            <w:r>
              <w:rPr/>
              <w:t>28 de 28</w:t>
            </w:r>
          </w:p>
        </w:tc>
        <w:tc>
          <w:tcPr>
            <w:tcW w:w="1625" w:type="dxa"/>
            <w:tcBorders/>
            <w:vAlign w:val="center"/>
          </w:tcPr>
          <w:p>
            <w:pPr>
              <w:pStyle w:val="TableContents"/>
              <w:bidi w:val="0"/>
              <w:spacing w:before="0" w:after="283"/>
              <w:jc w:val="left"/>
              <w:rPr/>
            </w:pPr>
            <w:r>
              <w:rPr/>
              <w:t>28 de 28</w:t>
            </w:r>
          </w:p>
        </w:tc>
      </w:tr>
    </w:tbl>
    <w:p>
      <w:pPr>
        <w:pStyle w:val="BodyText"/>
        <w:bidi w:val="0"/>
        <w:rPr/>
      </w:pPr>
      <w:r>
        <w:rPr/>
        <w:t>Límite superior por variable, con uno y otro factor:</w:t>
      </w:r>
    </w:p>
    <w:tbl>
      <w:tblPr>
        <w:tblW w:w="6450" w:type="dxa"/>
        <w:jc w:val="left"/>
        <w:tblInd w:w="28" w:type="dxa"/>
        <w:tblLayout w:type="fixed"/>
        <w:tblCellMar>
          <w:top w:w="28" w:type="dxa"/>
          <w:left w:w="28" w:type="dxa"/>
          <w:bottom w:w="28" w:type="dxa"/>
          <w:right w:w="28" w:type="dxa"/>
        </w:tblCellMar>
      </w:tblPr>
      <w:tblGrid>
        <w:gridCol w:w="1759"/>
        <w:gridCol w:w="1167"/>
        <w:gridCol w:w="1156"/>
        <w:gridCol w:w="1167"/>
        <w:gridCol w:w="1201"/>
      </w:tblGrid>
      <w:tr>
        <w:trPr/>
        <w:tc>
          <w:tcPr>
            <w:tcW w:w="1759" w:type="dxa"/>
            <w:tcBorders/>
            <w:vAlign w:val="center"/>
          </w:tcPr>
          <w:p>
            <w:pPr>
              <w:pStyle w:val="TableHeading"/>
              <w:suppressLineNumbers/>
              <w:shd w:fill="E8E8E8" w:val="clear"/>
              <w:bidi w:val="0"/>
              <w:spacing w:before="0" w:after="283"/>
              <w:jc w:val="left"/>
              <w:rPr/>
            </w:pPr>
            <w:r>
              <w:rPr/>
              <w:t>Variable</w:t>
            </w:r>
          </w:p>
        </w:tc>
        <w:tc>
          <w:tcPr>
            <w:tcW w:w="1167" w:type="dxa"/>
            <w:tcBorders/>
            <w:vAlign w:val="center"/>
          </w:tcPr>
          <w:p>
            <w:pPr>
              <w:pStyle w:val="TableHeading"/>
              <w:suppressLineNumbers/>
              <w:shd w:fill="E8E8E8" w:val="clear"/>
              <w:bidi w:val="0"/>
              <w:spacing w:before="0" w:after="283"/>
              <w:jc w:val="left"/>
              <w:rPr/>
            </w:pPr>
            <w:r>
              <w:rPr/>
              <w:t>Factor 1,5</w:t>
            </w:r>
          </w:p>
        </w:tc>
        <w:tc>
          <w:tcPr>
            <w:tcW w:w="1156" w:type="dxa"/>
            <w:tcBorders/>
            <w:vAlign w:val="center"/>
          </w:tcPr>
          <w:p>
            <w:pPr>
              <w:pStyle w:val="TableHeading"/>
              <w:suppressLineNumbers/>
              <w:shd w:fill="E8E8E8" w:val="clear"/>
              <w:bidi w:val="0"/>
              <w:spacing w:before="0" w:after="283"/>
              <w:jc w:val="left"/>
              <w:rPr/>
            </w:pPr>
            <w:r>
              <w:rPr/>
              <w:t>Marcados</w:t>
            </w:r>
          </w:p>
        </w:tc>
        <w:tc>
          <w:tcPr>
            <w:tcW w:w="1167" w:type="dxa"/>
            <w:tcBorders/>
            <w:vAlign w:val="center"/>
          </w:tcPr>
          <w:p>
            <w:pPr>
              <w:pStyle w:val="TableHeading"/>
              <w:suppressLineNumbers/>
              <w:shd w:fill="E8E8E8" w:val="clear"/>
              <w:bidi w:val="0"/>
              <w:spacing w:before="0" w:after="283"/>
              <w:jc w:val="left"/>
              <w:rPr/>
            </w:pPr>
            <w:r>
              <w:rPr/>
              <w:t>Factor 3,0</w:t>
            </w:r>
          </w:p>
        </w:tc>
        <w:tc>
          <w:tcPr>
            <w:tcW w:w="1201" w:type="dxa"/>
            <w:tcBorders/>
            <w:vAlign w:val="center"/>
          </w:tcPr>
          <w:p>
            <w:pPr>
              <w:pStyle w:val="TableHeading"/>
              <w:suppressLineNumbers/>
              <w:shd w:fill="E8E8E8" w:val="clear"/>
              <w:bidi w:val="0"/>
              <w:spacing w:before="0" w:after="283"/>
              <w:jc w:val="left"/>
              <w:rPr/>
            </w:pPr>
            <w:r>
              <w:rPr/>
              <w:t>Marcados</w:t>
            </w:r>
          </w:p>
        </w:tc>
      </w:tr>
      <w:tr>
        <w:trPr/>
        <w:tc>
          <w:tcPr>
            <w:tcW w:w="1759" w:type="dxa"/>
            <w:tcBorders/>
            <w:vAlign w:val="center"/>
          </w:tcPr>
          <w:p>
            <w:pPr>
              <w:pStyle w:val="TableContents"/>
              <w:bidi w:val="0"/>
              <w:spacing w:before="0" w:after="283"/>
              <w:jc w:val="left"/>
              <w:rPr/>
            </w:pPr>
            <w:r>
              <w:rPr/>
              <w:t>Age</w:t>
            </w:r>
          </w:p>
        </w:tc>
        <w:tc>
          <w:tcPr>
            <w:tcW w:w="1167" w:type="dxa"/>
            <w:tcBorders/>
            <w:vAlign w:val="center"/>
          </w:tcPr>
          <w:p>
            <w:pPr>
              <w:pStyle w:val="TableContents"/>
              <w:bidi w:val="0"/>
              <w:spacing w:before="0" w:after="283"/>
              <w:jc w:val="left"/>
              <w:rPr/>
            </w:pPr>
            <w:r>
              <w:rPr/>
              <w:t>52</w:t>
            </w:r>
          </w:p>
        </w:tc>
        <w:tc>
          <w:tcPr>
            <w:tcW w:w="1156" w:type="dxa"/>
            <w:tcBorders/>
            <w:vAlign w:val="center"/>
          </w:tcPr>
          <w:p>
            <w:pPr>
              <w:pStyle w:val="TableContents"/>
              <w:bidi w:val="0"/>
              <w:spacing w:before="0" w:after="283"/>
              <w:jc w:val="left"/>
              <w:rPr/>
            </w:pPr>
            <w:r>
              <w:rPr/>
              <w:t>1.776</w:t>
            </w:r>
          </w:p>
        </w:tc>
        <w:tc>
          <w:tcPr>
            <w:tcW w:w="1167" w:type="dxa"/>
            <w:tcBorders/>
            <w:vAlign w:val="center"/>
          </w:tcPr>
          <w:p>
            <w:pPr>
              <w:pStyle w:val="TableContents"/>
              <w:bidi w:val="0"/>
              <w:spacing w:before="0" w:after="283"/>
              <w:jc w:val="left"/>
              <w:rPr/>
            </w:pPr>
            <w:r>
              <w:rPr/>
              <w:t>68</w:t>
            </w:r>
          </w:p>
        </w:tc>
        <w:tc>
          <w:tcPr>
            <w:tcW w:w="1201" w:type="dxa"/>
            <w:tcBorders/>
            <w:vAlign w:val="center"/>
          </w:tcPr>
          <w:p>
            <w:pPr>
              <w:pStyle w:val="TableContents"/>
              <w:bidi w:val="0"/>
              <w:spacing w:before="0" w:after="283"/>
              <w:jc w:val="left"/>
              <w:rPr/>
            </w:pPr>
            <w:r>
              <w:rPr/>
              <w:t>150</w:t>
            </w:r>
          </w:p>
        </w:tc>
      </w:tr>
      <w:tr>
        <w:trPr/>
        <w:tc>
          <w:tcPr>
            <w:tcW w:w="1759" w:type="dxa"/>
            <w:tcBorders/>
            <w:vAlign w:val="center"/>
          </w:tcPr>
          <w:p>
            <w:pPr>
              <w:pStyle w:val="TableContents"/>
              <w:bidi w:val="0"/>
              <w:spacing w:before="0" w:after="283"/>
              <w:jc w:val="left"/>
              <w:rPr/>
            </w:pPr>
            <w:r>
              <w:rPr/>
              <w:t>WorkWeekHrs</w:t>
            </w:r>
          </w:p>
        </w:tc>
        <w:tc>
          <w:tcPr>
            <w:tcW w:w="1167" w:type="dxa"/>
            <w:tcBorders/>
            <w:vAlign w:val="center"/>
          </w:tcPr>
          <w:p>
            <w:pPr>
              <w:pStyle w:val="TableContents"/>
              <w:bidi w:val="0"/>
              <w:spacing w:before="0" w:after="283"/>
              <w:jc w:val="left"/>
              <w:rPr/>
            </w:pPr>
            <w:r>
              <w:rPr/>
              <w:t>50</w:t>
            </w:r>
          </w:p>
        </w:tc>
        <w:tc>
          <w:tcPr>
            <w:tcW w:w="1156" w:type="dxa"/>
            <w:tcBorders/>
            <w:vAlign w:val="center"/>
          </w:tcPr>
          <w:p>
            <w:pPr>
              <w:pStyle w:val="TableContents"/>
              <w:bidi w:val="0"/>
              <w:spacing w:before="0" w:after="283"/>
              <w:jc w:val="left"/>
              <w:rPr/>
            </w:pPr>
            <w:r>
              <w:rPr/>
              <w:t>6.942</w:t>
            </w:r>
          </w:p>
        </w:tc>
        <w:tc>
          <w:tcPr>
            <w:tcW w:w="1167" w:type="dxa"/>
            <w:tcBorders/>
            <w:vAlign w:val="center"/>
          </w:tcPr>
          <w:p>
            <w:pPr>
              <w:pStyle w:val="TableContents"/>
              <w:bidi w:val="0"/>
              <w:spacing w:before="0" w:after="283"/>
              <w:jc w:val="left"/>
              <w:rPr/>
            </w:pPr>
            <w:r>
              <w:rPr/>
              <w:t>56</w:t>
            </w:r>
          </w:p>
        </w:tc>
        <w:tc>
          <w:tcPr>
            <w:tcW w:w="1201" w:type="dxa"/>
            <w:tcBorders/>
            <w:vAlign w:val="center"/>
          </w:tcPr>
          <w:p>
            <w:pPr>
              <w:pStyle w:val="TableContents"/>
              <w:bidi w:val="0"/>
              <w:spacing w:before="0" w:after="283"/>
              <w:jc w:val="left"/>
              <w:rPr/>
            </w:pPr>
            <w:r>
              <w:rPr/>
              <w:t>4.823</w:t>
            </w:r>
          </w:p>
        </w:tc>
      </w:tr>
      <w:tr>
        <w:trPr/>
        <w:tc>
          <w:tcPr>
            <w:tcW w:w="1759" w:type="dxa"/>
            <w:tcBorders/>
            <w:vAlign w:val="center"/>
          </w:tcPr>
          <w:p>
            <w:pPr>
              <w:pStyle w:val="TableContents"/>
              <w:bidi w:val="0"/>
              <w:spacing w:before="0" w:after="283"/>
              <w:jc w:val="left"/>
              <w:rPr/>
            </w:pPr>
            <w:r>
              <w:rPr/>
              <w:t>ConvertedComp</w:t>
            </w:r>
          </w:p>
        </w:tc>
        <w:tc>
          <w:tcPr>
            <w:tcW w:w="1167" w:type="dxa"/>
            <w:tcBorders/>
            <w:vAlign w:val="center"/>
          </w:tcPr>
          <w:p>
            <w:pPr>
              <w:pStyle w:val="TableContents"/>
              <w:bidi w:val="0"/>
              <w:spacing w:before="0" w:after="283"/>
              <w:jc w:val="left"/>
              <w:rPr/>
            </w:pPr>
            <w:r>
              <w:rPr/>
              <w:t>200.528</w:t>
            </w:r>
          </w:p>
        </w:tc>
        <w:tc>
          <w:tcPr>
            <w:tcW w:w="1156" w:type="dxa"/>
            <w:tcBorders/>
            <w:vAlign w:val="center"/>
          </w:tcPr>
          <w:p>
            <w:pPr>
              <w:pStyle w:val="TableContents"/>
              <w:bidi w:val="0"/>
              <w:spacing w:before="0" w:after="283"/>
              <w:jc w:val="left"/>
              <w:rPr/>
            </w:pPr>
            <w:r>
              <w:rPr/>
              <w:t>2.301</w:t>
            </w:r>
          </w:p>
        </w:tc>
        <w:tc>
          <w:tcPr>
            <w:tcW w:w="1167" w:type="dxa"/>
            <w:tcBorders/>
            <w:vAlign w:val="center"/>
          </w:tcPr>
          <w:p>
            <w:pPr>
              <w:pStyle w:val="TableContents"/>
              <w:bidi w:val="0"/>
              <w:spacing w:before="0" w:after="283"/>
              <w:jc w:val="left"/>
              <w:rPr/>
            </w:pPr>
            <w:r>
              <w:rPr/>
              <w:t>306.056</w:t>
            </w:r>
          </w:p>
        </w:tc>
        <w:tc>
          <w:tcPr>
            <w:tcW w:w="1201" w:type="dxa"/>
            <w:tcBorders/>
            <w:vAlign w:val="center"/>
          </w:tcPr>
          <w:p>
            <w:pPr>
              <w:pStyle w:val="TableContents"/>
              <w:bidi w:val="0"/>
              <w:spacing w:before="0" w:after="283"/>
              <w:jc w:val="left"/>
              <w:rPr/>
            </w:pPr>
            <w:r>
              <w:rPr/>
              <w:t>1.607</w:t>
            </w:r>
          </w:p>
        </w:tc>
      </w:tr>
      <w:tr>
        <w:trPr/>
        <w:tc>
          <w:tcPr>
            <w:tcW w:w="1759" w:type="dxa"/>
            <w:tcBorders/>
            <w:vAlign w:val="center"/>
          </w:tcPr>
          <w:p>
            <w:pPr>
              <w:pStyle w:val="TableContents"/>
              <w:bidi w:val="0"/>
              <w:spacing w:before="0" w:after="283"/>
              <w:jc w:val="left"/>
              <w:rPr/>
            </w:pPr>
            <w:r>
              <w:rPr/>
              <w:t>CompTotal</w:t>
            </w:r>
          </w:p>
        </w:tc>
        <w:tc>
          <w:tcPr>
            <w:tcW w:w="1167" w:type="dxa"/>
            <w:tcBorders/>
            <w:vAlign w:val="center"/>
          </w:tcPr>
          <w:p>
            <w:pPr>
              <w:pStyle w:val="TableContents"/>
              <w:bidi w:val="0"/>
              <w:spacing w:before="0" w:after="283"/>
              <w:jc w:val="left"/>
              <w:rPr/>
            </w:pPr>
            <w:r>
              <w:rPr/>
              <w:t>282.500</w:t>
            </w:r>
          </w:p>
        </w:tc>
        <w:tc>
          <w:tcPr>
            <w:tcW w:w="1156" w:type="dxa"/>
            <w:tcBorders/>
            <w:vAlign w:val="center"/>
          </w:tcPr>
          <w:p>
            <w:pPr>
              <w:pStyle w:val="TableContents"/>
              <w:bidi w:val="0"/>
              <w:spacing w:before="0" w:after="283"/>
              <w:jc w:val="left"/>
              <w:rPr/>
            </w:pPr>
            <w:r>
              <w:rPr/>
              <w:t>4.065</w:t>
            </w:r>
          </w:p>
        </w:tc>
        <w:tc>
          <w:tcPr>
            <w:tcW w:w="1167" w:type="dxa"/>
            <w:tcBorders/>
            <w:vAlign w:val="center"/>
          </w:tcPr>
          <w:p>
            <w:pPr>
              <w:pStyle w:val="TableContents"/>
              <w:bidi w:val="0"/>
              <w:spacing w:before="0" w:after="283"/>
              <w:jc w:val="left"/>
              <w:rPr/>
            </w:pPr>
            <w:r>
              <w:rPr/>
              <w:t>440.000</w:t>
            </w:r>
          </w:p>
        </w:tc>
        <w:tc>
          <w:tcPr>
            <w:tcW w:w="1201" w:type="dxa"/>
            <w:tcBorders/>
            <w:vAlign w:val="center"/>
          </w:tcPr>
          <w:p>
            <w:pPr>
              <w:pStyle w:val="TableContents"/>
              <w:bidi w:val="0"/>
              <w:spacing w:before="0" w:after="283"/>
              <w:jc w:val="left"/>
              <w:rPr/>
            </w:pPr>
            <w:r>
              <w:rPr/>
              <w:t>3.380</w:t>
            </w:r>
          </w:p>
        </w:tc>
      </w:tr>
      <w:tr>
        <w:trPr/>
        <w:tc>
          <w:tcPr>
            <w:tcW w:w="1759" w:type="dxa"/>
            <w:tcBorders/>
            <w:vAlign w:val="center"/>
          </w:tcPr>
          <w:p>
            <w:pPr>
              <w:pStyle w:val="TableContents"/>
              <w:bidi w:val="0"/>
              <w:spacing w:before="0" w:after="283"/>
              <w:jc w:val="left"/>
              <w:rPr/>
            </w:pPr>
            <w:r>
              <w:rPr/>
              <w:t>YearsCode</w:t>
            </w:r>
          </w:p>
        </w:tc>
        <w:tc>
          <w:tcPr>
            <w:tcW w:w="1167" w:type="dxa"/>
            <w:tcBorders/>
            <w:vAlign w:val="center"/>
          </w:tcPr>
          <w:p>
            <w:pPr>
              <w:pStyle w:val="TableContents"/>
              <w:bidi w:val="0"/>
              <w:spacing w:before="0" w:after="283"/>
              <w:jc w:val="left"/>
              <w:rPr/>
            </w:pPr>
            <w:r>
              <w:rPr/>
              <w:t>34</w:t>
            </w:r>
          </w:p>
        </w:tc>
        <w:tc>
          <w:tcPr>
            <w:tcW w:w="1156" w:type="dxa"/>
            <w:tcBorders/>
            <w:vAlign w:val="center"/>
          </w:tcPr>
          <w:p>
            <w:pPr>
              <w:pStyle w:val="TableContents"/>
              <w:bidi w:val="0"/>
              <w:spacing w:before="0" w:after="283"/>
              <w:jc w:val="left"/>
              <w:rPr/>
            </w:pPr>
            <w:r>
              <w:rPr/>
              <w:t>3.119</w:t>
            </w:r>
          </w:p>
        </w:tc>
        <w:tc>
          <w:tcPr>
            <w:tcW w:w="1167" w:type="dxa"/>
            <w:tcBorders/>
            <w:vAlign w:val="center"/>
          </w:tcPr>
          <w:p>
            <w:pPr>
              <w:pStyle w:val="TableContents"/>
              <w:bidi w:val="0"/>
              <w:spacing w:before="0" w:after="283"/>
              <w:jc w:val="left"/>
              <w:rPr/>
            </w:pPr>
            <w:r>
              <w:rPr/>
              <w:t>50</w:t>
            </w:r>
          </w:p>
        </w:tc>
        <w:tc>
          <w:tcPr>
            <w:tcW w:w="1201" w:type="dxa"/>
            <w:tcBorders/>
            <w:vAlign w:val="center"/>
          </w:tcPr>
          <w:p>
            <w:pPr>
              <w:pStyle w:val="TableContents"/>
              <w:bidi w:val="0"/>
              <w:spacing w:before="0" w:after="283"/>
              <w:jc w:val="left"/>
              <w:rPr/>
            </w:pPr>
            <w:r>
              <w:rPr/>
              <w:t>143</w:t>
            </w:r>
          </w:p>
        </w:tc>
      </w:tr>
      <w:tr>
        <w:trPr/>
        <w:tc>
          <w:tcPr>
            <w:tcW w:w="1759" w:type="dxa"/>
            <w:tcBorders/>
            <w:vAlign w:val="center"/>
          </w:tcPr>
          <w:p>
            <w:pPr>
              <w:pStyle w:val="TableContents"/>
              <w:bidi w:val="0"/>
              <w:spacing w:before="0" w:after="283"/>
              <w:jc w:val="left"/>
              <w:rPr/>
            </w:pPr>
            <w:r>
              <w:rPr/>
              <w:t>YearsCodePro</w:t>
            </w:r>
          </w:p>
        </w:tc>
        <w:tc>
          <w:tcPr>
            <w:tcW w:w="1167" w:type="dxa"/>
            <w:tcBorders/>
            <w:vAlign w:val="center"/>
          </w:tcPr>
          <w:p>
            <w:pPr>
              <w:pStyle w:val="TableContents"/>
              <w:bidi w:val="0"/>
              <w:spacing w:before="0" w:after="283"/>
              <w:jc w:val="left"/>
              <w:rPr/>
            </w:pPr>
            <w:r>
              <w:rPr/>
              <w:t>26</w:t>
            </w:r>
          </w:p>
        </w:tc>
        <w:tc>
          <w:tcPr>
            <w:tcW w:w="1156" w:type="dxa"/>
            <w:tcBorders/>
            <w:vAlign w:val="center"/>
          </w:tcPr>
          <w:p>
            <w:pPr>
              <w:pStyle w:val="TableContents"/>
              <w:bidi w:val="0"/>
              <w:spacing w:before="0" w:after="283"/>
              <w:jc w:val="left"/>
              <w:rPr/>
            </w:pPr>
            <w:r>
              <w:rPr/>
              <w:t>1.894</w:t>
            </w:r>
          </w:p>
        </w:tc>
        <w:tc>
          <w:tcPr>
            <w:tcW w:w="1167" w:type="dxa"/>
            <w:tcBorders/>
            <w:vAlign w:val="center"/>
          </w:tcPr>
          <w:p>
            <w:pPr>
              <w:pStyle w:val="TableContents"/>
              <w:bidi w:val="0"/>
              <w:spacing w:before="0" w:after="283"/>
              <w:jc w:val="left"/>
              <w:rPr/>
            </w:pPr>
            <w:r>
              <w:rPr/>
              <w:t>39</w:t>
            </w:r>
          </w:p>
        </w:tc>
        <w:tc>
          <w:tcPr>
            <w:tcW w:w="1201" w:type="dxa"/>
            <w:tcBorders/>
            <w:vAlign w:val="center"/>
          </w:tcPr>
          <w:p>
            <w:pPr>
              <w:pStyle w:val="TableContents"/>
              <w:bidi w:val="0"/>
              <w:spacing w:before="0" w:after="283"/>
              <w:jc w:val="left"/>
              <w:rPr/>
            </w:pPr>
            <w:r>
              <w:rPr/>
              <w:t>262</w:t>
            </w:r>
          </w:p>
        </w:tc>
      </w:tr>
    </w:tbl>
    <w:p>
      <w:pPr>
        <w:pStyle w:val="BodyText"/>
        <w:bidi w:val="0"/>
        <w:rPr/>
      </w:pPr>
      <w:r>
        <w:rPr>
          <w:b/>
        </w:rPr>
        <w:t>Ambos factores detectan la totalidad de los errores reales.</w:t>
      </w:r>
      <w:r>
        <w:rPr/>
        <w:t xml:space="preserve"> El factor 3,0 lo habría hecho marcando 5.386 registros menos.</w:t>
      </w:r>
    </w:p>
    <w:p>
      <w:pPr>
        <w:pStyle w:val="Heading4"/>
        <w:bidi w:val="0"/>
        <w:spacing w:before="200" w:after="200"/>
        <w:ind w:hanging="0" w:left="200" w:right="200"/>
        <w:rPr>
          <w:bdr w:val="dashed" w:sz="12" w:space="10" w:color="BB0000"/>
          <w:shd w:fill="FFF8F8" w:val="clear"/>
        </w:rPr>
      </w:pPr>
      <w:r>
        <w:rPr>
          <w:bdr w:val="dashed" w:sz="12" w:space="10" w:color="BB0000"/>
          <w:shd w:fill="FFF8F8" w:val="clear"/>
        </w:rPr>
        <w:t xml:space="preserve">⬜ </w:t>
      </w:r>
      <w:r>
        <w:rPr>
          <w:bdr w:val="dashed" w:sz="12" w:space="10" w:color="BB0000"/>
          <w:shd w:fill="FFF8F8" w:val="clear"/>
        </w:rPr>
        <w:t>Falta escribir: por qué 1,5 y no 3,0</w:t>
      </w:r>
    </w:p>
    <w:p>
      <w:pPr>
        <w:pStyle w:val="BodyText"/>
        <w:bidi w:val="0"/>
        <w:spacing w:before="120" w:after="120"/>
        <w:ind w:hanging="0" w:left="120" w:right="120"/>
        <w:rPr>
          <w:i/>
          <w:bdr w:val="single" w:sz="18" w:space="10" w:color="666666"/>
          <w:shd w:fill="F0F0F0" w:val="clear"/>
        </w:rPr>
      </w:pPr>
      <w:r>
        <w:rPr>
          <w:i/>
          <w:bdr w:val="single" w:sz="18" w:space="10" w:color="666666"/>
          <w:shd w:fill="F0F0F0" w:val="clear"/>
        </w:rPr>
        <w:t>"Los casos de frontera, donde apareció la subpoblación."</w:t>
      </w:r>
    </w:p>
    <w:p>
      <w:pPr>
        <w:pStyle w:val="BodyText"/>
        <w:bidi w:val="0"/>
        <w:spacing w:before="200" w:after="200"/>
        <w:ind w:hanging="0" w:left="200" w:right="200"/>
        <w:rPr>
          <w:bdr w:val="dashed" w:sz="12" w:space="10" w:color="BB0000"/>
          <w:shd w:fill="FFF8F8" w:val="clear"/>
        </w:rPr>
      </w:pPr>
      <w:r>
        <w:rPr>
          <w:bdr w:val="dashed" w:sz="12" w:space="10" w:color="BB0000"/>
          <w:shd w:fill="FFF8F8" w:val="clear"/>
        </w:rPr>
        <w:t>Falta hilarlo: si la regla fuera eliminar todo lo marcado, el factor 1,5 costaría el 23 % del dataset. Como el protocolo obliga a clasificar antes de actuar, un candidato de más cuesta revisión y no datos. Ese margen adicional es el que puso bajo la lupa el grupo de salarios altos que terminó clasificado como subpoblación distinta.</w:t>
      </w:r>
    </w:p>
    <w:p>
      <w:pPr>
        <w:pStyle w:val="BodyText"/>
        <w:bidi w:val="0"/>
        <w:spacing w:before="200" w:after="200"/>
        <w:ind w:hanging="0" w:left="200" w:right="200"/>
        <w:rPr>
          <w:i/>
          <w:bdr w:val="dashed" w:sz="12" w:space="10" w:color="BB0000"/>
          <w:shd w:fill="FFF8F8" w:val="clear"/>
        </w:rPr>
      </w:pPr>
      <w:r>
        <w:rPr>
          <w:i/>
          <w:bdr w:val="dashed" w:sz="12" w:space="10" w:color="BB0000"/>
          <w:shd w:fill="FFF8F8" w:val="clear"/>
        </w:rPr>
        <w:t>Nota: este apartado corresponde a Tomás en el reparto del informe; el razonamiento se resolvió en la sesión de trabajo de Daniel.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sans-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pPr>
    <w:rPr>
      <w:rFonts w:ascii="Calibri;sans-serif" w:hAnsi="Calibri;sans-serif" w:eastAsia="Calibri;sans-serif" w:cs="Calibri;sans-serif"/>
      <w:color w:val="000000"/>
      <w:sz w:val="22"/>
      <w:szCs w:val="22"/>
      <w:lang w:val="en-US" w:eastAsia="zh-CN" w:bidi="hi-IN"/>
    </w:rPr>
  </w:style>
  <w:style w:type="paragraph" w:styleId="Heading1">
    <w:name w:val="heading 1"/>
    <w:basedOn w:val="Heading"/>
    <w:next w:val="BodyText"/>
    <w:qFormat/>
    <w:pPr>
      <w:pBdr>
        <w:bottom w:val="single" w:sz="12" w:space="4" w:color="333333"/>
      </w:pBdr>
      <w:spacing w:before="480" w:after="283"/>
    </w:pPr>
    <w:rPr>
      <w:b/>
      <w:bCs/>
      <w:sz w:val="36"/>
      <w:szCs w:val="36"/>
    </w:rPr>
  </w:style>
  <w:style w:type="paragraph" w:styleId="Heading2">
    <w:name w:val="heading 2"/>
    <w:basedOn w:val="Heading"/>
    <w:next w:val="BodyText"/>
    <w:qFormat/>
    <w:pPr>
      <w:spacing w:before="360" w:after="120"/>
      <w:outlineLvl w:val="1"/>
    </w:pPr>
    <w:rPr>
      <w:rFonts w:ascii="Liberation Serif" w:hAnsi="Liberation Serif" w:eastAsia="Noto Serif CJK SC" w:cs="Liberation Sans"/>
      <w:b/>
      <w:bCs/>
      <w:color w:val="1A1A1A"/>
      <w:sz w:val="28"/>
      <w:szCs w:val="28"/>
    </w:rPr>
  </w:style>
  <w:style w:type="paragraph" w:styleId="Heading3">
    <w:name w:val="heading 3"/>
    <w:basedOn w:val="Heading"/>
    <w:next w:val="BodyText"/>
    <w:qFormat/>
    <w:pPr>
      <w:spacing w:before="280" w:after="120"/>
      <w:outlineLvl w:val="2"/>
    </w:pPr>
    <w:rPr>
      <w:rFonts w:ascii="Liberation Serif" w:hAnsi="Liberation Serif" w:eastAsia="Noto Serif CJK SC" w:cs="Liberation Sans"/>
      <w:b/>
      <w:bCs/>
      <w:color w:val="333333"/>
      <w:sz w:val="24"/>
      <w:szCs w:val="24"/>
    </w:rPr>
  </w:style>
  <w:style w:type="paragraph" w:styleId="Heading4">
    <w:name w:val="heading 4"/>
    <w:basedOn w:val="Heading"/>
    <w:next w:val="BodyText"/>
    <w:qFormat/>
    <w:pPr>
      <w:spacing w:before="120" w:after="120"/>
      <w:outlineLvl w:val="3"/>
    </w:pPr>
    <w:rPr>
      <w:rFonts w:ascii="Liberation Serif" w:hAnsi="Liberation Serif" w:eastAsia="Noto Serif CJK SC" w:cs="Liberation San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E8E8E8"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Informe — Daniel Puerta Bernal</dc:title>
</cp:coreProperties>
</file>

<file path=docProps/custom.xml><?xml version="1.0" encoding="utf-8"?>
<Properties xmlns="http://schemas.openxmlformats.org/officeDocument/2006/custom-properties" xmlns:vt="http://schemas.openxmlformats.org/officeDocument/2006/docPropsVTypes"/>
</file>