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80" w:after="283"/>
        <w:rPr/>
      </w:pPr>
      <w:r>
        <w:rPr/>
        <w:t>Tratamiento de valores atípicos y decisiones de limpieza</w:t>
      </w:r>
    </w:p>
    <w:p>
      <w:pPr>
        <w:pStyle w:val="BodyText"/>
        <w:bidi w:val="0"/>
        <w:rPr/>
      </w:pPr>
      <w:r>
        <w:rPr>
          <w:b/>
        </w:rPr>
        <w:t>Parcial de Estadística III</w:t>
      </w:r>
      <w:r>
        <w:rPr/>
        <w:t xml:space="preserve"> — Daniel Puerta Bernal</w:t>
        <w:br/>
        <w:t>Equipo: Daniel Puerta Bernal · Tomás Marín Estrada · Juan Diego Guzmán Chalarca</w:t>
        <w:br/>
        <w:t>Dataset: Stack Overflow Developer Survey — 64.461 × 61 → 63.803 × 113</w:t>
      </w:r>
    </w:p>
    <w:p>
      <w:pPr>
        <w:pStyle w:val="BodyText"/>
        <w:bidi w:val="0"/>
        <w:ind w:hanging="0" w:left="0" w:right="0"/>
        <w:rPr>
          <w:sz w:val="20"/>
          <w:bdr w:val="single" w:sz="18" w:space="8" w:color="888888"/>
          <w:shd w:fill="F5F5F5" w:val="clear"/>
        </w:rPr>
      </w:pPr>
      <w:r>
        <w:rPr>
          <w:b/>
          <w:sz w:val="20"/>
          <w:bdr w:val="single" w:sz="18" w:space="8" w:color="888888"/>
          <w:shd w:fill="F5F5F5" w:val="clear"/>
        </w:rPr>
        <w:t>Cómo usar este borrador.</w:t>
      </w:r>
      <w:r>
        <w:rPr>
          <w:sz w:val="20"/>
          <w:bdr w:val="single" w:sz="18" w:space="8" w:color="888888"/>
          <w:shd w:fill="F5F5F5" w:val="clear"/>
        </w:rPr>
        <w:t xml:space="preserve"> Las secciones </w:t>
      </w:r>
      <w:r>
        <w:rPr>
          <w:i/>
          <w:sz w:val="20"/>
          <w:bdr w:val="single" w:sz="18" w:space="8" w:color="888888"/>
          <w:shd w:fill="F5F5F5" w:val="clear"/>
        </w:rPr>
        <w:t>La decisión</w:t>
      </w:r>
      <w:r>
        <w:rPr>
          <w:sz w:val="20"/>
          <w:bdr w:val="single" w:sz="18" w:space="8" w:color="888888"/>
          <w:shd w:fill="F5F5F5" w:val="clear"/>
        </w:rPr>
        <w:t xml:space="preserve"> y </w:t>
      </w:r>
      <w:r>
        <w:rPr>
          <w:i/>
          <w:sz w:val="20"/>
          <w:bdr w:val="single" w:sz="18" w:space="8" w:color="888888"/>
          <w:shd w:fill="F5F5F5" w:val="clear"/>
        </w:rPr>
        <w:t>La evidencia</w:t>
      </w:r>
      <w:r>
        <w:rPr>
          <w:sz w:val="20"/>
          <w:bdr w:val="single" w:sz="18" w:space="8" w:color="888888"/>
          <w:shd w:fill="F5F5F5" w:val="clear"/>
        </w:rPr>
        <w:t xml:space="preserve"> están completas: son hechos y números que produce el script. Los bloques con borde rojo son los que faltan escribir. Debajo de cada uno están tus propias respuestas, textuales, listas para hilar en prosa.</w:t>
      </w:r>
    </w:p>
    <w:p>
      <w:pPr>
        <w:pStyle w:val="Heading1"/>
        <w:bidi w:val="0"/>
        <w:rPr/>
      </w:pPr>
      <w:r>
        <w:rPr/>
        <w:t>1. WorkWeekHrs: corrección de 62 valores imposibles</w:t>
      </w:r>
    </w:p>
    <w:p>
      <w:pPr>
        <w:pStyle w:val="Heading2"/>
        <w:bidi w:val="0"/>
        <w:rPr/>
      </w:pPr>
      <w:r>
        <w:rPr/>
        <w:t>La decisión</w:t>
      </w:r>
    </w:p>
    <w:p>
      <w:pPr>
        <w:pStyle w:val="BodyText"/>
        <w:bidi w:val="0"/>
        <w:rPr/>
      </w:pPr>
      <w:r>
        <w:rPr/>
        <w:t>62 registros declaraban más de 168 horas de trabajo semanales. Una semana tiene 168 horas (24 × 7), de modo que cualquier valor superior es físicamente imposible. Se corrigieron dividiendo entre 10, en lugar de eliminarlos o tratarlos como faltantes.</w:t>
      </w:r>
    </w:p>
    <w:p>
      <w:pPr>
        <w:pStyle w:val="Heading2"/>
        <w:bidi w:val="0"/>
        <w:rPr/>
      </w:pPr>
      <w:r>
        <w:rPr/>
        <w:t>La evidencia</w:t>
      </w:r>
    </w:p>
    <w:p>
      <w:pPr>
        <w:pStyle w:val="Heading3"/>
        <w:bidi w:val="0"/>
        <w:rPr/>
      </w:pPr>
      <w:r>
        <w:rPr/>
        <w:t>Los 62 valores y las dos lecturas posibles</w:t>
      </w:r>
    </w:p>
    <w:tbl>
      <w:tblPr>
        <w:tblW w:w="653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2"/>
        <w:gridCol w:w="925"/>
        <w:gridCol w:w="1230"/>
        <w:gridCol w:w="2233"/>
      </w:tblGrid>
      <w:tr>
        <w:trPr/>
        <w:tc>
          <w:tcPr>
            <w:tcW w:w="214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Valor declarado</w:t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Casos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÷ 10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÷ 4,3 (horas al mes)</w:t>
            </w:r>
          </w:p>
        </w:tc>
      </w:tr>
      <w:tr>
        <w:trPr/>
        <w:tc>
          <w:tcPr>
            <w:tcW w:w="2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225</w:t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22,5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52,3</w:t>
            </w:r>
          </w:p>
        </w:tc>
      </w:tr>
      <w:tr>
        <w:trPr/>
        <w:tc>
          <w:tcPr>
            <w:tcW w:w="2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375</w:t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44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37,5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87,2</w:t>
            </w:r>
          </w:p>
        </w:tc>
      </w:tr>
      <w:tr>
        <w:trPr/>
        <w:tc>
          <w:tcPr>
            <w:tcW w:w="2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376</w:t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37,6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87,4</w:t>
            </w:r>
          </w:p>
        </w:tc>
      </w:tr>
      <w:tr>
        <w:trPr/>
        <w:tc>
          <w:tcPr>
            <w:tcW w:w="2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385</w:t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38,5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89,5</w:t>
            </w:r>
          </w:p>
        </w:tc>
      </w:tr>
      <w:tr>
        <w:trPr/>
        <w:tc>
          <w:tcPr>
            <w:tcW w:w="2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387</w:t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38,7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90,0</w:t>
            </w:r>
          </w:p>
        </w:tc>
      </w:tr>
      <w:tr>
        <w:trPr/>
        <w:tc>
          <w:tcPr>
            <w:tcW w:w="2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408</w:t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40,8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94,9</w:t>
            </w:r>
          </w:p>
        </w:tc>
      </w:tr>
      <w:tr>
        <w:trPr/>
        <w:tc>
          <w:tcPr>
            <w:tcW w:w="2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425</w:t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42,5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98,8</w:t>
            </w:r>
          </w:p>
        </w:tc>
      </w:tr>
      <w:tr>
        <w:trPr/>
        <w:tc>
          <w:tcPr>
            <w:tcW w:w="2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475</w:t>
            </w:r>
          </w:p>
        </w:tc>
        <w:tc>
          <w:tcPr>
            <w:tcW w:w="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47,5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110,5</w:t>
            </w:r>
          </w:p>
        </w:tc>
      </w:tr>
      <w:tr>
        <w:trPr/>
        <w:tc>
          <w:tcPr>
            <w:tcW w:w="3067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Rango resultante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22,5 – 47,5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52,3 – 110,5</w:t>
            </w:r>
          </w:p>
        </w:tc>
      </w:tr>
      <w:tr>
        <w:trPr/>
        <w:tc>
          <w:tcPr>
            <w:tcW w:w="3067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Por encima de 60 h/semana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0 de 62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61 de 62</w:t>
            </w:r>
          </w:p>
        </w:tc>
      </w:tr>
    </w:tbl>
    <w:p>
      <w:pPr>
        <w:pStyle w:val="Heading3"/>
        <w:bidi w:val="0"/>
        <w:rPr/>
      </w:pPr>
      <w:r>
        <w:rPr/>
        <w:t>Origen geográfico de los 62 registros</w:t>
      </w:r>
    </w:p>
    <w:tbl>
      <w:tblPr>
        <w:tblW w:w="449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8"/>
        <w:gridCol w:w="1617"/>
        <w:gridCol w:w="1774"/>
      </w:tblGrid>
      <w:tr>
        <w:trPr/>
        <w:tc>
          <w:tcPr>
            <w:tcW w:w="110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País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% entre los 62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% en el dataset</w:t>
            </w:r>
          </w:p>
        </w:tc>
      </w:tr>
      <w:tr>
        <w:trPr/>
        <w:tc>
          <w:tcPr>
            <w:tcW w:w="1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Noruega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22,6 %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0,6 %</w:t>
            </w:r>
          </w:p>
        </w:tc>
      </w:tr>
      <w:tr>
        <w:trPr/>
        <w:tc>
          <w:tcPr>
            <w:tcW w:w="1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Finlandia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19,4 %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0,5 %</w:t>
            </w:r>
          </w:p>
        </w:tc>
      </w:tr>
      <w:tr>
        <w:trPr/>
        <w:tc>
          <w:tcPr>
            <w:tcW w:w="1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Alemania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12,9 %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6,1 %</w:t>
            </w:r>
          </w:p>
        </w:tc>
      </w:tr>
      <w:tr>
        <w:trPr/>
        <w:tc>
          <w:tcPr>
            <w:tcW w:w="1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Austria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9,7 %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0,8 %</w:t>
            </w:r>
          </w:p>
        </w:tc>
      </w:tr>
      <w:tr>
        <w:trPr/>
        <w:tc>
          <w:tcPr>
            <w:tcW w:w="1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Francia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8,1 %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3,0 %</w:t>
            </w:r>
          </w:p>
        </w:tc>
      </w:tr>
    </w:tbl>
    <w:p>
      <w:pPr>
        <w:pStyle w:val="BodyText"/>
        <w:bidi w:val="0"/>
        <w:rPr/>
      </w:pPr>
      <w:r>
        <w:rPr/>
        <w:t>La jornada laboral estándar en Noruega y Finlandia es de 37,5 horas, y ambos países escriben el separador decimal con coma.</w:t>
      </w:r>
    </w:p>
    <w:p>
      <w:pPr>
        <w:pStyle w:val="Heading3"/>
        <w:bidi w:val="0"/>
        <w:rPr/>
      </w:pPr>
      <w:r>
        <w:rPr/>
        <w:t>Datos complementarios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44 de los 62 valores son exactamente </w:t>
      </w:r>
      <w:r>
        <w:rPr>
          <w:b/>
        </w:rPr>
        <w:t>375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Trabajadores independientes: </w:t>
      </w:r>
      <w:r>
        <w:rPr>
          <w:b/>
        </w:rPr>
        <w:t>1,6 %</w:t>
      </w:r>
      <w:r>
        <w:rPr/>
        <w:t xml:space="preserve"> entre los 62 frente al </w:t>
      </w:r>
      <w:r>
        <w:rPr>
          <w:b/>
        </w:rPr>
        <w:t>8,8 %</w:t>
      </w:r>
      <w:r>
        <w:rPr/>
        <w:t xml:space="preserve"> del dataset.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Sueldo mediano de quienes declararon 375: </w:t>
      </w:r>
      <w:r>
        <w:rPr>
          <w:b/>
        </w:rPr>
        <w:t>55.718 USD</w:t>
      </w:r>
      <w:r>
        <w:rPr/>
        <w:t xml:space="preserve">, frente a 54.049 del resto.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Valores más frecuentes en el resto de la encuesta: 40 h (19.292 respuestas), 45 h (3.787), 50 h (2.747). </w:t>
      </w:r>
    </w:p>
    <w:p>
      <w:pPr>
        <w:pStyle w:val="Heading3"/>
        <w:bidi w:val="0"/>
        <w:rPr/>
      </w:pPr>
      <w:r>
        <w:rPr/>
        <w:t>Las dos hipótesis frente a la distribución real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8228965" cy="411416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8965" cy="411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rPr>
          <w:i/>
        </w:rPr>
      </w:pPr>
      <w:r>
        <w:rPr>
          <w:i/>
        </w:rPr>
        <w:t>Las líneas verdes son los 62 valores divididos entre 10; las rojas punteadas, los mismos valores divididos entre 4,3.</w:t>
      </w:r>
    </w:p>
    <w:p>
      <w:pPr>
        <w:pStyle w:val="Heading4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 xml:space="preserve">⬜ </w:t>
      </w:r>
      <w:r>
        <w:rPr>
          <w:bdr w:val="dashed" w:sz="12" w:space="10" w:color="BB0000"/>
          <w:shd w:fill="FFF8F8" w:val="clear"/>
        </w:rPr>
        <w:t>Falta escribir: por qué la corrección es válida</w:t>
      </w:r>
    </w:p>
    <w:p>
      <w:pPr>
        <w:pStyle w:val="BodyText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>Material propio, de la sesión de trabajo: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"Podríamos encontrar valores raros que no tendrían sentido en el análisis."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"Son países con jornada de trabajo más corta."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"Son de países que escriben el decimal con coma."</w:t>
      </w:r>
    </w:p>
    <w:p>
      <w:pPr>
        <w:pStyle w:val="BodyText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>Falta hilarlo: qué se habría observado si la hipótesis fuera falsa, y por qué la concentración geográfica señala una causa sistemática y no un error al azar.</w:t>
      </w:r>
    </w:p>
    <w:p>
      <w:pPr>
        <w:pStyle w:val="Heading4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 xml:space="preserve">⬜ </w:t>
      </w:r>
      <w:r>
        <w:rPr>
          <w:bdr w:val="dashed" w:sz="12" w:space="10" w:color="BB0000"/>
          <w:shd w:fill="FFF8F8" w:val="clear"/>
        </w:rPr>
        <w:t>Falta escribir: el límite de la decisión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"La única forma de validarlo sería si es muy recurrente, o preguntarle directamente a la persona."</w:t>
      </w:r>
    </w:p>
    <w:p>
      <w:pPr>
        <w:pStyle w:val="BodyText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>Falta hilarlo: la encuesta es anónima, de modo que la reconstrucción se apoya en evidencia indirecta y no en confirmación del encuestado. Por qué reconstruir un separador perdido no equivale a inventar un dato.</w:t>
      </w:r>
    </w:p>
    <w:p>
      <w:pPr>
        <w:pStyle w:val="Heading1"/>
        <w:bidi w:val="0"/>
        <w:ind w:hanging="0"/>
        <w:rPr/>
      </w:pPr>
      <w:r>
        <w:rPr/>
        <w:t>2. CompTotal: anulación de 28 valores absurdos</w:t>
      </w:r>
    </w:p>
    <w:p>
      <w:pPr>
        <w:pStyle w:val="Heading2"/>
        <w:bidi w:val="0"/>
        <w:rPr/>
      </w:pPr>
      <w:r>
        <w:rPr/>
        <w:t>La decisión</w:t>
      </w:r>
    </w:p>
    <w:p>
      <w:pPr>
        <w:pStyle w:val="BodyText"/>
        <w:bidi w:val="0"/>
        <w:rPr/>
      </w:pPr>
      <w:r>
        <w:rPr/>
        <w:t>28 registros declaraban una compensación superior a 10⁹ en su moneda local. Se anuló el valor —queda como faltante— sin imputarlo y sin intentar reconstruirlo cruzando la frecuencia de pago con la moneda.</w:t>
      </w:r>
    </w:p>
    <w:p>
      <w:pPr>
        <w:pStyle w:val="Heading2"/>
        <w:bidi w:val="0"/>
        <w:rPr/>
      </w:pPr>
      <w:r>
        <w:rPr/>
        <w:t>La evidencia</w:t>
      </w:r>
    </w:p>
    <w:tbl>
      <w:tblPr>
        <w:tblW w:w="559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3"/>
        <w:gridCol w:w="956"/>
        <w:gridCol w:w="1294"/>
        <w:gridCol w:w="1901"/>
      </w:tblGrid>
      <w:tr>
        <w:trPr/>
        <w:tc>
          <w:tcPr>
            <w:tcW w:w="144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CompTotal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Moneda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Frecuencia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ConvertedComp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1,111 × 10²⁴⁷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BYN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Semanal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1.000.000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× 10¹⁵⁰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USD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Semanal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2.000.000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× 10⁵⁶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USD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Anual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2.000.000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× 10⁴⁹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CAD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Anual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1.000.000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× 10³⁶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INR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Semanal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1.000.000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8,99 × 10³⁰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EUR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Semanal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1.000.000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141 monedas distintas</w:t>
      </w:r>
      <w:r>
        <w:rPr/>
        <w:t xml:space="preserve"> en la columna </w:t>
      </w:r>
      <w:r>
        <w:rPr>
          <w:i/>
        </w:rPr>
        <w:t>CurrencySymbol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De los 28 registros anulados, </w:t>
      </w:r>
      <w:r>
        <w:rPr>
          <w:b/>
        </w:rPr>
        <w:t>26 conservan un valor válido en ConvertedComp</w:t>
      </w:r>
      <w:r>
        <w:rPr/>
        <w:t xml:space="preserve">, que la encuesta entrega ya convertido a dólares.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Contraste con el caso anterior: el valor 375 admitía una reconstrucción deducible; 1,111 × 10²⁴⁷ no admite ninguna. </w:t>
      </w:r>
    </w:p>
    <w:p>
      <w:pPr>
        <w:pStyle w:val="Heading4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 xml:space="preserve">⬜ </w:t>
      </w:r>
      <w:r>
        <w:rPr>
          <w:bdr w:val="dashed" w:sz="12" w:space="10" w:color="BB0000"/>
          <w:shd w:fill="FFF8F8" w:val="clear"/>
        </w:rPr>
        <w:t>Falta escribir: por qué se anula en lugar de imputar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"Porque el 375 se puede deducir y el otro no."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"No se puede saber; podemos pensar que hasta puede ser una broma."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"Porque la edad sí se usa en el análisis y CompTotal no."</w:t>
      </w:r>
    </w:p>
    <w:p>
      <w:pPr>
        <w:pStyle w:val="BodyText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>Falta hilarlo: por qué una columna expresada en 141 monedas distintas no entra al análisis, y por qué imputarla habría sido trabajo sobre una variable que después no se utiliza.</w:t>
      </w:r>
    </w:p>
    <w:p>
      <w:pPr>
        <w:pStyle w:val="Heading4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 xml:space="preserve">⬜ </w:t>
      </w:r>
      <w:r>
        <w:rPr>
          <w:bdr w:val="dashed" w:sz="12" w:space="10" w:color="BB0000"/>
          <w:shd w:fill="FFF8F8" w:val="clear"/>
        </w:rPr>
        <w:t>Falta escribir: qué información se pierde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"Esos dos se pierden para el análisis de sueldos."</w:t>
      </w:r>
    </w:p>
    <w:p>
      <w:pPr>
        <w:pStyle w:val="BodyText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>Falta hilarlo: 26 de los 28 conservan su sueldo en dólares; los 2 restantes quedan fuera del análisis de remuneración. Responde directamente a P6 del banco de preguntas.</w:t>
      </w:r>
    </w:p>
    <w:p>
      <w:pPr>
        <w:pStyle w:val="Heading1"/>
        <w:bidi w:val="0"/>
        <w:ind w:hanging="0"/>
        <w:rPr/>
      </w:pPr>
      <w:r>
        <w:rPr/>
        <w:t>3. Clasificación de los siete grupos de atípicos</w:t>
      </w:r>
    </w:p>
    <w:p>
      <w:pPr>
        <w:pStyle w:val="Heading2"/>
        <w:bidi w:val="0"/>
        <w:rPr/>
      </w:pPr>
      <w:r>
        <w:rPr/>
        <w:t>El método</w:t>
      </w:r>
    </w:p>
    <w:p>
      <w:pPr>
        <w:pStyle w:val="BodyText"/>
        <w:bidi w:val="0"/>
        <w:rPr/>
      </w:pPr>
      <w:r>
        <w:rPr/>
        <w:t xml:space="preserve">Rango intercuartílico con factor 1,5: se marca como candidato todo valor fuera de [Q1 − 1,5·RIC, Q3 + 1,5·RIC]. Los límites se calculan sobre los datos </w:t>
      </w:r>
      <w:r>
        <w:rPr>
          <w:b/>
        </w:rPr>
        <w:t>sin imputar</w:t>
      </w:r>
      <w:r>
        <w:rPr/>
        <w:t>; con la columna ya imputada, el relleno masivo con la mediana comprime los cuartiles —</w:t>
      </w:r>
      <w:r>
        <w:rPr>
          <w:i/>
        </w:rPr>
        <w:t>WorkWeekHrs</w:t>
      </w:r>
      <w:r>
        <w:rPr/>
        <w:t xml:space="preserve"> llegaba a producir límites [40, 40]—.</w:t>
      </w:r>
    </w:p>
    <w:p>
      <w:pPr>
        <w:pStyle w:val="Heading2"/>
        <w:bidi w:val="0"/>
        <w:rPr/>
      </w:pPr>
      <w:r>
        <w:rPr/>
        <w:t>Los siete grupos</w:t>
      </w:r>
    </w:p>
    <w:tbl>
      <w:tblPr>
        <w:tblW w:w="1089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1"/>
        <w:gridCol w:w="4017"/>
        <w:gridCol w:w="1487"/>
        <w:gridCol w:w="2892"/>
        <w:gridCol w:w="2124"/>
      </w:tblGrid>
      <w:tr>
        <w:trPr/>
        <w:tc>
          <w:tcPr>
            <w:tcW w:w="3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Lo que marca el método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Registros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Clasificación</w:t>
            </w:r>
          </w:p>
        </w:tc>
        <w:tc>
          <w:tcPr>
            <w:tcW w:w="2124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Acción</w:t>
            </w:r>
          </w:p>
        </w:tc>
      </w:tr>
      <w:tr>
        <w:trPr/>
        <w:tc>
          <w:tcPr>
            <w:tcW w:w="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Age &gt; 100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Error de digitación</w:t>
            </w:r>
          </w:p>
        </w:tc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Mediana (29)</w:t>
            </w:r>
          </w:p>
        </w:tc>
      </w:tr>
      <w:tr>
        <w:trPr/>
        <w:tc>
          <w:tcPr>
            <w:tcW w:w="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Age &lt; 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Observación contaminante</w:t>
            </w:r>
          </w:p>
        </w:tc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Mediana (29)</w:t>
            </w:r>
          </w:p>
        </w:tc>
      </w:tr>
      <w:tr>
        <w:trPr/>
        <w:tc>
          <w:tcPr>
            <w:tcW w:w="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WorkWeekHrs &gt; 168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62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Error de unidad o escala</w:t>
            </w:r>
          </w:p>
        </w:tc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Dividir entre 10</w:t>
            </w:r>
          </w:p>
        </w:tc>
      </w:tr>
      <w:tr>
        <w:trPr/>
        <w:tc>
          <w:tcPr>
            <w:tcW w:w="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WorkWeekHrs 100–168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154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Observación válida extrema</w:t>
            </w:r>
          </w:p>
        </w:tc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Conservar</w:t>
            </w:r>
          </w:p>
        </w:tc>
      </w:tr>
      <w:tr>
        <w:trPr/>
        <w:tc>
          <w:tcPr>
            <w:tcW w:w="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CompTotal &gt; 10⁹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28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Error de digitación</w:t>
            </w:r>
          </w:p>
        </w:tc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Anular</w:t>
            </w:r>
          </w:p>
        </w:tc>
      </w:tr>
      <w:tr>
        <w:trPr/>
        <w:tc>
          <w:tcPr>
            <w:tcW w:w="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ConvertedComp &gt; 200.528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2.301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Subpoblación distinta</w:t>
            </w:r>
          </w:p>
        </w:tc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Conservar y marcar</w:t>
            </w:r>
          </w:p>
        </w:tc>
      </w:tr>
      <w:tr>
        <w:trPr/>
        <w:tc>
          <w:tcPr>
            <w:tcW w:w="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7a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YearsCode / YearsCodePro imposibles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47 + 4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Error de digitación</w:t>
            </w:r>
          </w:p>
        </w:tc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Mediana</w:t>
            </w:r>
          </w:p>
        </w:tc>
      </w:tr>
      <w:tr>
        <w:trPr/>
        <w:tc>
          <w:tcPr>
            <w:tcW w:w="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7b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YearsCode / YearsCodePro veteranos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3.072 + 1.890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Observación válida extrema</w:t>
            </w:r>
          </w:p>
        </w:tc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Conservar</w:t>
            </w:r>
          </w:p>
        </w:tc>
      </w:tr>
    </w:tbl>
    <w:p>
      <w:pPr>
        <w:pStyle w:val="BodyText"/>
        <w:bidi w:val="0"/>
        <w:rPr/>
      </w:pPr>
      <w:r>
        <w:rPr/>
        <w:t>Las cinco categorías exigidas quedan cubiertas: digitación (1, 5, 7a), unidad o escala (3), válida extrema (4, 7b), subpoblación distinta (6) y contaminante (2).</w:t>
      </w:r>
    </w:p>
    <w:p>
      <w:pPr>
        <w:pStyle w:val="Heading2"/>
        <w:bidi w:val="0"/>
        <w:rPr/>
      </w:pPr>
      <w:r>
        <w:rPr/>
        <w:t>El caso obligatorio: un atípico que no debe eliminarse</w:t>
      </w:r>
    </w:p>
    <w:p>
      <w:pPr>
        <w:pStyle w:val="BodyText"/>
        <w:bidi w:val="0"/>
        <w:rPr/>
      </w:pPr>
      <w:r>
        <w:rPr/>
        <w:t>154 registros declaran entre 100 y 168 horas semanales. El método los marca porque se alejan del centro de la distribución, pero 168 es el máximo físico de una semana: son valores posibles.</w:t>
      </w:r>
    </w:p>
    <w:p>
      <w:pPr>
        <w:pStyle w:val="Heading2"/>
        <w:bidi w:val="0"/>
        <w:rPr/>
      </w:pPr>
      <w:r>
        <w:rPr/>
        <w:t>El límite entre el grupo 4 y el grupo 6</w:t>
      </w:r>
    </w:p>
    <w:tbl>
      <w:tblPr>
        <w:tblW w:w="778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32"/>
        <w:gridCol w:w="1553"/>
        <w:gridCol w:w="1740"/>
        <w:gridCol w:w="963"/>
      </w:tblGrid>
      <w:tr>
        <w:trPr/>
        <w:tc>
          <w:tcPr>
            <w:tcW w:w="353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Grupo 4 (154)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Grupo 6 (2.301)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Dataset</w:t>
            </w:r>
          </w:p>
        </w:tc>
      </w:tr>
      <w:tr>
        <w:trPr/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Independientes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33,1 %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7,9 %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8,8 %</w:t>
            </w:r>
          </w:p>
        </w:tc>
      </w:tr>
      <w:tr>
        <w:trPr/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Tiempo completo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63,0 %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91,0 %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70,2 %</w:t>
            </w:r>
          </w:p>
        </w:tc>
      </w:tr>
      <w:tr>
        <w:trPr/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Experiencia profesional (mediana)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 años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 años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 años</w:t>
            </w:r>
          </w:p>
        </w:tc>
      </w:tr>
      <w:tr>
        <w:trPr/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Sueldo mediano (USD)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23.352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551.304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54.049</w:t>
            </w:r>
          </w:p>
        </w:tc>
      </w:tr>
      <w:tr>
        <w:trPr/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País dominante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India 17,5 %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EE. UU. 48,6 %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rPr/>
      </w:pPr>
      <w:r>
        <w:rPr/>
        <w:t>Ambos grupos presentan concentración. La diferencia está en qué proporción del grupo alcanza a explicar su causa: en el grupo 6, la explicación cubre el 62,7 % por país y el 91,0 % por tipo de empleo; en el grupo 4, "son independientes" cubre al 33,1 % y deja 103 registros sin explicación común.</w:t>
      </w:r>
    </w:p>
    <w:p>
      <w:pPr>
        <w:pStyle w:val="Heading2"/>
        <w:bidi w:val="0"/>
        <w:rPr/>
      </w:pPr>
      <w:r>
        <w:rPr/>
        <w:t>Registros que se habrían perdido eliminando todos los atípicos</w:t>
      </w:r>
    </w:p>
    <w:p>
      <w:pPr>
        <w:pStyle w:val="BodyText"/>
        <w:bidi w:val="0"/>
        <w:rPr>
          <w:b/>
        </w:rPr>
      </w:pPr>
      <w:r>
        <w:rPr>
          <w:b/>
        </w:rPr>
        <w:t>14.653 filas de 63.803 — 23,0 % del dataset.</w:t>
      </w:r>
    </w:p>
    <w:p>
      <w:pPr>
        <w:pStyle w:val="Heading4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 xml:space="preserve">⬜ </w:t>
      </w:r>
      <w:r>
        <w:rPr>
          <w:bdr w:val="dashed" w:sz="12" w:space="10" w:color="BB0000"/>
          <w:shd w:fill="FFF8F8" w:val="clear"/>
        </w:rPr>
        <w:t>Falta escribir: la clasificación de cada grupo</w:t>
      </w:r>
    </w:p>
    <w:p>
      <w:pPr>
        <w:pStyle w:val="BodyText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>Material propio, por grupo: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Grupos 1 y 2 — "Cómo una persona normal va a tener 279 años, eso es imposible." (frente a una edad de 3 años, que sí puede ser cierta)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Grupo 3 — "Son de países que escriben el decimal con coma."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Grupo 5 — "No se puede saber; hasta puede ser una broma."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Grupo 6 — "Son un grupo con características parecidas entre ellos."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Grupo 7 — "La edad." (es lo que permite separar lo que el método había unido)</w:t>
      </w:r>
    </w:p>
    <w:p>
      <w:pPr>
        <w:pStyle w:val="BodyText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>Falta hilarlo: por qué cada grupo cae en esa categoría y no en otra. El criterio es qué está mal —el número o la pertenencia de la persona a la población estudiada—, no cuán extremo es el valor.</w:t>
      </w:r>
    </w:p>
    <w:p>
      <w:pPr>
        <w:pStyle w:val="Heading4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 xml:space="preserve">⬜ </w:t>
      </w:r>
      <w:r>
        <w:rPr>
          <w:bdr w:val="dashed" w:sz="12" w:space="10" w:color="BB0000"/>
          <w:shd w:fill="FFF8F8" w:val="clear"/>
        </w:rPr>
        <w:t>Falta escribir: por qué el método falló en el grupo 4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"Que los dos tienen un YearsCode alto, nada más."</w:t>
      </w:r>
    </w:p>
    <w:p>
      <w:pPr>
        <w:pStyle w:val="BodyText"/>
        <w:bidi w:val="0"/>
        <w:spacing w:before="120" w:after="120"/>
        <w:ind w:hanging="0" w:left="120" w:right="120"/>
        <w:rPr>
          <w:i/>
          <w:bdr w:val="single" w:sz="18" w:space="10" w:color="666666"/>
          <w:shd w:fill="F0F0F0" w:val="clear"/>
        </w:rPr>
      </w:pPr>
      <w:r>
        <w:rPr>
          <w:i/>
          <w:bdr w:val="single" w:sz="18" w:space="10" w:color="666666"/>
          <w:shd w:fill="F0F0F0" w:val="clear"/>
        </w:rPr>
        <w:t>"Que 120 horas es posible y 375 no."</w:t>
      </w:r>
    </w:p>
    <w:p>
      <w:pPr>
        <w:pStyle w:val="BodyText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>Falta hilarlo: el rango intercuartílico compara una columna consigo misma y no conoce el resto de la fila ni el mundo exterior. Mide lo inusual, no lo imposible.</w:t>
      </w:r>
    </w:p>
    <w:p>
      <w:pPr>
        <w:pStyle w:val="Heading4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 xml:space="preserve">⬜ </w:t>
      </w:r>
      <w:r>
        <w:rPr>
          <w:bdr w:val="dashed" w:sz="12" w:space="10" w:color="BB0000"/>
          <w:shd w:fill="FFF8F8" w:val="clear"/>
        </w:rPr>
        <w:t>Decisión pendiente del equipo</w:t>
      </w:r>
    </w:p>
    <w:p>
      <w:pPr>
        <w:pStyle w:val="BodyText"/>
        <w:bidi w:val="0"/>
        <w:spacing w:before="200" w:after="200"/>
        <w:ind w:hanging="0" w:left="200" w:right="200"/>
        <w:rPr>
          <w:bdr w:val="dashed" w:sz="12" w:space="10" w:color="BB0000"/>
          <w:shd w:fill="FFF8F8" w:val="clear"/>
        </w:rPr>
      </w:pPr>
      <w:r>
        <w:rPr>
          <w:bdr w:val="dashed" w:sz="12" w:space="10" w:color="BB0000"/>
          <w:shd w:fill="FFF8F8" w:val="clear"/>
        </w:rPr>
        <w:t>Con la tabla del grupo 4 frente al grupo 6: ¿se sostiene la clasificación actual, se reclasifica el grupo 4 como subpoblación, o se declara como la decisión más discutible del trabajo? Las tres son defendibles; hay que elegir una y explicar por qué.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sans-serif" w:hAnsi="Calibri;sans-serif" w:eastAsia="Calibri;sans-serif" w:cs="Calibri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333333"/>
      </w:pBdr>
      <w:spacing w:before="480" w:after="283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Liberation Sans"/>
      <w:b/>
      <w:bCs/>
      <w:color w:val="1A1A1A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Noto Serif CJK SC" w:cs="Liberation Sans"/>
      <w:b/>
      <w:bCs/>
      <w:color w:val="333333"/>
      <w:sz w:val="24"/>
      <w:szCs w:val="24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Liberation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Informe — Daniel Puerta Bernal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