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B3845" w:rsidP="003B3845" w:rsidRDefault="003B3845" w14:paraId="67CCE87D" w14:textId="501B149D">
      <w:pPr>
        <w:spacing w:after="0" w:line="240" w:lineRule="auto"/>
        <w:jc w:val="center"/>
        <w:rPr>
          <w:rFonts w:ascii="Times New Roman" w:hAnsi="Times New Roman" w:cs="Times New Roman"/>
          <w:sz w:val="56"/>
          <w:szCs w:val="56"/>
        </w:rPr>
      </w:pPr>
      <w:r w:rsidRPr="003B3845">
        <w:rPr>
          <w:rFonts w:ascii="Times New Roman" w:hAnsi="Times New Roman" w:cs="Times New Roman"/>
          <w:sz w:val="56"/>
          <w:szCs w:val="56"/>
        </w:rPr>
        <w:t>State-Level Healthcare Spending in the United States, 2020–2024: An Analysis of Insurance, Demographic, and Policy Factors</w:t>
      </w:r>
    </w:p>
    <w:p w:rsidR="003B3845" w:rsidP="003B3845" w:rsidRDefault="003B3845" w14:paraId="1E9EF797" w14:textId="77777777">
      <w:pPr>
        <w:spacing w:after="0" w:line="240" w:lineRule="auto"/>
        <w:jc w:val="center"/>
        <w:rPr>
          <w:rFonts w:ascii="Times New Roman" w:hAnsi="Times New Roman" w:cs="Times New Roman"/>
          <w:sz w:val="56"/>
          <w:szCs w:val="56"/>
        </w:rPr>
      </w:pPr>
    </w:p>
    <w:p w:rsidR="003B3845" w:rsidP="003B3845" w:rsidRDefault="003B3845" w14:paraId="365D189D" w14:textId="5A4F235A">
      <w:pPr>
        <w:spacing w:after="0" w:line="240" w:lineRule="auto"/>
        <w:jc w:val="center"/>
        <w:rPr>
          <w:rFonts w:ascii="Times New Roman" w:hAnsi="Times New Roman" w:cs="Times New Roman"/>
          <w:sz w:val="56"/>
          <w:szCs w:val="56"/>
        </w:rPr>
      </w:pPr>
      <w:r>
        <w:rPr>
          <w:noProof/>
        </w:rPr>
        <w:drawing>
          <wp:inline distT="0" distB="0" distL="0" distR="0" wp14:anchorId="6262DB11" wp14:editId="415C5172">
            <wp:extent cx="5529263" cy="3686175"/>
            <wp:effectExtent l="0" t="0" r="0" b="0"/>
            <wp:docPr id="659249597" name="Picture 1" descr="California Becomes Latest State To Try Capping Health Care Spending -  California Health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fornia Becomes Latest State To Try Capping Health Care Spending -  California Healthl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1198" cy="3687465"/>
                    </a:xfrm>
                    <a:prstGeom prst="rect">
                      <a:avLst/>
                    </a:prstGeom>
                    <a:noFill/>
                    <a:ln>
                      <a:noFill/>
                    </a:ln>
                  </pic:spPr>
                </pic:pic>
              </a:graphicData>
            </a:graphic>
          </wp:inline>
        </w:drawing>
      </w:r>
    </w:p>
    <w:p w:rsidR="003B3845" w:rsidP="003B3845" w:rsidRDefault="003B3845" w14:paraId="05ED92CB" w14:textId="77777777">
      <w:pPr>
        <w:spacing w:after="0" w:line="240" w:lineRule="auto"/>
        <w:rPr>
          <w:rFonts w:ascii="Times New Roman" w:hAnsi="Times New Roman" w:cs="Times New Roman"/>
          <w:sz w:val="56"/>
          <w:szCs w:val="56"/>
        </w:rPr>
      </w:pPr>
    </w:p>
    <w:p w:rsidR="003B3845" w:rsidP="003B3845" w:rsidRDefault="003B3845" w14:paraId="2D1F35F3" w14:textId="329B8D8E">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By Bella Melrose, Daniel Rivera-Mills, &amp; Zeyu Su</w:t>
      </w:r>
    </w:p>
    <w:p w:rsidR="003B3845" w:rsidP="003B3845" w:rsidRDefault="003B3845" w14:paraId="4B8A5174" w14:textId="79682056">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 xml:space="preserve">Dr. Barry Rubin </w:t>
      </w:r>
    </w:p>
    <w:p w:rsidR="003B3845" w:rsidP="003B3845" w:rsidRDefault="003B3845" w14:paraId="6716E9C0" w14:textId="497ADDB4">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SPEA-</w:t>
      </w:r>
      <w:r w:rsidRPr="003B3845">
        <w:rPr>
          <w:rFonts w:ascii="Times New Roman" w:hAnsi="Times New Roman" w:cs="Times New Roman"/>
          <w:sz w:val="32"/>
          <w:szCs w:val="32"/>
        </w:rPr>
        <w:t>P507</w:t>
      </w:r>
      <w:r>
        <w:rPr>
          <w:rFonts w:ascii="Times New Roman" w:hAnsi="Times New Roman" w:cs="Times New Roman"/>
          <w:sz w:val="32"/>
          <w:szCs w:val="32"/>
        </w:rPr>
        <w:t>:</w:t>
      </w:r>
      <w:r w:rsidRPr="003B3845">
        <w:rPr>
          <w:rFonts w:ascii="Times New Roman" w:hAnsi="Times New Roman" w:cs="Times New Roman"/>
          <w:sz w:val="32"/>
          <w:szCs w:val="32"/>
        </w:rPr>
        <w:t xml:space="preserve"> </w:t>
      </w:r>
      <w:r w:rsidRPr="003B3845">
        <w:rPr>
          <w:rFonts w:ascii="Times New Roman" w:hAnsi="Times New Roman" w:cs="Times New Roman"/>
          <w:sz w:val="32"/>
          <w:szCs w:val="32"/>
        </w:rPr>
        <w:t>Data Analysis and Modeling for Public Affairs</w:t>
      </w:r>
    </w:p>
    <w:p w:rsidR="003B3845" w:rsidP="003B3845" w:rsidRDefault="003B3845" w14:paraId="2D90BD50" w14:textId="5353E92D">
      <w:pPr>
        <w:spacing w:after="0" w:line="240" w:lineRule="auto"/>
        <w:jc w:val="center"/>
        <w:rPr>
          <w:rFonts w:ascii="Times New Roman" w:hAnsi="Times New Roman" w:cs="Times New Roman"/>
          <w:sz w:val="32"/>
          <w:szCs w:val="32"/>
        </w:rPr>
      </w:pPr>
      <w:r>
        <w:rPr>
          <w:rFonts w:ascii="Times New Roman" w:hAnsi="Times New Roman" w:cs="Times New Roman"/>
          <w:sz w:val="32"/>
          <w:szCs w:val="32"/>
        </w:rPr>
        <w:t>May 2</w:t>
      </w:r>
      <w:r w:rsidRPr="003B3845">
        <w:rPr>
          <w:rFonts w:ascii="Times New Roman" w:hAnsi="Times New Roman" w:cs="Times New Roman"/>
          <w:sz w:val="32"/>
          <w:szCs w:val="32"/>
          <w:vertAlign w:val="superscript"/>
        </w:rPr>
        <w:t>nd</w:t>
      </w:r>
      <w:r>
        <w:rPr>
          <w:rFonts w:ascii="Times New Roman" w:hAnsi="Times New Roman" w:cs="Times New Roman"/>
          <w:sz w:val="32"/>
          <w:szCs w:val="32"/>
        </w:rPr>
        <w:t>, 2026</w:t>
      </w:r>
    </w:p>
    <w:p w:rsidR="003B3845" w:rsidP="003B3845" w:rsidRDefault="003B3845" w14:paraId="1152C47B" w14:textId="77777777">
      <w:pPr>
        <w:spacing w:after="0" w:line="240" w:lineRule="auto"/>
        <w:jc w:val="center"/>
        <w:rPr>
          <w:rFonts w:ascii="Times New Roman" w:hAnsi="Times New Roman" w:cs="Times New Roman"/>
          <w:sz w:val="32"/>
          <w:szCs w:val="32"/>
        </w:rPr>
      </w:pPr>
    </w:p>
    <w:p w:rsidR="003B3845" w:rsidP="003B3845" w:rsidRDefault="003B3845" w14:paraId="08DB6981" w14:textId="5ADC1A2C">
      <w:pPr>
        <w:spacing w:after="0" w:line="240" w:lineRule="auto"/>
        <w:jc w:val="center"/>
        <w:rPr>
          <w:rFonts w:ascii="Times New Roman" w:hAnsi="Times New Roman" w:cs="Times New Roman"/>
          <w:b/>
          <w:bCs/>
          <w:i/>
          <w:iCs/>
          <w:sz w:val="32"/>
          <w:szCs w:val="32"/>
        </w:rPr>
      </w:pPr>
      <w:r w:rsidRPr="003B3845">
        <w:rPr>
          <w:rFonts w:ascii="Times New Roman" w:hAnsi="Times New Roman" w:cs="Times New Roman"/>
          <w:b/>
          <w:bCs/>
          <w:i/>
          <w:iCs/>
          <w:sz w:val="32"/>
          <w:szCs w:val="32"/>
        </w:rPr>
        <w:t>EXECUTIVE SUMMARY</w:t>
      </w:r>
    </w:p>
    <w:p w:rsidR="003B3845" w:rsidP="003B3845" w:rsidRDefault="003B3845" w14:paraId="11B07287" w14:textId="77777777">
      <w:pPr>
        <w:spacing w:after="0" w:line="240" w:lineRule="auto"/>
        <w:jc w:val="center"/>
        <w:rPr>
          <w:rFonts w:ascii="Times New Roman" w:hAnsi="Times New Roman" w:cs="Times New Roman"/>
          <w:b/>
          <w:bCs/>
          <w:i/>
          <w:iCs/>
          <w:sz w:val="32"/>
          <w:szCs w:val="32"/>
        </w:rPr>
      </w:pPr>
    </w:p>
    <w:p w:rsidR="003B3845" w:rsidP="2AC2AC85" w:rsidRDefault="003B3845" w14:paraId="77602DE1" w14:textId="4205723A">
      <w:pPr>
        <w:pStyle w:val="Normal"/>
        <w:spacing w:after="0" w:line="240" w:lineRule="auto"/>
        <w:jc w:val="center"/>
        <w:rPr>
          <w:rFonts w:ascii="Times New Roman" w:hAnsi="Times New Roman" w:cs="Times New Roman"/>
          <w:b w:val="1"/>
          <w:bCs w:val="1"/>
          <w:i w:val="1"/>
          <w:iCs w:val="1"/>
          <w:sz w:val="32"/>
          <w:szCs w:val="32"/>
        </w:rPr>
      </w:pPr>
    </w:p>
    <w:p w:rsidR="003B3845" w:rsidP="003B3845" w:rsidRDefault="003B3845" w14:paraId="609CB449" w14:textId="0A6FA1C2">
      <w:pPr>
        <w:spacing w:after="0" w:line="240" w:lineRule="auto"/>
        <w:rPr>
          <w:rFonts w:ascii="Times New Roman" w:hAnsi="Times New Roman" w:cs="Times New Roman"/>
          <w:u w:val="single"/>
        </w:rPr>
      </w:pPr>
      <w:r>
        <w:rPr>
          <w:rFonts w:ascii="Times New Roman" w:hAnsi="Times New Roman" w:cs="Times New Roman"/>
          <w:u w:val="single"/>
        </w:rPr>
        <w:lastRenderedPageBreak/>
        <w:t>Purpose</w:t>
      </w:r>
    </w:p>
    <w:p w:rsidR="003B3845" w:rsidP="003B3845" w:rsidRDefault="003B3845" w14:paraId="6A31F8E0" w14:textId="77777777">
      <w:pPr>
        <w:spacing w:after="0" w:line="240" w:lineRule="auto"/>
        <w:rPr>
          <w:rFonts w:ascii="Times New Roman" w:hAnsi="Times New Roman" w:cs="Times New Roman"/>
          <w:u w:val="single"/>
        </w:rPr>
      </w:pPr>
    </w:p>
    <w:p w:rsidR="003B3845" w:rsidP="003B3845" w:rsidRDefault="003B3845" w14:paraId="1B706493" w14:textId="11D04C11">
      <w:pPr>
        <w:spacing w:after="0" w:line="240" w:lineRule="auto"/>
        <w:rPr>
          <w:rFonts w:ascii="Times New Roman" w:hAnsi="Times New Roman" w:cs="Times New Roman"/>
        </w:rPr>
      </w:pPr>
      <w:r w:rsidRPr="003B3845">
        <w:rPr>
          <w:rFonts w:ascii="Times New Roman" w:hAnsi="Times New Roman" w:cs="Times New Roman"/>
        </w:rPr>
        <w:t>The purpose of this study was to examine whether insurance market conditions, insurance coverage, demographic characteristics, and healthcare policy factors help explain variation in state-level healthcare spending in the United States from 2020 to 2024. This analysis began from the hypothesis that states with lower insurance coverage, higher insurance market costs, and demographic characteristics associated with greater healthcare demand would experience higher per-capita healthcare spending.</w:t>
      </w:r>
    </w:p>
    <w:p w:rsidR="003B3845" w:rsidP="003B3845" w:rsidRDefault="003B3845" w14:paraId="7A3D6A4C" w14:textId="77777777">
      <w:pPr>
        <w:spacing w:after="0" w:line="240" w:lineRule="auto"/>
        <w:rPr>
          <w:rFonts w:ascii="Times New Roman" w:hAnsi="Times New Roman" w:cs="Times New Roman"/>
        </w:rPr>
      </w:pPr>
    </w:p>
    <w:p w:rsidR="003B3845" w:rsidP="003B3845" w:rsidRDefault="003B3845" w14:paraId="7AD4FB7B" w14:textId="6EEFEF0F">
      <w:pPr>
        <w:spacing w:after="0" w:line="240" w:lineRule="auto"/>
        <w:rPr>
          <w:rFonts w:ascii="Times New Roman" w:hAnsi="Times New Roman" w:cs="Times New Roman"/>
        </w:rPr>
      </w:pPr>
      <w:r>
        <w:rPr>
          <w:rFonts w:ascii="Times New Roman" w:hAnsi="Times New Roman" w:cs="Times New Roman"/>
          <w:u w:val="single"/>
        </w:rPr>
        <w:t>Method</w:t>
      </w:r>
    </w:p>
    <w:p w:rsidR="003B3845" w:rsidP="003B3845" w:rsidRDefault="003B3845" w14:paraId="3D2818BB" w14:textId="77777777">
      <w:pPr>
        <w:spacing w:after="0" w:line="240" w:lineRule="auto"/>
        <w:rPr>
          <w:rFonts w:ascii="Times New Roman" w:hAnsi="Times New Roman" w:cs="Times New Roman"/>
        </w:rPr>
      </w:pPr>
    </w:p>
    <w:p w:rsidR="003B3845" w:rsidP="003B3845" w:rsidRDefault="003B3845" w14:paraId="11F6E598" w14:textId="7F02EDB5">
      <w:pPr>
        <w:spacing w:after="0" w:line="240" w:lineRule="auto"/>
        <w:rPr>
          <w:rFonts w:ascii="Times New Roman" w:hAnsi="Times New Roman" w:cs="Times New Roman"/>
        </w:rPr>
      </w:pPr>
      <w:r w:rsidRPr="2AC2AC85" w:rsidR="003B3845">
        <w:rPr>
          <w:rFonts w:ascii="Times New Roman" w:hAnsi="Times New Roman" w:cs="Times New Roman"/>
        </w:rPr>
        <w:t xml:space="preserve">The analysis used a state-year panel dataset covering all 50 U.S. states from 2020 through 2024, producing 250 total observations. The dependent variable was the natural log of per-capita healthcare personal consumption expenditures. The independent variables included the natural log of average annual single employer-sponsored insurance premiums, the uninsured rate, the percentage of the population age 65 and older, Medicaid expansion status, and certificate-of-need law status. After comparing multiple model specifications, the final analysis used a state fixed effects regression model. This model was selected because it estimates the relationship between changes in state-level predictors and changes in healthcare spending within states over time, while </w:t>
      </w:r>
      <w:bookmarkStart w:name="_Int_jZVoJ1DZ" w:id="1027599135"/>
      <w:r w:rsidRPr="2AC2AC85" w:rsidR="003B3845">
        <w:rPr>
          <w:rFonts w:ascii="Times New Roman" w:hAnsi="Times New Roman" w:cs="Times New Roman"/>
        </w:rPr>
        <w:t>controlling for</w:t>
      </w:r>
      <w:bookmarkEnd w:id="1027599135"/>
      <w:r w:rsidRPr="2AC2AC85" w:rsidR="003B3845">
        <w:rPr>
          <w:rFonts w:ascii="Times New Roman" w:hAnsi="Times New Roman" w:cs="Times New Roman"/>
        </w:rPr>
        <w:t xml:space="preserve"> stable differences across states.</w:t>
      </w:r>
    </w:p>
    <w:p w:rsidR="003B3845" w:rsidP="003B3845" w:rsidRDefault="003B3845" w14:paraId="5AB6F266" w14:textId="77777777">
      <w:pPr>
        <w:spacing w:after="0" w:line="240" w:lineRule="auto"/>
        <w:rPr>
          <w:rFonts w:ascii="Times New Roman" w:hAnsi="Times New Roman" w:cs="Times New Roman"/>
        </w:rPr>
      </w:pPr>
    </w:p>
    <w:p w:rsidR="003B3845" w:rsidP="003B3845" w:rsidRDefault="003B3845" w14:paraId="7B28CEB2" w14:textId="4D65F03A">
      <w:pPr>
        <w:spacing w:after="0" w:line="240" w:lineRule="auto"/>
        <w:rPr>
          <w:rFonts w:ascii="Times New Roman" w:hAnsi="Times New Roman" w:cs="Times New Roman"/>
          <w:u w:val="single"/>
        </w:rPr>
      </w:pPr>
      <w:r w:rsidRPr="003B3845">
        <w:rPr>
          <w:rFonts w:ascii="Times New Roman" w:hAnsi="Times New Roman" w:cs="Times New Roman"/>
          <w:u w:val="single"/>
        </w:rPr>
        <w:t xml:space="preserve">Results </w:t>
      </w:r>
    </w:p>
    <w:p w:rsidR="003B3845" w:rsidP="003B3845" w:rsidRDefault="003B3845" w14:paraId="3CFD1FB4" w14:textId="77777777">
      <w:pPr>
        <w:spacing w:after="0" w:line="240" w:lineRule="auto"/>
        <w:rPr>
          <w:rFonts w:ascii="Times New Roman" w:hAnsi="Times New Roman" w:cs="Times New Roman"/>
          <w:u w:val="single"/>
        </w:rPr>
      </w:pPr>
    </w:p>
    <w:p w:rsidR="003B3845" w:rsidP="2AC2AC85" w:rsidRDefault="003B3845" w14:paraId="44A25110" w14:textId="4A065094">
      <w:pPr>
        <w:pStyle w:val="Normal"/>
        <w:spacing w:after="0" w:line="240" w:lineRule="auto"/>
        <w:rPr>
          <w:rFonts w:ascii="Times New Roman" w:hAnsi="Times New Roman" w:cs="Times New Roman"/>
        </w:rPr>
      </w:pPr>
      <w:r w:rsidRPr="2AC2AC85" w:rsidR="5359C282">
        <w:rPr>
          <w:rFonts w:ascii="Times New Roman" w:hAnsi="Times New Roman" w:eastAsia="Times New Roman" w:cs="Times New Roman"/>
          <w:noProof w:val="0"/>
          <w:sz w:val="24"/>
          <w:szCs w:val="24"/>
          <w:lang w:val="en-US"/>
        </w:rPr>
        <w:t>The final fixed effects model provided partial support for the initial hypothesis. Single insurance premiums, the percentage of the population age 65 and older, and Medicaid expansion status were positive and statistically significant predictors of logged per-capita healthcare spending.</w:t>
      </w:r>
      <w:r w:rsidRPr="2AC2AC85" w:rsidR="003B3845">
        <w:rPr>
          <w:rFonts w:ascii="Times New Roman" w:hAnsi="Times New Roman" w:cs="Times New Roman"/>
        </w:rPr>
        <w:t xml:space="preserve"> A one percent increase in single insurance premiums was associated with an estimated 0.53 percent increase in per-capita healthcare spending. A one percentage-point increase in the share of the population age 65 and older was associated with an estimated 12.1 percent increase in per-capita healthcare spending. Medicaid expansion was associated with approximately 6.3 percent higher per-capita healthcare spending. The uninsured rate was negative and not statistically significant, meaning the model did not provide enough evidence to conclude that uninsured rates meaningfully explain within-state changes in healthcare spending during the study period. Certificate-of-need law status was dropped from the final fixed effects model because it did not vary enough within states from 2020 to 2024 to estimate a separate within-state effect.</w:t>
      </w:r>
    </w:p>
    <w:p w:rsidR="003B3845" w:rsidP="003B3845" w:rsidRDefault="003B3845" w14:paraId="181ECD85" w14:textId="77777777">
      <w:pPr>
        <w:spacing w:after="0" w:line="240" w:lineRule="auto"/>
        <w:rPr>
          <w:rFonts w:ascii="Times New Roman" w:hAnsi="Times New Roman" w:cs="Times New Roman"/>
        </w:rPr>
      </w:pPr>
    </w:p>
    <w:p w:rsidR="003B3845" w:rsidP="003B3845" w:rsidRDefault="003B3845" w14:paraId="6D76BACC" w14:textId="13224501">
      <w:pPr>
        <w:spacing w:after="0" w:line="240" w:lineRule="auto"/>
        <w:rPr>
          <w:rFonts w:ascii="Times New Roman" w:hAnsi="Times New Roman" w:cs="Times New Roman"/>
          <w:u w:val="single"/>
        </w:rPr>
      </w:pPr>
      <w:r w:rsidRPr="003B3845">
        <w:rPr>
          <w:rFonts w:ascii="Times New Roman" w:hAnsi="Times New Roman" w:cs="Times New Roman"/>
          <w:u w:val="single"/>
        </w:rPr>
        <w:t>Conclusions</w:t>
      </w:r>
    </w:p>
    <w:p w:rsidR="003B3845" w:rsidP="003B3845" w:rsidRDefault="003B3845" w14:paraId="261A9DF1" w14:textId="77777777">
      <w:pPr>
        <w:spacing w:after="0" w:line="240" w:lineRule="auto"/>
        <w:rPr>
          <w:rFonts w:ascii="Times New Roman" w:hAnsi="Times New Roman" w:cs="Times New Roman"/>
          <w:u w:val="single"/>
        </w:rPr>
      </w:pPr>
    </w:p>
    <w:p w:rsidRPr="003B3845" w:rsidR="003B3845" w:rsidP="2AC2AC85" w:rsidRDefault="003B3845" w14:paraId="71754F7E" w14:textId="5D6D06C7">
      <w:pPr>
        <w:pStyle w:val="Normal"/>
        <w:spacing w:after="0" w:line="240" w:lineRule="auto"/>
        <w:rPr>
          <w:rFonts w:ascii="Times New Roman" w:hAnsi="Times New Roman" w:cs="Times New Roman"/>
        </w:rPr>
      </w:pPr>
      <w:r w:rsidRPr="2AC2AC85" w:rsidR="1C598B3E">
        <w:rPr>
          <w:rFonts w:ascii="Times New Roman" w:hAnsi="Times New Roman" w:eastAsia="Times New Roman" w:cs="Times New Roman"/>
          <w:noProof w:val="0"/>
          <w:sz w:val="24"/>
          <w:szCs w:val="24"/>
          <w:lang w:val="en-US"/>
        </w:rPr>
        <w:t xml:space="preserve">The results suggest that state-level healthcare spending is strongly connected to insurance market costs and demographic demand, while the effects of policy variables should be interpreted cautiously over a short five-year period. </w:t>
      </w:r>
      <w:r w:rsidRPr="2AC2AC85" w:rsidR="003B3845">
        <w:rPr>
          <w:rFonts w:ascii="Times New Roman" w:hAnsi="Times New Roman" w:cs="Times New Roman"/>
        </w:rPr>
        <w:t xml:space="preserve">For policymakers, the findings </w:t>
      </w:r>
      <w:r w:rsidRPr="2AC2AC85" w:rsidR="003B3845">
        <w:rPr>
          <w:rFonts w:ascii="Times New Roman" w:hAnsi="Times New Roman" w:cs="Times New Roman"/>
        </w:rPr>
        <w:t>indicate</w:t>
      </w:r>
      <w:r w:rsidRPr="2AC2AC85" w:rsidR="003B3845">
        <w:rPr>
          <w:rFonts w:ascii="Times New Roman" w:hAnsi="Times New Roman" w:cs="Times New Roman"/>
        </w:rPr>
        <w:t xml:space="preserve"> that efforts to understand healthcare spending should consider not only coverage policy, but also the cost structure of insurance markets and the healthcare needs of aging populations. Future research should extend the dataset to include years before 2020 and add variables </w:t>
      </w:r>
      <w:r w:rsidRPr="2AC2AC85" w:rsidR="003B3845">
        <w:rPr>
          <w:rFonts w:ascii="Times New Roman" w:hAnsi="Times New Roman" w:cs="Times New Roman"/>
        </w:rPr>
        <w:t>to improve explanatory power</w:t>
      </w:r>
      <w:r w:rsidRPr="2AC2AC85" w:rsidR="003B3845">
        <w:rPr>
          <w:rFonts w:ascii="Times New Roman" w:hAnsi="Times New Roman" w:cs="Times New Roman"/>
        </w:rPr>
        <w:t>. A longer panel would also allow future analysis to better estimate the effects of slow-moving policies such as certificate-of-need laws and Medicaid expansion.</w:t>
      </w:r>
    </w:p>
    <w:sectPr w:rsidRPr="003B3845" w:rsidR="003B384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jZVoJ1DZ" int2:invalidationBookmarkName="" int2:hashCode="RaPRi2/zRKV6lN" int2:id="i27eDC6j">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45"/>
    <w:rsid w:val="003B3845"/>
    <w:rsid w:val="00486B00"/>
    <w:rsid w:val="0971BEA2"/>
    <w:rsid w:val="1C598B3E"/>
    <w:rsid w:val="2AC2AC85"/>
    <w:rsid w:val="5359C282"/>
    <w:rsid w:val="61C21DD0"/>
    <w:rsid w:val="70B0DE31"/>
    <w:rsid w:val="713FC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0F184"/>
  <w15:chartTrackingRefBased/>
  <w15:docId w15:val="{0D00703D-6072-4279-8ADF-40C4DF56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38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8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38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B38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B38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B38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38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38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38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38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3845"/>
    <w:rPr>
      <w:rFonts w:eastAsiaTheme="majorEastAsia" w:cstheme="majorBidi"/>
      <w:color w:val="272727" w:themeColor="text1" w:themeTint="D8"/>
    </w:rPr>
  </w:style>
  <w:style w:type="paragraph" w:styleId="Title">
    <w:name w:val="Title"/>
    <w:basedOn w:val="Normal"/>
    <w:next w:val="Normal"/>
    <w:link w:val="TitleChar"/>
    <w:uiPriority w:val="10"/>
    <w:qFormat/>
    <w:rsid w:val="003B38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38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38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45"/>
    <w:pPr>
      <w:spacing w:before="160"/>
      <w:jc w:val="center"/>
    </w:pPr>
    <w:rPr>
      <w:i/>
      <w:iCs/>
      <w:color w:val="404040" w:themeColor="text1" w:themeTint="BF"/>
    </w:rPr>
  </w:style>
  <w:style w:type="character" w:styleId="QuoteChar" w:customStyle="1">
    <w:name w:val="Quote Char"/>
    <w:basedOn w:val="DefaultParagraphFont"/>
    <w:link w:val="Quote"/>
    <w:uiPriority w:val="29"/>
    <w:rsid w:val="003B3845"/>
    <w:rPr>
      <w:i/>
      <w:iCs/>
      <w:color w:val="404040" w:themeColor="text1" w:themeTint="BF"/>
    </w:rPr>
  </w:style>
  <w:style w:type="paragraph" w:styleId="ListParagraph">
    <w:name w:val="List Paragraph"/>
    <w:basedOn w:val="Normal"/>
    <w:uiPriority w:val="34"/>
    <w:qFormat/>
    <w:rsid w:val="003B3845"/>
    <w:pPr>
      <w:ind w:left="720"/>
      <w:contextualSpacing/>
    </w:pPr>
  </w:style>
  <w:style w:type="character" w:styleId="IntenseEmphasis">
    <w:name w:val="Intense Emphasis"/>
    <w:basedOn w:val="DefaultParagraphFont"/>
    <w:uiPriority w:val="21"/>
    <w:qFormat/>
    <w:rsid w:val="003B3845"/>
    <w:rPr>
      <w:i/>
      <w:iCs/>
      <w:color w:val="0F4761" w:themeColor="accent1" w:themeShade="BF"/>
    </w:rPr>
  </w:style>
  <w:style w:type="paragraph" w:styleId="IntenseQuote">
    <w:name w:val="Intense Quote"/>
    <w:basedOn w:val="Normal"/>
    <w:next w:val="Normal"/>
    <w:link w:val="IntenseQuoteChar"/>
    <w:uiPriority w:val="30"/>
    <w:qFormat/>
    <w:rsid w:val="003B38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3845"/>
    <w:rPr>
      <w:i/>
      <w:iCs/>
      <w:color w:val="0F4761" w:themeColor="accent1" w:themeShade="BF"/>
    </w:rPr>
  </w:style>
  <w:style w:type="character" w:styleId="IntenseReference">
    <w:name w:val="Intense Reference"/>
    <w:basedOn w:val="DefaultParagraphFont"/>
    <w:uiPriority w:val="32"/>
    <w:qFormat/>
    <w:rsid w:val="003B3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image" Target="media/image1.jpe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 Type="http://schemas.microsoft.com/office/2020/10/relationships/intelligence" Target="intelligence2.xml" Id="R4603e970ad9e470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A1DB8D7F654949B3E4DC89C3A075D4" ma:contentTypeVersion="9" ma:contentTypeDescription="Create a new document." ma:contentTypeScope="" ma:versionID="cdb69262f694aeb052421e31a04241bf">
  <xsd:schema xmlns:xsd="http://www.w3.org/2001/XMLSchema" xmlns:xs="http://www.w3.org/2001/XMLSchema" xmlns:p="http://schemas.microsoft.com/office/2006/metadata/properties" xmlns:ns3="6f7e2ca8-13cf-45a6-9304-173a7bfc6b2d" targetNamespace="http://schemas.microsoft.com/office/2006/metadata/properties" ma:root="true" ma:fieldsID="1b1ce15b12a130f2445089ad501fdb6f" ns3:_="">
    <xsd:import namespace="6f7e2ca8-13cf-45a6-9304-173a7bfc6b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e2ca8-13cf-45a6-9304-173a7bfc6b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f7e2ca8-13cf-45a6-9304-173a7bfc6b2d" xsi:nil="true"/>
  </documentManagement>
</p:properties>
</file>

<file path=customXml/itemProps1.xml><?xml version="1.0" encoding="utf-8"?>
<ds:datastoreItem xmlns:ds="http://schemas.openxmlformats.org/officeDocument/2006/customXml" ds:itemID="{84184E35-D09F-455C-8058-C9BB23871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e2ca8-13cf-45a6-9304-173a7bfc6b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A7A0A4-CE87-4454-962E-5C124C142999}">
  <ds:schemaRefs>
    <ds:schemaRef ds:uri="http://schemas.microsoft.com/sharepoint/v3/contenttype/forms"/>
  </ds:schemaRefs>
</ds:datastoreItem>
</file>

<file path=customXml/itemProps3.xml><?xml version="1.0" encoding="utf-8"?>
<ds:datastoreItem xmlns:ds="http://schemas.openxmlformats.org/officeDocument/2006/customXml" ds:itemID="{2D6168CA-771C-4B86-8DDE-06477F1EEC61}">
  <ds:schemaRefs>
    <ds:schemaRef ds:uri="http://schemas.microsoft.com/office/2006/metadata/properties"/>
    <ds:schemaRef ds:uri="http://schemas.microsoft.com/office/infopath/2007/PartnerControls"/>
    <ds:schemaRef ds:uri="6f7e2ca8-13cf-45a6-9304-173a7bfc6b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Rivera-Mills, Daniel S</dc:creator>
  <keywords/>
  <dc:description/>
  <lastModifiedBy>Rivera-Mills, Daniel S</lastModifiedBy>
  <revision>2</revision>
  <dcterms:created xsi:type="dcterms:W3CDTF">2026-04-29T20:24:00.0000000Z</dcterms:created>
  <dcterms:modified xsi:type="dcterms:W3CDTF">2026-04-29T20:37:07.6061567Z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0x01010066A1DB8D7F654949B3E4DC89C3A075D4</vt:lpwstr>
  </property>
</Properties>
</file>